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15DAF5" w14:textId="77777777" w:rsidR="00D23514" w:rsidRDefault="00D23514">
      <w:pPr>
        <w:spacing w:line="240" w:lineRule="auto"/>
        <w:rPr>
          <w:caps/>
          <w:szCs w:val="32"/>
        </w:rPr>
      </w:pPr>
    </w:p>
    <w:sdt>
      <w:sdtPr>
        <w:rPr>
          <w:caps/>
        </w:rPr>
        <w:id w:val="30091833"/>
        <w:lock w:val="contentLocked"/>
        <w:placeholder>
          <w:docPart w:val="DefaultPlaceholder_22675703"/>
        </w:placeholder>
        <w:group/>
      </w:sdtPr>
      <w:sdtEndPr/>
      <w:sdtContent>
        <w:p w14:paraId="337DD9D9" w14:textId="77777777" w:rsidR="00A50007" w:rsidRPr="0008176F" w:rsidRDefault="0008176F" w:rsidP="0008176F">
          <w:pPr>
            <w:pStyle w:val="NoSpacing"/>
            <w:jc w:val="center"/>
            <w:rPr>
              <w:caps/>
            </w:rPr>
          </w:pPr>
          <w:r w:rsidRPr="0008176F">
            <w:rPr>
              <w:caps/>
            </w:rPr>
            <w:t>University of Oklahoma</w:t>
          </w:r>
        </w:p>
        <w:p w14:paraId="7E1B2295" w14:textId="77777777" w:rsidR="0008176F" w:rsidRPr="0008176F" w:rsidRDefault="0008176F" w:rsidP="0008176F">
          <w:pPr>
            <w:pStyle w:val="NoSpacing"/>
            <w:jc w:val="center"/>
            <w:rPr>
              <w:caps/>
            </w:rPr>
          </w:pPr>
        </w:p>
        <w:p w14:paraId="720ABCA4" w14:textId="77777777" w:rsidR="0008176F" w:rsidRPr="0008176F" w:rsidRDefault="0008176F" w:rsidP="0008176F">
          <w:pPr>
            <w:pStyle w:val="NoSpacing"/>
            <w:jc w:val="center"/>
            <w:rPr>
              <w:caps/>
            </w:rPr>
          </w:pPr>
          <w:r w:rsidRPr="0008176F">
            <w:rPr>
              <w:caps/>
            </w:rPr>
            <w:t>Graduate College</w:t>
          </w:r>
        </w:p>
      </w:sdtContent>
    </w:sdt>
    <w:p w14:paraId="20F3CC00" w14:textId="77777777" w:rsidR="0008176F" w:rsidRPr="0008176F" w:rsidRDefault="0008176F" w:rsidP="0008176F">
      <w:pPr>
        <w:pStyle w:val="NoSpacing"/>
        <w:jc w:val="center"/>
        <w:rPr>
          <w:caps/>
        </w:rPr>
      </w:pPr>
    </w:p>
    <w:p w14:paraId="43E5EF8C" w14:textId="77777777" w:rsidR="0008176F" w:rsidRPr="0008176F" w:rsidRDefault="0008176F" w:rsidP="0008176F">
      <w:pPr>
        <w:pStyle w:val="NoSpacing"/>
        <w:jc w:val="center"/>
        <w:rPr>
          <w:caps/>
        </w:rPr>
      </w:pPr>
    </w:p>
    <w:p w14:paraId="672395A3" w14:textId="77777777" w:rsidR="0008176F" w:rsidRPr="0008176F" w:rsidRDefault="0008176F" w:rsidP="0008176F">
      <w:pPr>
        <w:pStyle w:val="NoSpacing"/>
        <w:jc w:val="center"/>
        <w:rPr>
          <w:caps/>
        </w:rPr>
      </w:pPr>
    </w:p>
    <w:p w14:paraId="5B308EDE" w14:textId="77777777" w:rsidR="0008176F" w:rsidRPr="0008176F" w:rsidRDefault="0008176F" w:rsidP="0008176F">
      <w:pPr>
        <w:pStyle w:val="NoSpacing"/>
        <w:jc w:val="center"/>
        <w:rPr>
          <w:caps/>
        </w:rPr>
      </w:pPr>
    </w:p>
    <w:p w14:paraId="70E5AFC4" w14:textId="77777777" w:rsidR="0008176F" w:rsidRPr="0008176F" w:rsidRDefault="0008176F" w:rsidP="0008176F">
      <w:pPr>
        <w:pStyle w:val="NoSpacing"/>
        <w:jc w:val="center"/>
        <w:rPr>
          <w:caps/>
        </w:rPr>
      </w:pPr>
    </w:p>
    <w:p w14:paraId="3694D93B" w14:textId="77777777" w:rsidR="0008176F" w:rsidRPr="0008176F" w:rsidRDefault="0008176F" w:rsidP="0008176F">
      <w:pPr>
        <w:pStyle w:val="NoSpacing"/>
        <w:jc w:val="center"/>
        <w:rPr>
          <w:caps/>
        </w:rPr>
      </w:pPr>
    </w:p>
    <w:p w14:paraId="075E7CFC"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4EED8D23" w14:textId="1F0E1842" w:rsidR="0008176F" w:rsidRPr="0008176F" w:rsidRDefault="002209DD" w:rsidP="0008176F">
          <w:pPr>
            <w:pStyle w:val="NoSpacing"/>
            <w:spacing w:line="480" w:lineRule="auto"/>
            <w:jc w:val="center"/>
            <w:rPr>
              <w:caps/>
            </w:rPr>
          </w:pPr>
          <w:r>
            <w:rPr>
              <w:caps/>
            </w:rPr>
            <w:t>Machine learning applications for geoscience problems</w:t>
          </w:r>
        </w:p>
      </w:sdtContent>
    </w:sdt>
    <w:p w14:paraId="0A4C5D65" w14:textId="77777777" w:rsidR="0008176F" w:rsidRPr="0008176F" w:rsidRDefault="0008176F" w:rsidP="0008176F">
      <w:pPr>
        <w:pStyle w:val="NoSpacing"/>
        <w:jc w:val="center"/>
        <w:rPr>
          <w:caps/>
        </w:rPr>
      </w:pPr>
    </w:p>
    <w:p w14:paraId="2EA7B1D3" w14:textId="77777777" w:rsidR="0008176F" w:rsidRPr="0008176F" w:rsidRDefault="0008176F" w:rsidP="0008176F">
      <w:pPr>
        <w:pStyle w:val="NoSpacing"/>
        <w:jc w:val="center"/>
        <w:rPr>
          <w:caps/>
        </w:rPr>
      </w:pPr>
    </w:p>
    <w:p w14:paraId="725DC617" w14:textId="77777777" w:rsidR="0008176F" w:rsidRPr="0008176F" w:rsidRDefault="0008176F" w:rsidP="0008176F">
      <w:pPr>
        <w:pStyle w:val="NoSpacing"/>
        <w:jc w:val="center"/>
        <w:rPr>
          <w:caps/>
        </w:rPr>
      </w:pPr>
    </w:p>
    <w:p w14:paraId="1285436A" w14:textId="77777777" w:rsidR="0008176F" w:rsidRPr="0008176F" w:rsidRDefault="0008176F" w:rsidP="0008176F">
      <w:pPr>
        <w:pStyle w:val="NoSpacing"/>
        <w:jc w:val="center"/>
        <w:rPr>
          <w:caps/>
        </w:rPr>
      </w:pPr>
    </w:p>
    <w:p w14:paraId="1D77F215" w14:textId="77777777" w:rsidR="0008176F" w:rsidRPr="0008176F" w:rsidRDefault="0008176F" w:rsidP="0008176F">
      <w:pPr>
        <w:pStyle w:val="NoSpacing"/>
        <w:jc w:val="center"/>
        <w:rPr>
          <w:caps/>
        </w:rPr>
      </w:pPr>
    </w:p>
    <w:p w14:paraId="1D8EC86D" w14:textId="77777777" w:rsidR="0008176F" w:rsidRPr="0008176F" w:rsidRDefault="0008176F" w:rsidP="0008176F">
      <w:pPr>
        <w:pStyle w:val="NoSpacing"/>
        <w:jc w:val="center"/>
        <w:rPr>
          <w:caps/>
        </w:rPr>
      </w:pPr>
    </w:p>
    <w:p w14:paraId="09ABCB4D" w14:textId="77777777" w:rsidR="0008176F" w:rsidRPr="0008176F" w:rsidRDefault="0008176F" w:rsidP="0008176F">
      <w:pPr>
        <w:pStyle w:val="NoSpacing"/>
        <w:jc w:val="center"/>
        <w:rPr>
          <w:caps/>
        </w:rPr>
      </w:pPr>
      <w:r w:rsidRPr="0008176F">
        <w:rPr>
          <w:caps/>
        </w:rPr>
        <w:t xml:space="preserve">A </w:t>
      </w:r>
      <w:r w:rsidR="002209DD">
        <w:rPr>
          <w:caps/>
        </w:rPr>
        <w:t>dissertation</w:t>
      </w:r>
    </w:p>
    <w:p w14:paraId="1EA30A50" w14:textId="77777777" w:rsidR="0008176F" w:rsidRPr="0008176F" w:rsidRDefault="0008176F" w:rsidP="0008176F">
      <w:pPr>
        <w:pStyle w:val="NoSpacing"/>
        <w:jc w:val="center"/>
        <w:rPr>
          <w:caps/>
        </w:rPr>
      </w:pPr>
    </w:p>
    <w:p w14:paraId="6FCF6185" w14:textId="77777777" w:rsidR="0008176F" w:rsidRPr="0008176F" w:rsidRDefault="0008176F" w:rsidP="0008176F">
      <w:pPr>
        <w:pStyle w:val="NoSpacing"/>
        <w:jc w:val="center"/>
        <w:rPr>
          <w:caps/>
        </w:rPr>
      </w:pPr>
      <w:r w:rsidRPr="0008176F">
        <w:rPr>
          <w:caps/>
        </w:rPr>
        <w:t>submitted to the Graduate Faculty</w:t>
      </w:r>
    </w:p>
    <w:p w14:paraId="01DD2FF2" w14:textId="77777777" w:rsidR="0008176F" w:rsidRDefault="0008176F" w:rsidP="0008176F">
      <w:pPr>
        <w:pStyle w:val="NoSpacing"/>
        <w:jc w:val="center"/>
      </w:pPr>
      <w:bookmarkStart w:id="0" w:name="_GoBack"/>
      <w:bookmarkEnd w:id="0"/>
    </w:p>
    <w:p w14:paraId="1D84F783" w14:textId="77777777" w:rsidR="0008176F" w:rsidRDefault="0008176F" w:rsidP="0008176F">
      <w:pPr>
        <w:pStyle w:val="NoSpacing"/>
        <w:jc w:val="center"/>
      </w:pPr>
      <w:r>
        <w:t>in partial fulfillment of the requirements for the</w:t>
      </w:r>
    </w:p>
    <w:p w14:paraId="11181098" w14:textId="77777777" w:rsidR="0008176F" w:rsidRDefault="0008176F" w:rsidP="0008176F">
      <w:pPr>
        <w:pStyle w:val="NoSpacing"/>
        <w:jc w:val="center"/>
      </w:pPr>
    </w:p>
    <w:p w14:paraId="634163F2" w14:textId="77777777" w:rsidR="0008176F" w:rsidRDefault="0008176F" w:rsidP="0008176F">
      <w:pPr>
        <w:pStyle w:val="NoSpacing"/>
        <w:jc w:val="center"/>
      </w:pPr>
      <w:r>
        <w:t>Degree of</w:t>
      </w:r>
    </w:p>
    <w:p w14:paraId="5EA414C0" w14:textId="77777777" w:rsidR="0008176F" w:rsidRDefault="0008176F" w:rsidP="0008176F">
      <w:pPr>
        <w:pStyle w:val="NoSpacing"/>
        <w:jc w:val="center"/>
      </w:pPr>
    </w:p>
    <w:p w14:paraId="57BD01C9" w14:textId="704CB2A5" w:rsidR="00746E16" w:rsidRPr="00785420" w:rsidRDefault="00083581" w:rsidP="00785420">
      <w:pPr>
        <w:pStyle w:val="NoSpacing"/>
        <w:spacing w:line="480" w:lineRule="auto"/>
        <w:jc w:val="center"/>
        <w:rPr>
          <w:caps/>
        </w:rPr>
      </w:pPr>
      <w:r>
        <w:rPr>
          <w:caps/>
        </w:rPr>
        <w:t xml:space="preserve">dOCTOR of </w:t>
      </w:r>
      <w:r w:rsidR="00785420" w:rsidRPr="00785420">
        <w:rPr>
          <w:caps/>
        </w:rPr>
        <w:t>Philosophy</w:t>
      </w:r>
    </w:p>
    <w:p w14:paraId="08FA556A" w14:textId="77777777" w:rsidR="00730F0A" w:rsidRDefault="00730F0A" w:rsidP="0008176F">
      <w:pPr>
        <w:pStyle w:val="NoSpacing"/>
        <w:jc w:val="center"/>
      </w:pPr>
    </w:p>
    <w:p w14:paraId="06AB6B60" w14:textId="77777777" w:rsidR="00730F0A" w:rsidRDefault="00730F0A" w:rsidP="0008176F">
      <w:pPr>
        <w:pStyle w:val="NoSpacing"/>
        <w:jc w:val="center"/>
      </w:pPr>
    </w:p>
    <w:p w14:paraId="7942E743" w14:textId="77777777" w:rsidR="00730F0A" w:rsidRDefault="00730F0A" w:rsidP="0008176F">
      <w:pPr>
        <w:pStyle w:val="NoSpacing"/>
        <w:jc w:val="center"/>
      </w:pPr>
    </w:p>
    <w:p w14:paraId="16AEE7AF" w14:textId="77777777" w:rsidR="00730F0A" w:rsidRDefault="00730F0A" w:rsidP="0008176F">
      <w:pPr>
        <w:pStyle w:val="NoSpacing"/>
        <w:jc w:val="center"/>
      </w:pPr>
    </w:p>
    <w:p w14:paraId="4EFADF3E" w14:textId="77777777" w:rsidR="00730F0A" w:rsidRDefault="00730F0A" w:rsidP="0008176F">
      <w:pPr>
        <w:pStyle w:val="NoSpacing"/>
        <w:jc w:val="center"/>
      </w:pPr>
    </w:p>
    <w:p w14:paraId="09532FFC" w14:textId="77777777" w:rsidR="00730F0A" w:rsidRDefault="00730F0A" w:rsidP="0008176F">
      <w:pPr>
        <w:pStyle w:val="NoSpacing"/>
        <w:jc w:val="center"/>
      </w:pPr>
    </w:p>
    <w:p w14:paraId="57647D95" w14:textId="77777777" w:rsidR="00730F0A" w:rsidRDefault="00730F0A" w:rsidP="0008176F">
      <w:pPr>
        <w:pStyle w:val="NoSpacing"/>
        <w:jc w:val="center"/>
      </w:pPr>
    </w:p>
    <w:p w14:paraId="4532AF52" w14:textId="77777777" w:rsidR="00730F0A" w:rsidRDefault="00730F0A" w:rsidP="0008176F">
      <w:pPr>
        <w:pStyle w:val="NoSpacing"/>
        <w:jc w:val="center"/>
      </w:pPr>
    </w:p>
    <w:p w14:paraId="447CAFBC" w14:textId="77777777" w:rsidR="00730F0A" w:rsidRDefault="00730F0A" w:rsidP="0008176F">
      <w:pPr>
        <w:pStyle w:val="NoSpacing"/>
        <w:jc w:val="center"/>
      </w:pPr>
    </w:p>
    <w:p w14:paraId="7E6E9C0E" w14:textId="77777777" w:rsidR="00730F0A" w:rsidRDefault="00730F0A" w:rsidP="0008176F">
      <w:pPr>
        <w:pStyle w:val="NoSpacing"/>
        <w:jc w:val="center"/>
      </w:pPr>
      <w:r>
        <w:t>By</w:t>
      </w:r>
    </w:p>
    <w:p w14:paraId="7465C057"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7E90C229" w14:textId="77777777" w:rsidR="00746E16" w:rsidRDefault="002209DD" w:rsidP="00746E16">
          <w:pPr>
            <w:pStyle w:val="NoSpacing"/>
            <w:jc w:val="center"/>
            <w:rPr>
              <w:caps/>
            </w:rPr>
          </w:pPr>
          <w:r>
            <w:rPr>
              <w:caps/>
            </w:rPr>
            <w:t>rAFAEL AUGUSTO PIRES DE LIMA</w:t>
          </w:r>
        </w:p>
      </w:sdtContent>
    </w:sdt>
    <w:sdt>
      <w:sdtPr>
        <w:id w:val="30091838"/>
        <w:lock w:val="contentLocked"/>
        <w:placeholder>
          <w:docPart w:val="DefaultPlaceholder_22675703"/>
        </w:placeholder>
        <w:group/>
      </w:sdtPr>
      <w:sdtEndPr/>
      <w:sdtContent>
        <w:p w14:paraId="1275A924"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46E68280" w14:textId="77777777" w:rsidR="00730F0A" w:rsidRDefault="002209DD" w:rsidP="00730F0A">
          <w:pPr>
            <w:pStyle w:val="NoSpacing"/>
            <w:jc w:val="center"/>
          </w:pPr>
          <w:r>
            <w:t>2019</w:t>
          </w:r>
        </w:p>
      </w:sdtContent>
    </w:sdt>
    <w:p w14:paraId="142939BA" w14:textId="77777777" w:rsidR="00730F0A" w:rsidRDefault="00730F0A" w:rsidP="00730F0A">
      <w:pPr>
        <w:pStyle w:val="NoSpacing"/>
        <w:jc w:val="center"/>
      </w:pPr>
      <w:r>
        <w:br w:type="page"/>
      </w:r>
    </w:p>
    <w:p w14:paraId="0C984427" w14:textId="77777777" w:rsidR="00730F0A" w:rsidRDefault="00730F0A" w:rsidP="00730F0A">
      <w:pPr>
        <w:pStyle w:val="NoSpacing"/>
        <w:jc w:val="center"/>
      </w:pPr>
    </w:p>
    <w:p w14:paraId="487B4CC2" w14:textId="77777777" w:rsidR="00730F0A" w:rsidRDefault="00730F0A" w:rsidP="00730F0A">
      <w:pPr>
        <w:pStyle w:val="NoSpacing"/>
        <w:jc w:val="center"/>
      </w:pPr>
    </w:p>
    <w:p w14:paraId="3D3C77FB" w14:textId="77777777" w:rsidR="006B5C7A" w:rsidRDefault="006B5C7A" w:rsidP="00730F0A">
      <w:pPr>
        <w:pStyle w:val="NoSpacing"/>
        <w:jc w:val="center"/>
      </w:pPr>
    </w:p>
    <w:p w14:paraId="53D3B94A" w14:textId="77777777" w:rsidR="00C378FA" w:rsidRDefault="00C378FA" w:rsidP="00730F0A">
      <w:pPr>
        <w:pStyle w:val="NoSpacing"/>
        <w:jc w:val="center"/>
      </w:pPr>
    </w:p>
    <w:p w14:paraId="7C78354E"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14:paraId="2AA1E0FB" w14:textId="777DEC02" w:rsidR="00730F0A" w:rsidRPr="00730F0A" w:rsidRDefault="000704AB" w:rsidP="00730F0A">
          <w:pPr>
            <w:pStyle w:val="NoSpacing"/>
            <w:jc w:val="center"/>
            <w:rPr>
              <w:caps/>
            </w:rPr>
          </w:pPr>
          <w:r>
            <w:rPr>
              <w:caps/>
            </w:rPr>
            <w:t xml:space="preserve">machine learning applications </w:t>
          </w:r>
          <w:r w:rsidR="00785420">
            <w:rPr>
              <w:caps/>
            </w:rPr>
            <w:t>for geoscience problems</w:t>
          </w:r>
        </w:p>
      </w:sdtContent>
    </w:sdt>
    <w:p w14:paraId="1F40C98A" w14:textId="77777777" w:rsidR="00730F0A" w:rsidRPr="00730F0A" w:rsidRDefault="00730F0A" w:rsidP="00730F0A">
      <w:pPr>
        <w:pStyle w:val="NoSpacing"/>
        <w:jc w:val="center"/>
        <w:rPr>
          <w:caps/>
        </w:rPr>
      </w:pPr>
    </w:p>
    <w:p w14:paraId="13806A22"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40745A44" w14:textId="77777777" w:rsidR="00730F0A" w:rsidRPr="00730F0A" w:rsidRDefault="00730F0A" w:rsidP="00730F0A">
          <w:pPr>
            <w:pStyle w:val="NoSpacing"/>
            <w:jc w:val="center"/>
            <w:rPr>
              <w:caps/>
            </w:rPr>
          </w:pPr>
          <w:r w:rsidRPr="00730F0A">
            <w:rPr>
              <w:caps/>
            </w:rPr>
            <w:t>A thesis approved for the</w:t>
          </w:r>
        </w:p>
      </w:sdtContent>
    </w:sdt>
    <w:p w14:paraId="4AB7BA38" w14:textId="77777777" w:rsidR="00746E16" w:rsidRDefault="000704AB" w:rsidP="00746E16">
      <w:pPr>
        <w:pStyle w:val="NoSpacing"/>
        <w:jc w:val="center"/>
        <w:rPr>
          <w:caps/>
        </w:rPr>
      </w:pPr>
      <w:r>
        <w:rPr>
          <w:caps/>
        </w:rPr>
        <w:t>School of geosciences</w:t>
      </w:r>
    </w:p>
    <w:p w14:paraId="056FD62E" w14:textId="77777777" w:rsidR="00730F0A" w:rsidRPr="00730F0A" w:rsidRDefault="00730F0A" w:rsidP="00730F0A">
      <w:pPr>
        <w:pStyle w:val="NoSpacing"/>
        <w:jc w:val="center"/>
        <w:rPr>
          <w:caps/>
        </w:rPr>
      </w:pPr>
    </w:p>
    <w:p w14:paraId="2E786267" w14:textId="77777777" w:rsidR="00730F0A" w:rsidRPr="00730F0A" w:rsidRDefault="00730F0A" w:rsidP="00730F0A">
      <w:pPr>
        <w:pStyle w:val="NoSpacing"/>
        <w:jc w:val="center"/>
        <w:rPr>
          <w:caps/>
        </w:rPr>
      </w:pPr>
    </w:p>
    <w:p w14:paraId="5B63CC07" w14:textId="77777777" w:rsidR="00730F0A" w:rsidRPr="00730F0A" w:rsidRDefault="00730F0A" w:rsidP="00730F0A">
      <w:pPr>
        <w:pStyle w:val="NoSpacing"/>
        <w:jc w:val="center"/>
        <w:rPr>
          <w:caps/>
        </w:rPr>
      </w:pPr>
    </w:p>
    <w:p w14:paraId="1E9714BE" w14:textId="77777777" w:rsidR="00730F0A" w:rsidRDefault="00730F0A" w:rsidP="00730F0A">
      <w:pPr>
        <w:pStyle w:val="NoSpacing"/>
        <w:jc w:val="center"/>
        <w:rPr>
          <w:caps/>
        </w:rPr>
      </w:pPr>
    </w:p>
    <w:p w14:paraId="25037B97" w14:textId="77777777" w:rsidR="00730F0A" w:rsidRPr="00730F0A" w:rsidRDefault="00730F0A" w:rsidP="00730F0A">
      <w:pPr>
        <w:pStyle w:val="NoSpacing"/>
        <w:jc w:val="center"/>
        <w:rPr>
          <w:caps/>
        </w:rPr>
      </w:pPr>
    </w:p>
    <w:p w14:paraId="11A91D09" w14:textId="77777777" w:rsidR="00730F0A" w:rsidRPr="00730F0A" w:rsidRDefault="00730F0A" w:rsidP="00730F0A">
      <w:pPr>
        <w:pStyle w:val="NoSpacing"/>
        <w:jc w:val="center"/>
        <w:rPr>
          <w:caps/>
        </w:rPr>
      </w:pPr>
    </w:p>
    <w:p w14:paraId="1FCB9932" w14:textId="77777777" w:rsidR="00730F0A" w:rsidRPr="00730F0A" w:rsidRDefault="00730F0A" w:rsidP="00730F0A">
      <w:pPr>
        <w:pStyle w:val="NoSpacing"/>
        <w:jc w:val="center"/>
        <w:rPr>
          <w:caps/>
        </w:rPr>
      </w:pPr>
    </w:p>
    <w:p w14:paraId="60C0CC1C" w14:textId="77777777" w:rsidR="00730F0A" w:rsidRPr="00730F0A" w:rsidRDefault="00730F0A" w:rsidP="00730F0A">
      <w:pPr>
        <w:pStyle w:val="NoSpacing"/>
        <w:jc w:val="center"/>
        <w:rPr>
          <w:caps/>
        </w:rPr>
      </w:pPr>
    </w:p>
    <w:p w14:paraId="5F6329CF" w14:textId="0D080C21" w:rsidR="00730F0A" w:rsidRPr="00730F0A" w:rsidRDefault="00BE451E" w:rsidP="00730F0A">
      <w:pPr>
        <w:pStyle w:val="NoSpacing"/>
        <w:jc w:val="center"/>
        <w:rPr>
          <w:caps/>
        </w:rPr>
      </w:pPr>
      <w:r w:rsidRPr="00BE451E">
        <w:rPr>
          <w:caps/>
        </w:rPr>
        <w:t>BY THE COMMITTEE CONSISTING OF</w:t>
      </w:r>
    </w:p>
    <w:p w14:paraId="7A47C9A8" w14:textId="77777777" w:rsidR="00730F0A" w:rsidRDefault="00730F0A" w:rsidP="00730F0A">
      <w:pPr>
        <w:pStyle w:val="NoSpacing"/>
        <w:jc w:val="center"/>
      </w:pPr>
    </w:p>
    <w:p w14:paraId="2F101B9B" w14:textId="77777777" w:rsidR="00730F0A" w:rsidRDefault="00730F0A" w:rsidP="00730F0A">
      <w:pPr>
        <w:pStyle w:val="NoSpacing"/>
        <w:jc w:val="center"/>
      </w:pPr>
    </w:p>
    <w:p w14:paraId="17FFE09A" w14:textId="77777777" w:rsidR="00730F0A" w:rsidRDefault="00730F0A" w:rsidP="00730F0A">
      <w:pPr>
        <w:pStyle w:val="NoSpacing"/>
        <w:jc w:val="center"/>
      </w:pPr>
    </w:p>
    <w:p w14:paraId="2A70E36E" w14:textId="77777777" w:rsidR="00730F0A" w:rsidRDefault="00CE1F3C"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0704AB">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0704AB">
            <w:t>Kurt Marfurt</w:t>
          </w:r>
        </w:sdtContent>
      </w:sdt>
      <w:r w:rsidR="00730F0A">
        <w:t>, Chair</w:t>
      </w:r>
    </w:p>
    <w:p w14:paraId="47D1B473" w14:textId="77777777" w:rsidR="00730F0A" w:rsidRDefault="00730F0A" w:rsidP="00730F0A">
      <w:pPr>
        <w:pStyle w:val="NoSpacing"/>
        <w:jc w:val="right"/>
      </w:pPr>
    </w:p>
    <w:p w14:paraId="5304702D" w14:textId="77777777" w:rsidR="00730F0A" w:rsidRDefault="00730F0A" w:rsidP="00730F0A">
      <w:pPr>
        <w:pStyle w:val="NoSpacing"/>
        <w:jc w:val="right"/>
      </w:pPr>
    </w:p>
    <w:p w14:paraId="5E5B91B4" w14:textId="77777777" w:rsidR="00730F0A" w:rsidRPr="00691AC3" w:rsidRDefault="00CE1F3C" w:rsidP="00730F0A">
      <w:pPr>
        <w:pStyle w:val="NoSpacing"/>
        <w:jc w:val="right"/>
        <w:rPr>
          <w:lang w:val="de-DE"/>
        </w:rPr>
      </w:pPr>
      <w:sdt>
        <w:sdtPr>
          <w:rPr>
            <w:lang w:val="de-DE"/>
          </w:r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0704AB" w:rsidRPr="00691AC3">
            <w:rPr>
              <w:lang w:val="de-DE"/>
            </w:rPr>
            <w:t>Dr.</w:t>
          </w:r>
        </w:sdtContent>
      </w:sdt>
      <w:r w:rsidR="00730F0A" w:rsidRPr="00691AC3">
        <w:rPr>
          <w:lang w:val="de-DE"/>
        </w:rPr>
        <w:t xml:space="preserve"> </w:t>
      </w:r>
      <w:sdt>
        <w:sdtPr>
          <w:alias w:val="Click to enter 2nd member name"/>
          <w:tag w:val="2nd member"/>
          <w:id w:val="30091850"/>
          <w:lock w:val="sdtLocked"/>
          <w:placeholder>
            <w:docPart w:val="C062FEE9CF144A928363900CFCE29497"/>
          </w:placeholder>
        </w:sdtPr>
        <w:sdtEndPr/>
        <w:sdtContent>
          <w:r w:rsidR="000704AB" w:rsidRPr="00691AC3">
            <w:rPr>
              <w:lang w:val="de-DE"/>
            </w:rPr>
            <w:t>Michael Behm</w:t>
          </w:r>
        </w:sdtContent>
      </w:sdt>
    </w:p>
    <w:p w14:paraId="79F19236" w14:textId="77777777" w:rsidR="00730F0A" w:rsidRPr="00691AC3" w:rsidRDefault="00730F0A" w:rsidP="00730F0A">
      <w:pPr>
        <w:pStyle w:val="NoSpacing"/>
        <w:jc w:val="right"/>
        <w:rPr>
          <w:lang w:val="de-DE"/>
        </w:rPr>
      </w:pPr>
    </w:p>
    <w:p w14:paraId="43830A11" w14:textId="77777777" w:rsidR="00730F0A" w:rsidRPr="00691AC3" w:rsidRDefault="00730F0A" w:rsidP="00730F0A">
      <w:pPr>
        <w:pStyle w:val="NoSpacing"/>
        <w:jc w:val="right"/>
        <w:rPr>
          <w:lang w:val="de-DE"/>
        </w:rPr>
      </w:pPr>
    </w:p>
    <w:p w14:paraId="7044C528" w14:textId="77777777" w:rsidR="00730F0A" w:rsidRPr="00691AC3" w:rsidRDefault="00CE1F3C" w:rsidP="00730F0A">
      <w:pPr>
        <w:pStyle w:val="NoSpacing"/>
        <w:jc w:val="right"/>
        <w:rPr>
          <w:lang w:val="de-DE"/>
        </w:rPr>
      </w:pPr>
      <w:sdt>
        <w:sdtPr>
          <w:rPr>
            <w:lang w:val="de-DE"/>
          </w:r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0704AB" w:rsidRPr="00691AC3">
            <w:rPr>
              <w:lang w:val="de-DE"/>
            </w:rPr>
            <w:t>Dr.</w:t>
          </w:r>
        </w:sdtContent>
      </w:sdt>
      <w:r w:rsidR="00746E16" w:rsidRPr="00691AC3">
        <w:rPr>
          <w:lang w:val="de-DE"/>
        </w:rPr>
        <w:t xml:space="preserve"> </w:t>
      </w:r>
      <w:sdt>
        <w:sdtPr>
          <w:alias w:val="Click to enter 3rd member name"/>
          <w:tag w:val="3rd member"/>
          <w:id w:val="30091852"/>
          <w:lock w:val="sdtLocked"/>
          <w:placeholder>
            <w:docPart w:val="6D39F422706D4B8B985B3284341ED3DD"/>
          </w:placeholder>
        </w:sdtPr>
        <w:sdtEndPr/>
        <w:sdtContent>
          <w:r w:rsidR="000704AB" w:rsidRPr="00691AC3">
            <w:rPr>
              <w:lang w:val="de-DE"/>
            </w:rPr>
            <w:t>Shankar Mitra</w:t>
          </w:r>
        </w:sdtContent>
      </w:sdt>
    </w:p>
    <w:p w14:paraId="194C7835" w14:textId="77777777" w:rsidR="00730F0A" w:rsidRPr="00691AC3" w:rsidRDefault="00730F0A" w:rsidP="00730F0A">
      <w:pPr>
        <w:pStyle w:val="NoSpacing"/>
        <w:jc w:val="right"/>
        <w:rPr>
          <w:lang w:val="de-DE"/>
        </w:rPr>
      </w:pPr>
    </w:p>
    <w:p w14:paraId="25AC59A7" w14:textId="77777777" w:rsidR="00730F0A" w:rsidRPr="00691AC3" w:rsidRDefault="00730F0A" w:rsidP="00730F0A">
      <w:pPr>
        <w:pStyle w:val="NoSpacing"/>
        <w:jc w:val="right"/>
        <w:rPr>
          <w:lang w:val="de-DE"/>
        </w:rPr>
      </w:pPr>
    </w:p>
    <w:p w14:paraId="4F96F47E" w14:textId="77777777" w:rsidR="00730F0A" w:rsidRDefault="00CE1F3C" w:rsidP="00730F0A">
      <w:pPr>
        <w:pStyle w:val="NoSpacing"/>
        <w:jc w:val="right"/>
      </w:pPr>
      <w:sdt>
        <w:sdtPr>
          <w:alias w:val="Select the appropriate prefix"/>
          <w:tag w:val="Prefix"/>
          <w:id w:val="30091854"/>
          <w:placeholder>
            <w:docPart w:val="2DCAA8C8C1B74D6EAF7A754B2BB601F6"/>
          </w:placeholder>
          <w:dropDownList>
            <w:listItem w:displayText="[Prefix]" w:value="[Prefix]"/>
            <w:listItem w:displayText="Dr." w:value="Dr."/>
            <w:listItem w:displayText="Mr." w:value="Mr."/>
            <w:listItem w:displayText="Mrs." w:value="Mrs."/>
            <w:listItem w:displayText="Ms." w:value="Ms."/>
          </w:dropDownList>
        </w:sdtPr>
        <w:sdtEndPr/>
        <w:sdtContent>
          <w:r w:rsidR="000704AB">
            <w:t>Dr.</w:t>
          </w:r>
        </w:sdtContent>
      </w:sdt>
      <w:r w:rsidR="00730F0A">
        <w:t xml:space="preserve"> </w:t>
      </w:r>
      <w:sdt>
        <w:sdtPr>
          <w:alias w:val="Click to enter 4th member name, if applicable"/>
          <w:tag w:val="4th member"/>
          <w:id w:val="30091855"/>
          <w:placeholder>
            <w:docPart w:val="DA806E397DC842508EF4DF85269E45AE"/>
          </w:placeholder>
        </w:sdtPr>
        <w:sdtEndPr/>
        <w:sdtContent>
          <w:r w:rsidR="000704AB">
            <w:t>Zulfiquar Reza</w:t>
          </w:r>
        </w:sdtContent>
      </w:sdt>
    </w:p>
    <w:p w14:paraId="6D2E7185" w14:textId="77777777" w:rsidR="00730F0A" w:rsidRDefault="00730F0A" w:rsidP="00730F0A">
      <w:pPr>
        <w:pStyle w:val="NoSpacing"/>
        <w:jc w:val="right"/>
      </w:pPr>
    </w:p>
    <w:p w14:paraId="29C5DCCD" w14:textId="77777777" w:rsidR="00730F0A" w:rsidRDefault="00730F0A" w:rsidP="00730F0A">
      <w:pPr>
        <w:pStyle w:val="NoSpacing"/>
        <w:jc w:val="right"/>
      </w:pPr>
    </w:p>
    <w:p w14:paraId="717081FF" w14:textId="77777777" w:rsidR="00730F0A" w:rsidRDefault="00CE1F3C" w:rsidP="00730F0A">
      <w:pPr>
        <w:pStyle w:val="NoSpacing"/>
        <w:jc w:val="right"/>
      </w:pPr>
      <w:sdt>
        <w:sdtPr>
          <w:alias w:val="Select the appropriate prefix"/>
          <w:tag w:val="Prefix"/>
          <w:id w:val="30091857"/>
          <w:placeholder>
            <w:docPart w:val="9473ECB0C550424D8A298F9501EE09A1"/>
          </w:placeholder>
          <w:dropDownList>
            <w:listItem w:displayText="[Prefix]" w:value="[Prefix]"/>
            <w:listItem w:displayText="Dr." w:value="Dr."/>
            <w:listItem w:displayText="Mr." w:value="Mr."/>
            <w:listItem w:displayText="Mrs." w:value="Mrs."/>
            <w:listItem w:displayText="Ms." w:value="Ms."/>
          </w:dropDownList>
        </w:sdtPr>
        <w:sdtEndPr/>
        <w:sdtContent>
          <w:r w:rsidR="000704AB">
            <w:t>Dr.</w:t>
          </w:r>
        </w:sdtContent>
      </w:sdt>
      <w:r w:rsidR="00730F0A">
        <w:t xml:space="preserve"> </w:t>
      </w:r>
      <w:sdt>
        <w:sdtPr>
          <w:alias w:val="Click to enter 5th member name, if applicable"/>
          <w:tag w:val="5th member"/>
          <w:id w:val="30091858"/>
          <w:placeholder>
            <w:docPart w:val="E76CD3450AB7403A9E1149A692198555"/>
          </w:placeholder>
        </w:sdtPr>
        <w:sdtEndPr/>
        <w:sdtContent>
          <w:r w:rsidR="000704AB">
            <w:t>Thomas Neeson</w:t>
          </w:r>
        </w:sdtContent>
      </w:sdt>
    </w:p>
    <w:p w14:paraId="043803F5" w14:textId="77777777" w:rsidR="00730F0A" w:rsidRDefault="00730F0A" w:rsidP="00730F0A">
      <w:pPr>
        <w:pStyle w:val="NoSpacing"/>
        <w:jc w:val="center"/>
      </w:pPr>
      <w:r>
        <w:br w:type="page"/>
      </w:r>
    </w:p>
    <w:p w14:paraId="73FC8C44" w14:textId="77777777" w:rsidR="00730F0A" w:rsidRDefault="00730F0A" w:rsidP="00730F0A">
      <w:pPr>
        <w:pStyle w:val="NoSpacing"/>
        <w:jc w:val="center"/>
      </w:pPr>
    </w:p>
    <w:p w14:paraId="3A9E0ABC" w14:textId="77777777" w:rsidR="00730F0A" w:rsidRDefault="00730F0A" w:rsidP="00730F0A">
      <w:pPr>
        <w:pStyle w:val="NoSpacing"/>
        <w:jc w:val="center"/>
      </w:pPr>
    </w:p>
    <w:p w14:paraId="5C0E95DA" w14:textId="77777777" w:rsidR="00730F0A" w:rsidRDefault="00730F0A" w:rsidP="00730F0A">
      <w:pPr>
        <w:pStyle w:val="NoSpacing"/>
        <w:jc w:val="center"/>
      </w:pPr>
    </w:p>
    <w:p w14:paraId="3697B7F1" w14:textId="77777777" w:rsidR="00730F0A" w:rsidRDefault="00730F0A" w:rsidP="00730F0A">
      <w:pPr>
        <w:pStyle w:val="NoSpacing"/>
        <w:jc w:val="center"/>
      </w:pPr>
    </w:p>
    <w:p w14:paraId="75787A08" w14:textId="77777777" w:rsidR="00730F0A" w:rsidRDefault="00730F0A" w:rsidP="00730F0A">
      <w:pPr>
        <w:pStyle w:val="NoSpacing"/>
        <w:jc w:val="center"/>
      </w:pPr>
    </w:p>
    <w:p w14:paraId="29EE6ACF" w14:textId="77777777" w:rsidR="00730F0A" w:rsidRDefault="00730F0A" w:rsidP="00730F0A">
      <w:pPr>
        <w:pStyle w:val="NoSpacing"/>
        <w:jc w:val="center"/>
      </w:pPr>
    </w:p>
    <w:p w14:paraId="3A84623D" w14:textId="77777777" w:rsidR="00730F0A" w:rsidRDefault="00730F0A" w:rsidP="00730F0A">
      <w:pPr>
        <w:pStyle w:val="NoSpacing"/>
        <w:jc w:val="center"/>
      </w:pPr>
    </w:p>
    <w:p w14:paraId="03B98C3D" w14:textId="77777777" w:rsidR="00730F0A" w:rsidRDefault="00730F0A" w:rsidP="00730F0A">
      <w:pPr>
        <w:pStyle w:val="NoSpacing"/>
        <w:jc w:val="center"/>
      </w:pPr>
    </w:p>
    <w:p w14:paraId="0045BDFB" w14:textId="77777777" w:rsidR="00730F0A" w:rsidRDefault="00730F0A" w:rsidP="00730F0A">
      <w:pPr>
        <w:pStyle w:val="NoSpacing"/>
        <w:jc w:val="center"/>
      </w:pPr>
    </w:p>
    <w:p w14:paraId="0E95F40B" w14:textId="77777777" w:rsidR="00730F0A" w:rsidRDefault="00730F0A" w:rsidP="00730F0A">
      <w:pPr>
        <w:pStyle w:val="NoSpacing"/>
        <w:jc w:val="center"/>
      </w:pPr>
    </w:p>
    <w:p w14:paraId="29C003C5" w14:textId="77777777" w:rsidR="00730F0A" w:rsidRDefault="00730F0A" w:rsidP="00730F0A">
      <w:pPr>
        <w:pStyle w:val="NoSpacing"/>
        <w:jc w:val="center"/>
      </w:pPr>
    </w:p>
    <w:p w14:paraId="465D6022" w14:textId="77777777" w:rsidR="00730F0A" w:rsidRDefault="00730F0A" w:rsidP="00730F0A">
      <w:pPr>
        <w:pStyle w:val="NoSpacing"/>
        <w:jc w:val="center"/>
      </w:pPr>
    </w:p>
    <w:p w14:paraId="073DD3EB" w14:textId="77777777" w:rsidR="00730F0A" w:rsidRDefault="00730F0A" w:rsidP="00730F0A">
      <w:pPr>
        <w:pStyle w:val="NoSpacing"/>
        <w:jc w:val="center"/>
      </w:pPr>
    </w:p>
    <w:p w14:paraId="69F7907F" w14:textId="77777777" w:rsidR="00730F0A" w:rsidRDefault="00730F0A" w:rsidP="00730F0A">
      <w:pPr>
        <w:pStyle w:val="NoSpacing"/>
        <w:jc w:val="center"/>
      </w:pPr>
    </w:p>
    <w:p w14:paraId="596F45D5" w14:textId="77777777" w:rsidR="00730F0A" w:rsidRDefault="00730F0A" w:rsidP="00730F0A">
      <w:pPr>
        <w:pStyle w:val="NoSpacing"/>
        <w:jc w:val="center"/>
      </w:pPr>
    </w:p>
    <w:p w14:paraId="1CD6D339" w14:textId="77777777" w:rsidR="00730F0A" w:rsidRDefault="00730F0A" w:rsidP="00730F0A">
      <w:pPr>
        <w:pStyle w:val="NoSpacing"/>
        <w:jc w:val="center"/>
      </w:pPr>
    </w:p>
    <w:p w14:paraId="7871F92F" w14:textId="77777777" w:rsidR="00730F0A" w:rsidRDefault="00730F0A" w:rsidP="00730F0A">
      <w:pPr>
        <w:pStyle w:val="NoSpacing"/>
        <w:jc w:val="center"/>
      </w:pPr>
    </w:p>
    <w:p w14:paraId="47718B37" w14:textId="77777777" w:rsidR="00730F0A" w:rsidRDefault="00730F0A" w:rsidP="00730F0A">
      <w:pPr>
        <w:pStyle w:val="NoSpacing"/>
        <w:jc w:val="center"/>
      </w:pPr>
    </w:p>
    <w:p w14:paraId="69F6A2A8" w14:textId="77777777" w:rsidR="00730F0A" w:rsidRDefault="00730F0A" w:rsidP="00730F0A">
      <w:pPr>
        <w:pStyle w:val="NoSpacing"/>
        <w:jc w:val="center"/>
      </w:pPr>
    </w:p>
    <w:p w14:paraId="35CAF387" w14:textId="77777777" w:rsidR="00730F0A" w:rsidRDefault="00730F0A" w:rsidP="00730F0A">
      <w:pPr>
        <w:pStyle w:val="NoSpacing"/>
        <w:jc w:val="center"/>
      </w:pPr>
    </w:p>
    <w:p w14:paraId="45ED5C7B" w14:textId="77777777" w:rsidR="00730F0A" w:rsidRDefault="00730F0A" w:rsidP="00730F0A">
      <w:pPr>
        <w:pStyle w:val="NoSpacing"/>
        <w:jc w:val="center"/>
      </w:pPr>
    </w:p>
    <w:p w14:paraId="3E01BDBD" w14:textId="77777777" w:rsidR="00730F0A" w:rsidRDefault="00730F0A" w:rsidP="00730F0A">
      <w:pPr>
        <w:pStyle w:val="NoSpacing"/>
        <w:jc w:val="center"/>
      </w:pPr>
    </w:p>
    <w:p w14:paraId="63D8DA71" w14:textId="77777777" w:rsidR="00730F0A" w:rsidRDefault="00730F0A" w:rsidP="00730F0A">
      <w:pPr>
        <w:pStyle w:val="NoSpacing"/>
        <w:jc w:val="center"/>
      </w:pPr>
    </w:p>
    <w:p w14:paraId="114118A4" w14:textId="77777777" w:rsidR="00730F0A" w:rsidRDefault="00730F0A" w:rsidP="00730F0A">
      <w:pPr>
        <w:pStyle w:val="NoSpacing"/>
        <w:jc w:val="center"/>
      </w:pPr>
    </w:p>
    <w:p w14:paraId="095AFB29" w14:textId="77777777" w:rsidR="00730F0A" w:rsidRDefault="00730F0A" w:rsidP="00730F0A">
      <w:pPr>
        <w:pStyle w:val="NoSpacing"/>
        <w:jc w:val="center"/>
      </w:pPr>
    </w:p>
    <w:p w14:paraId="0262147D" w14:textId="77777777" w:rsidR="00730F0A" w:rsidRDefault="00730F0A" w:rsidP="00730F0A">
      <w:pPr>
        <w:pStyle w:val="NoSpacing"/>
        <w:jc w:val="center"/>
      </w:pPr>
    </w:p>
    <w:p w14:paraId="07B8A28E" w14:textId="77777777" w:rsidR="00730F0A" w:rsidRDefault="00730F0A" w:rsidP="00730F0A">
      <w:pPr>
        <w:pStyle w:val="NoSpacing"/>
        <w:jc w:val="center"/>
      </w:pPr>
    </w:p>
    <w:p w14:paraId="5140DC55" w14:textId="77777777" w:rsidR="00730F0A" w:rsidRDefault="00730F0A" w:rsidP="00730F0A">
      <w:pPr>
        <w:pStyle w:val="NoSpacing"/>
        <w:jc w:val="center"/>
      </w:pPr>
    </w:p>
    <w:p w14:paraId="405182EF" w14:textId="77777777" w:rsidR="00730F0A" w:rsidRDefault="00730F0A" w:rsidP="00730F0A">
      <w:pPr>
        <w:pStyle w:val="NoSpacing"/>
        <w:jc w:val="center"/>
      </w:pPr>
    </w:p>
    <w:p w14:paraId="1218E21E" w14:textId="77777777" w:rsidR="00730F0A" w:rsidRDefault="00730F0A" w:rsidP="00730F0A">
      <w:pPr>
        <w:pStyle w:val="NoSpacing"/>
        <w:jc w:val="center"/>
      </w:pPr>
    </w:p>
    <w:p w14:paraId="5FA763D3" w14:textId="77777777" w:rsidR="00730F0A" w:rsidRDefault="00730F0A" w:rsidP="00730F0A">
      <w:pPr>
        <w:pStyle w:val="NoSpacing"/>
        <w:jc w:val="center"/>
      </w:pPr>
    </w:p>
    <w:p w14:paraId="33AD8812" w14:textId="77777777" w:rsidR="00730F0A" w:rsidRDefault="00730F0A" w:rsidP="00730F0A">
      <w:pPr>
        <w:pStyle w:val="NoSpacing"/>
        <w:jc w:val="center"/>
      </w:pPr>
    </w:p>
    <w:p w14:paraId="2349DC07" w14:textId="77777777" w:rsidR="00730F0A" w:rsidRDefault="00730F0A" w:rsidP="00730F0A">
      <w:pPr>
        <w:pStyle w:val="NoSpacing"/>
        <w:jc w:val="center"/>
      </w:pPr>
    </w:p>
    <w:p w14:paraId="638AC8F0" w14:textId="77777777" w:rsidR="00730F0A" w:rsidRDefault="00730F0A" w:rsidP="00730F0A">
      <w:pPr>
        <w:pStyle w:val="NoSpacing"/>
        <w:jc w:val="center"/>
      </w:pPr>
    </w:p>
    <w:p w14:paraId="5E4B9B91" w14:textId="77777777" w:rsidR="00730F0A" w:rsidRDefault="00730F0A" w:rsidP="00730F0A">
      <w:pPr>
        <w:pStyle w:val="NoSpacing"/>
        <w:jc w:val="center"/>
      </w:pPr>
    </w:p>
    <w:p w14:paraId="159BF799" w14:textId="77777777" w:rsidR="00730F0A" w:rsidRDefault="00730F0A" w:rsidP="00730F0A">
      <w:pPr>
        <w:pStyle w:val="NoSpacing"/>
        <w:jc w:val="center"/>
      </w:pPr>
    </w:p>
    <w:p w14:paraId="1B766DF8" w14:textId="77777777" w:rsidR="00730F0A" w:rsidRDefault="00730F0A" w:rsidP="00730F0A">
      <w:pPr>
        <w:pStyle w:val="NoSpacing"/>
        <w:jc w:val="center"/>
      </w:pPr>
    </w:p>
    <w:p w14:paraId="29657E37" w14:textId="77777777" w:rsidR="00730F0A" w:rsidRDefault="00730F0A" w:rsidP="00730F0A">
      <w:pPr>
        <w:pStyle w:val="NoSpacing"/>
        <w:jc w:val="center"/>
      </w:pPr>
    </w:p>
    <w:p w14:paraId="35A7C385" w14:textId="77777777" w:rsidR="00730F0A" w:rsidRDefault="00730F0A" w:rsidP="00730F0A">
      <w:pPr>
        <w:pStyle w:val="NoSpacing"/>
        <w:jc w:val="center"/>
      </w:pPr>
    </w:p>
    <w:p w14:paraId="0004A05C" w14:textId="77777777" w:rsidR="00730F0A" w:rsidRDefault="00730F0A" w:rsidP="00730F0A">
      <w:pPr>
        <w:pStyle w:val="NoSpacing"/>
        <w:jc w:val="center"/>
      </w:pPr>
    </w:p>
    <w:p w14:paraId="4C889122" w14:textId="77777777" w:rsidR="00730F0A" w:rsidRDefault="00730F0A" w:rsidP="00730F0A">
      <w:pPr>
        <w:pStyle w:val="NoSpacing"/>
        <w:jc w:val="center"/>
      </w:pPr>
    </w:p>
    <w:p w14:paraId="2E34A989" w14:textId="77777777" w:rsidR="00730F0A" w:rsidRDefault="00730F0A" w:rsidP="00730F0A">
      <w:pPr>
        <w:pStyle w:val="NoSpacing"/>
        <w:jc w:val="center"/>
      </w:pPr>
    </w:p>
    <w:p w14:paraId="3558A87D" w14:textId="77777777" w:rsidR="00730F0A" w:rsidRDefault="00CE1F3C"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0704AB">
            <w:rPr>
              <w:caps/>
            </w:rPr>
            <w:t>rafael augusto pires de lima</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0704AB">
            <w:t>2019</w:t>
          </w:r>
        </w:sdtContent>
      </w:sdt>
    </w:p>
    <w:p w14:paraId="25449456" w14:textId="77777777" w:rsidR="00730F0A" w:rsidRDefault="00730F0A" w:rsidP="00730F0A">
      <w:pPr>
        <w:pStyle w:val="NoSpacing"/>
        <w:jc w:val="center"/>
      </w:pPr>
      <w:r>
        <w:t>All Rights Reserved.</w:t>
      </w:r>
    </w:p>
    <w:p w14:paraId="52FB6150" w14:textId="04CE38EB" w:rsidR="008E1C26" w:rsidRDefault="006F10CE" w:rsidP="008E1C26">
      <w:pPr>
        <w:sectPr w:rsidR="008E1C26" w:rsidSect="00C378FA">
          <w:pgSz w:w="12240" w:h="15840" w:code="1"/>
          <w:pgMar w:top="1440" w:right="1440" w:bottom="1440" w:left="2304" w:header="720" w:footer="720" w:gutter="0"/>
          <w:cols w:space="720"/>
          <w:docGrid w:linePitch="360"/>
        </w:sectPr>
      </w:pPr>
      <w:r>
        <w:br w:type="page"/>
      </w:r>
    </w:p>
    <w:p w14:paraId="10D10B23" w14:textId="77777777" w:rsidR="008E1C26" w:rsidRDefault="00775701" w:rsidP="00C6706E">
      <w:pPr>
        <w:pStyle w:val="Heading1"/>
      </w:pPr>
      <w:bookmarkStart w:id="1" w:name="_Toc310579464"/>
      <w:bookmarkStart w:id="2" w:name="_Toc26534557"/>
      <w:r>
        <w:lastRenderedPageBreak/>
        <w:t>Acknowledgements</w:t>
      </w:r>
      <w:bookmarkEnd w:id="1"/>
      <w:bookmarkEnd w:id="2"/>
    </w:p>
    <w:p w14:paraId="6B14C0A0" w14:textId="5D4D9771" w:rsidR="00F51A24" w:rsidRDefault="00F51A24" w:rsidP="00F51A24">
      <w:r>
        <w:tab/>
      </w:r>
      <w:r w:rsidR="00FC06C4">
        <w:t xml:space="preserve">I want first to thank my mother and father, Maria Alaide Pires de Lima, and Nelson Augusto de Lima, as well as my siblings Silvio, Silvia, Marcos, Ana, </w:t>
      </w:r>
      <w:r w:rsidR="00EC35F8">
        <w:t xml:space="preserve">my uncle Jose, </w:t>
      </w:r>
      <w:r w:rsidR="00FC06C4">
        <w:t xml:space="preserve">and my extended family </w:t>
      </w:r>
      <w:r>
        <w:t>for their help and support</w:t>
      </w:r>
      <w:r w:rsidR="00FC06C4">
        <w:t xml:space="preserve"> </w:t>
      </w:r>
      <w:r>
        <w:t xml:space="preserve">throughout this project. I would like to thank my committee members: Dr. Kurt Marfurt, Dr. Shankar Mitra, Dr. Michael Behm, Dr. Zulfiquar Reza, and Dr. Thomas Neeson for their support and encouragement. I am very thankful for my supervisor Dr. Kurt Marfurt, who gave me the opportunity to learn more about geophysics and how to conduct research. I am extremely grateful for his support and guidance. </w:t>
      </w:r>
      <w:r w:rsidR="00FB6008">
        <w:t xml:space="preserve">To Rebecca Fay, thank you so much for helping me with all the many forms I belated submitted and for helping draft so many letters. </w:t>
      </w:r>
      <w:r>
        <w:t xml:space="preserve">I acknowledge CNPq-Brazil (grant 203589/2014-9) for graduate sponsorship and CPRM-Brazil for granting </w:t>
      </w:r>
      <w:r w:rsidR="00FC06C4">
        <w:t xml:space="preserve">my </w:t>
      </w:r>
      <w:r>
        <w:t>leave</w:t>
      </w:r>
      <w:r w:rsidR="00FC06C4">
        <w:t xml:space="preserve"> of absence</w:t>
      </w:r>
      <w:r>
        <w:t>.</w:t>
      </w:r>
    </w:p>
    <w:p w14:paraId="3EA505B9" w14:textId="48B7C16D" w:rsidR="003450B1" w:rsidRDefault="00F51A24" w:rsidP="00FB6008">
      <w:pPr>
        <w:ind w:firstLine="720"/>
      </w:pPr>
      <w:r>
        <w:t xml:space="preserve">I would like to thank all the friends I made during the four years I spent </w:t>
      </w:r>
      <w:r w:rsidR="00FC06C4">
        <w:t xml:space="preserve">at </w:t>
      </w:r>
      <w:r>
        <w:t>the University of Oklahoma</w:t>
      </w:r>
      <w:r w:rsidR="00FB6008">
        <w:t xml:space="preserve"> </w:t>
      </w:r>
      <w:r w:rsidR="00325004">
        <w:t>for all the help they provided when I was working towards two masters, a graduate certificate, a doctorate, and a graduate research assistantship in the Los Alamos National Laboratory</w:t>
      </w:r>
      <w:r>
        <w:t xml:space="preserve">. I </w:t>
      </w:r>
      <w:r w:rsidR="00FB6008">
        <w:t xml:space="preserve">feel uncomfortable to write </w:t>
      </w:r>
      <w:r>
        <w:t xml:space="preserve">a list of names mainly because so many people were important during the course of </w:t>
      </w:r>
      <w:r w:rsidR="00FB6008">
        <w:t>my</w:t>
      </w:r>
      <w:r>
        <w:t xml:space="preserve"> endeavor that it seems dangerous to try to </w:t>
      </w:r>
      <w:r w:rsidR="00FC06C4">
        <w:t>enumerate</w:t>
      </w:r>
      <w:r>
        <w:t xml:space="preserve"> them all and perhaps leave someone out by accident. </w:t>
      </w:r>
      <w:r w:rsidR="00FB6008">
        <w:t xml:space="preserve">I am certain my friends know this acknowledgement is for them. </w:t>
      </w:r>
      <w:r>
        <w:t>Thank you so much and I hope I see you all again soon</w:t>
      </w:r>
      <w:r w:rsidR="00FC06C4">
        <w:t xml:space="preserve"> and have more time to spend with you now that I no longer </w:t>
      </w:r>
      <w:r>
        <w:t xml:space="preserve">have a dissertation to write. </w:t>
      </w:r>
    </w:p>
    <w:p w14:paraId="5BD95309" w14:textId="77777777" w:rsidR="00775701" w:rsidRDefault="00775701" w:rsidP="00C6706E">
      <w:pPr>
        <w:pStyle w:val="Title"/>
      </w:pPr>
      <w:r>
        <w:br w:type="page"/>
      </w:r>
      <w:r>
        <w:lastRenderedPageBreak/>
        <w:t xml:space="preserve">Table of </w:t>
      </w:r>
      <w:r w:rsidRPr="00775701">
        <w:t>Contents</w:t>
      </w:r>
    </w:p>
    <w:p w14:paraId="3B536F64" w14:textId="77777777" w:rsidR="009C4FEF" w:rsidRPr="0078679A" w:rsidRDefault="009C4FEF" w:rsidP="009C4FEF">
      <w:pPr>
        <w:pStyle w:val="NoSpacing"/>
      </w:pPr>
    </w:p>
    <w:p w14:paraId="5D1E57B5" w14:textId="3C48D13D" w:rsidR="00083581" w:rsidRDefault="004F40DE">
      <w:pPr>
        <w:pStyle w:val="TOC1"/>
        <w:tabs>
          <w:tab w:val="right" w:leader="dot" w:pos="9350"/>
        </w:tabs>
        <w:rPr>
          <w:rFonts w:eastAsiaTheme="minorEastAsia" w:cstheme="minorBidi"/>
          <w:bCs w:val="0"/>
          <w:noProof/>
          <w:sz w:val="22"/>
          <w:szCs w:val="22"/>
          <w:lang w:bidi="ar-SA"/>
        </w:rPr>
      </w:pPr>
      <w:r>
        <w:rPr>
          <w:b/>
          <w:bCs w:val="0"/>
          <w:sz w:val="20"/>
        </w:rPr>
        <w:fldChar w:fldCharType="begin"/>
      </w:r>
      <w:r>
        <w:rPr>
          <w:b/>
          <w:bCs w:val="0"/>
          <w:sz w:val="20"/>
        </w:rPr>
        <w:instrText xml:space="preserve"> TOC \o "3-3" \h \z \t "Heading 1,1,Heading 2,2,Chapter,1" </w:instrText>
      </w:r>
      <w:r>
        <w:rPr>
          <w:b/>
          <w:bCs w:val="0"/>
          <w:sz w:val="20"/>
        </w:rPr>
        <w:fldChar w:fldCharType="separate"/>
      </w:r>
      <w:hyperlink w:anchor="_Toc26534557" w:history="1">
        <w:r w:rsidR="00083581" w:rsidRPr="00E104A1">
          <w:rPr>
            <w:rStyle w:val="Hyperlink"/>
            <w:noProof/>
          </w:rPr>
          <w:t>Acknowledgements</w:t>
        </w:r>
        <w:r w:rsidR="00083581">
          <w:rPr>
            <w:noProof/>
            <w:webHidden/>
          </w:rPr>
          <w:tab/>
        </w:r>
        <w:r w:rsidR="00083581">
          <w:rPr>
            <w:noProof/>
            <w:webHidden/>
          </w:rPr>
          <w:fldChar w:fldCharType="begin"/>
        </w:r>
        <w:r w:rsidR="00083581">
          <w:rPr>
            <w:noProof/>
            <w:webHidden/>
          </w:rPr>
          <w:instrText xml:space="preserve"> PAGEREF _Toc26534557 \h </w:instrText>
        </w:r>
        <w:r w:rsidR="00083581">
          <w:rPr>
            <w:noProof/>
            <w:webHidden/>
          </w:rPr>
        </w:r>
        <w:r w:rsidR="00083581">
          <w:rPr>
            <w:noProof/>
            <w:webHidden/>
          </w:rPr>
          <w:fldChar w:fldCharType="separate"/>
        </w:r>
        <w:r w:rsidR="00083581">
          <w:rPr>
            <w:noProof/>
            <w:webHidden/>
          </w:rPr>
          <w:t>iv</w:t>
        </w:r>
        <w:r w:rsidR="00083581">
          <w:rPr>
            <w:noProof/>
            <w:webHidden/>
          </w:rPr>
          <w:fldChar w:fldCharType="end"/>
        </w:r>
      </w:hyperlink>
    </w:p>
    <w:p w14:paraId="7017AC6B" w14:textId="0D26F158" w:rsidR="00083581" w:rsidRDefault="00CE1F3C">
      <w:pPr>
        <w:pStyle w:val="TOC1"/>
        <w:tabs>
          <w:tab w:val="right" w:leader="dot" w:pos="9350"/>
        </w:tabs>
        <w:rPr>
          <w:rFonts w:eastAsiaTheme="minorEastAsia" w:cstheme="minorBidi"/>
          <w:bCs w:val="0"/>
          <w:noProof/>
          <w:sz w:val="22"/>
          <w:szCs w:val="22"/>
          <w:lang w:bidi="ar-SA"/>
        </w:rPr>
      </w:pPr>
      <w:hyperlink w:anchor="_Toc26534558" w:history="1">
        <w:r w:rsidR="00083581" w:rsidRPr="00E104A1">
          <w:rPr>
            <w:rStyle w:val="Hyperlink"/>
            <w:noProof/>
          </w:rPr>
          <w:t>List of Tables</w:t>
        </w:r>
        <w:r w:rsidR="00083581">
          <w:rPr>
            <w:noProof/>
            <w:webHidden/>
          </w:rPr>
          <w:tab/>
        </w:r>
        <w:r w:rsidR="00083581">
          <w:rPr>
            <w:noProof/>
            <w:webHidden/>
          </w:rPr>
          <w:fldChar w:fldCharType="begin"/>
        </w:r>
        <w:r w:rsidR="00083581">
          <w:rPr>
            <w:noProof/>
            <w:webHidden/>
          </w:rPr>
          <w:instrText xml:space="preserve"> PAGEREF _Toc26534558 \h </w:instrText>
        </w:r>
        <w:r w:rsidR="00083581">
          <w:rPr>
            <w:noProof/>
            <w:webHidden/>
          </w:rPr>
        </w:r>
        <w:r w:rsidR="00083581">
          <w:rPr>
            <w:noProof/>
            <w:webHidden/>
          </w:rPr>
          <w:fldChar w:fldCharType="separate"/>
        </w:r>
        <w:r w:rsidR="00083581">
          <w:rPr>
            <w:noProof/>
            <w:webHidden/>
          </w:rPr>
          <w:t>xi</w:t>
        </w:r>
        <w:r w:rsidR="00083581">
          <w:rPr>
            <w:noProof/>
            <w:webHidden/>
          </w:rPr>
          <w:fldChar w:fldCharType="end"/>
        </w:r>
      </w:hyperlink>
    </w:p>
    <w:p w14:paraId="573E73C4" w14:textId="15F62364" w:rsidR="00083581" w:rsidRDefault="00CE1F3C">
      <w:pPr>
        <w:pStyle w:val="TOC1"/>
        <w:tabs>
          <w:tab w:val="right" w:leader="dot" w:pos="9350"/>
        </w:tabs>
        <w:rPr>
          <w:rFonts w:eastAsiaTheme="minorEastAsia" w:cstheme="minorBidi"/>
          <w:bCs w:val="0"/>
          <w:noProof/>
          <w:sz w:val="22"/>
          <w:szCs w:val="22"/>
          <w:lang w:bidi="ar-SA"/>
        </w:rPr>
      </w:pPr>
      <w:hyperlink w:anchor="_Toc26534559" w:history="1">
        <w:r w:rsidR="00083581" w:rsidRPr="00E104A1">
          <w:rPr>
            <w:rStyle w:val="Hyperlink"/>
            <w:noProof/>
          </w:rPr>
          <w:t>List of Figures</w:t>
        </w:r>
        <w:r w:rsidR="00083581">
          <w:rPr>
            <w:noProof/>
            <w:webHidden/>
          </w:rPr>
          <w:tab/>
        </w:r>
        <w:r w:rsidR="00083581">
          <w:rPr>
            <w:noProof/>
            <w:webHidden/>
          </w:rPr>
          <w:fldChar w:fldCharType="begin"/>
        </w:r>
        <w:r w:rsidR="00083581">
          <w:rPr>
            <w:noProof/>
            <w:webHidden/>
          </w:rPr>
          <w:instrText xml:space="preserve"> PAGEREF _Toc26534559 \h </w:instrText>
        </w:r>
        <w:r w:rsidR="00083581">
          <w:rPr>
            <w:noProof/>
            <w:webHidden/>
          </w:rPr>
        </w:r>
        <w:r w:rsidR="00083581">
          <w:rPr>
            <w:noProof/>
            <w:webHidden/>
          </w:rPr>
          <w:fldChar w:fldCharType="separate"/>
        </w:r>
        <w:r w:rsidR="00083581">
          <w:rPr>
            <w:noProof/>
            <w:webHidden/>
          </w:rPr>
          <w:t>xiii</w:t>
        </w:r>
        <w:r w:rsidR="00083581">
          <w:rPr>
            <w:noProof/>
            <w:webHidden/>
          </w:rPr>
          <w:fldChar w:fldCharType="end"/>
        </w:r>
      </w:hyperlink>
    </w:p>
    <w:p w14:paraId="11EBF974" w14:textId="227167AC" w:rsidR="00083581" w:rsidRDefault="00CE1F3C">
      <w:pPr>
        <w:pStyle w:val="TOC1"/>
        <w:tabs>
          <w:tab w:val="right" w:leader="dot" w:pos="9350"/>
        </w:tabs>
        <w:rPr>
          <w:rFonts w:eastAsiaTheme="minorEastAsia" w:cstheme="minorBidi"/>
          <w:bCs w:val="0"/>
          <w:noProof/>
          <w:sz w:val="22"/>
          <w:szCs w:val="22"/>
          <w:lang w:bidi="ar-SA"/>
        </w:rPr>
      </w:pPr>
      <w:hyperlink w:anchor="_Toc26534560" w:history="1">
        <w:r w:rsidR="00083581" w:rsidRPr="00E104A1">
          <w:rPr>
            <w:rStyle w:val="Hyperlink"/>
            <w:noProof/>
          </w:rPr>
          <w:t>Abstract</w:t>
        </w:r>
        <w:r w:rsidR="00083581">
          <w:rPr>
            <w:noProof/>
            <w:webHidden/>
          </w:rPr>
          <w:tab/>
        </w:r>
        <w:r w:rsidR="00083581">
          <w:rPr>
            <w:noProof/>
            <w:webHidden/>
          </w:rPr>
          <w:fldChar w:fldCharType="begin"/>
        </w:r>
        <w:r w:rsidR="00083581">
          <w:rPr>
            <w:noProof/>
            <w:webHidden/>
          </w:rPr>
          <w:instrText xml:space="preserve"> PAGEREF _Toc26534560 \h </w:instrText>
        </w:r>
        <w:r w:rsidR="00083581">
          <w:rPr>
            <w:noProof/>
            <w:webHidden/>
          </w:rPr>
        </w:r>
        <w:r w:rsidR="00083581">
          <w:rPr>
            <w:noProof/>
            <w:webHidden/>
          </w:rPr>
          <w:fldChar w:fldCharType="separate"/>
        </w:r>
        <w:r w:rsidR="00083581">
          <w:rPr>
            <w:noProof/>
            <w:webHidden/>
          </w:rPr>
          <w:t>xxvi</w:t>
        </w:r>
        <w:r w:rsidR="00083581">
          <w:rPr>
            <w:noProof/>
            <w:webHidden/>
          </w:rPr>
          <w:fldChar w:fldCharType="end"/>
        </w:r>
      </w:hyperlink>
    </w:p>
    <w:p w14:paraId="24CD830D" w14:textId="618D5E5D" w:rsidR="00083581" w:rsidRDefault="00CE1F3C">
      <w:pPr>
        <w:pStyle w:val="TOC1"/>
        <w:tabs>
          <w:tab w:val="right" w:leader="dot" w:pos="9350"/>
        </w:tabs>
        <w:rPr>
          <w:rFonts w:eastAsiaTheme="minorEastAsia" w:cstheme="minorBidi"/>
          <w:bCs w:val="0"/>
          <w:noProof/>
          <w:sz w:val="22"/>
          <w:szCs w:val="22"/>
          <w:lang w:bidi="ar-SA"/>
        </w:rPr>
      </w:pPr>
      <w:hyperlink w:anchor="_Toc26534561" w:history="1">
        <w:r w:rsidR="00083581" w:rsidRPr="00E104A1">
          <w:rPr>
            <w:rStyle w:val="Hyperlink"/>
            <w:noProof/>
          </w:rPr>
          <w:t>Introduction</w:t>
        </w:r>
        <w:r w:rsidR="00083581">
          <w:rPr>
            <w:noProof/>
            <w:webHidden/>
          </w:rPr>
          <w:tab/>
        </w:r>
        <w:r w:rsidR="00083581">
          <w:rPr>
            <w:noProof/>
            <w:webHidden/>
          </w:rPr>
          <w:fldChar w:fldCharType="begin"/>
        </w:r>
        <w:r w:rsidR="00083581">
          <w:rPr>
            <w:noProof/>
            <w:webHidden/>
          </w:rPr>
          <w:instrText xml:space="preserve"> PAGEREF _Toc26534561 \h </w:instrText>
        </w:r>
        <w:r w:rsidR="00083581">
          <w:rPr>
            <w:noProof/>
            <w:webHidden/>
          </w:rPr>
        </w:r>
        <w:r w:rsidR="00083581">
          <w:rPr>
            <w:noProof/>
            <w:webHidden/>
          </w:rPr>
          <w:fldChar w:fldCharType="separate"/>
        </w:r>
        <w:r w:rsidR="00083581">
          <w:rPr>
            <w:noProof/>
            <w:webHidden/>
          </w:rPr>
          <w:t>1</w:t>
        </w:r>
        <w:r w:rsidR="00083581">
          <w:rPr>
            <w:noProof/>
            <w:webHidden/>
          </w:rPr>
          <w:fldChar w:fldCharType="end"/>
        </w:r>
      </w:hyperlink>
    </w:p>
    <w:p w14:paraId="7B294E21" w14:textId="78EAEC01" w:rsidR="00083581" w:rsidRDefault="00CE1F3C">
      <w:pPr>
        <w:pStyle w:val="TOC2"/>
        <w:tabs>
          <w:tab w:val="right" w:leader="dot" w:pos="9350"/>
        </w:tabs>
        <w:rPr>
          <w:rFonts w:eastAsiaTheme="minorEastAsia" w:cstheme="minorBidi"/>
          <w:iCs w:val="0"/>
          <w:noProof/>
          <w:sz w:val="22"/>
          <w:szCs w:val="22"/>
          <w:lang w:bidi="ar-SA"/>
        </w:rPr>
      </w:pPr>
      <w:hyperlink w:anchor="_Toc26534562" w:history="1">
        <w:r w:rsidR="00083581" w:rsidRPr="00E104A1">
          <w:rPr>
            <w:rStyle w:val="Hyperlink"/>
            <w:noProof/>
          </w:rPr>
          <w:t>References</w:t>
        </w:r>
        <w:r w:rsidR="00083581">
          <w:rPr>
            <w:noProof/>
            <w:webHidden/>
          </w:rPr>
          <w:tab/>
        </w:r>
        <w:r w:rsidR="00083581">
          <w:rPr>
            <w:noProof/>
            <w:webHidden/>
          </w:rPr>
          <w:fldChar w:fldCharType="begin"/>
        </w:r>
        <w:r w:rsidR="00083581">
          <w:rPr>
            <w:noProof/>
            <w:webHidden/>
          </w:rPr>
          <w:instrText xml:space="preserve"> PAGEREF _Toc26534562 \h </w:instrText>
        </w:r>
        <w:r w:rsidR="00083581">
          <w:rPr>
            <w:noProof/>
            <w:webHidden/>
          </w:rPr>
        </w:r>
        <w:r w:rsidR="00083581">
          <w:rPr>
            <w:noProof/>
            <w:webHidden/>
          </w:rPr>
          <w:fldChar w:fldCharType="separate"/>
        </w:r>
        <w:r w:rsidR="00083581">
          <w:rPr>
            <w:noProof/>
            <w:webHidden/>
          </w:rPr>
          <w:t>4</w:t>
        </w:r>
        <w:r w:rsidR="00083581">
          <w:rPr>
            <w:noProof/>
            <w:webHidden/>
          </w:rPr>
          <w:fldChar w:fldCharType="end"/>
        </w:r>
      </w:hyperlink>
    </w:p>
    <w:p w14:paraId="7AA741F8" w14:textId="01477328" w:rsidR="00083581" w:rsidRDefault="00CE1F3C">
      <w:pPr>
        <w:pStyle w:val="TOC1"/>
        <w:tabs>
          <w:tab w:val="right" w:leader="dot" w:pos="9350"/>
        </w:tabs>
        <w:rPr>
          <w:rFonts w:eastAsiaTheme="minorEastAsia" w:cstheme="minorBidi"/>
          <w:bCs w:val="0"/>
          <w:noProof/>
          <w:sz w:val="22"/>
          <w:szCs w:val="22"/>
          <w:lang w:bidi="ar-SA"/>
        </w:rPr>
      </w:pPr>
      <w:hyperlink w:anchor="_Toc26534563" w:history="1">
        <w:r w:rsidR="00083581" w:rsidRPr="00E104A1">
          <w:rPr>
            <w:rStyle w:val="Hyperlink"/>
            <w:noProof/>
          </w:rPr>
          <w:t>Chapter 1: Elements of machine learning and convolutional neural networks for geoscientists and seismic interpreters</w:t>
        </w:r>
        <w:r w:rsidR="00083581">
          <w:rPr>
            <w:noProof/>
            <w:webHidden/>
          </w:rPr>
          <w:tab/>
        </w:r>
        <w:r w:rsidR="00083581">
          <w:rPr>
            <w:noProof/>
            <w:webHidden/>
          </w:rPr>
          <w:fldChar w:fldCharType="begin"/>
        </w:r>
        <w:r w:rsidR="00083581">
          <w:rPr>
            <w:noProof/>
            <w:webHidden/>
          </w:rPr>
          <w:instrText xml:space="preserve"> PAGEREF _Toc26534563 \h </w:instrText>
        </w:r>
        <w:r w:rsidR="00083581">
          <w:rPr>
            <w:noProof/>
            <w:webHidden/>
          </w:rPr>
        </w:r>
        <w:r w:rsidR="00083581">
          <w:rPr>
            <w:noProof/>
            <w:webHidden/>
          </w:rPr>
          <w:fldChar w:fldCharType="separate"/>
        </w:r>
        <w:r w:rsidR="00083581">
          <w:rPr>
            <w:noProof/>
            <w:webHidden/>
          </w:rPr>
          <w:t>5</w:t>
        </w:r>
        <w:r w:rsidR="00083581">
          <w:rPr>
            <w:noProof/>
            <w:webHidden/>
          </w:rPr>
          <w:fldChar w:fldCharType="end"/>
        </w:r>
      </w:hyperlink>
    </w:p>
    <w:p w14:paraId="7D9ABC34" w14:textId="4A7FAD19" w:rsidR="00083581" w:rsidRDefault="00CE1F3C">
      <w:pPr>
        <w:pStyle w:val="TOC2"/>
        <w:tabs>
          <w:tab w:val="right" w:leader="dot" w:pos="9350"/>
        </w:tabs>
        <w:rPr>
          <w:rFonts w:eastAsiaTheme="minorEastAsia" w:cstheme="minorBidi"/>
          <w:iCs w:val="0"/>
          <w:noProof/>
          <w:sz w:val="22"/>
          <w:szCs w:val="22"/>
          <w:lang w:bidi="ar-SA"/>
        </w:rPr>
      </w:pPr>
      <w:hyperlink w:anchor="_Toc26534564" w:history="1">
        <w:r w:rsidR="00083581" w:rsidRPr="00E104A1">
          <w:rPr>
            <w:rStyle w:val="Hyperlink"/>
            <w:noProof/>
          </w:rPr>
          <w:t>Preface</w:t>
        </w:r>
        <w:r w:rsidR="00083581">
          <w:rPr>
            <w:noProof/>
            <w:webHidden/>
          </w:rPr>
          <w:tab/>
        </w:r>
        <w:r w:rsidR="00083581">
          <w:rPr>
            <w:noProof/>
            <w:webHidden/>
          </w:rPr>
          <w:fldChar w:fldCharType="begin"/>
        </w:r>
        <w:r w:rsidR="00083581">
          <w:rPr>
            <w:noProof/>
            <w:webHidden/>
          </w:rPr>
          <w:instrText xml:space="preserve"> PAGEREF _Toc26534564 \h </w:instrText>
        </w:r>
        <w:r w:rsidR="00083581">
          <w:rPr>
            <w:noProof/>
            <w:webHidden/>
          </w:rPr>
        </w:r>
        <w:r w:rsidR="00083581">
          <w:rPr>
            <w:noProof/>
            <w:webHidden/>
          </w:rPr>
          <w:fldChar w:fldCharType="separate"/>
        </w:r>
        <w:r w:rsidR="00083581">
          <w:rPr>
            <w:noProof/>
            <w:webHidden/>
          </w:rPr>
          <w:t>5</w:t>
        </w:r>
        <w:r w:rsidR="00083581">
          <w:rPr>
            <w:noProof/>
            <w:webHidden/>
          </w:rPr>
          <w:fldChar w:fldCharType="end"/>
        </w:r>
      </w:hyperlink>
    </w:p>
    <w:p w14:paraId="3433137F" w14:textId="306148EE" w:rsidR="00083581" w:rsidRDefault="00CE1F3C">
      <w:pPr>
        <w:pStyle w:val="TOC2"/>
        <w:tabs>
          <w:tab w:val="right" w:leader="dot" w:pos="9350"/>
        </w:tabs>
        <w:rPr>
          <w:rFonts w:eastAsiaTheme="minorEastAsia" w:cstheme="minorBidi"/>
          <w:iCs w:val="0"/>
          <w:noProof/>
          <w:sz w:val="22"/>
          <w:szCs w:val="22"/>
          <w:lang w:bidi="ar-SA"/>
        </w:rPr>
      </w:pPr>
      <w:hyperlink w:anchor="_Toc26534565" w:history="1">
        <w:r w:rsidR="00083581" w:rsidRPr="00E104A1">
          <w:rPr>
            <w:rStyle w:val="Hyperlink"/>
            <w:noProof/>
          </w:rPr>
          <w:t>Abstract</w:t>
        </w:r>
        <w:r w:rsidR="00083581">
          <w:rPr>
            <w:noProof/>
            <w:webHidden/>
          </w:rPr>
          <w:tab/>
        </w:r>
        <w:r w:rsidR="00083581">
          <w:rPr>
            <w:noProof/>
            <w:webHidden/>
          </w:rPr>
          <w:fldChar w:fldCharType="begin"/>
        </w:r>
        <w:r w:rsidR="00083581">
          <w:rPr>
            <w:noProof/>
            <w:webHidden/>
          </w:rPr>
          <w:instrText xml:space="preserve"> PAGEREF _Toc26534565 \h </w:instrText>
        </w:r>
        <w:r w:rsidR="00083581">
          <w:rPr>
            <w:noProof/>
            <w:webHidden/>
          </w:rPr>
        </w:r>
        <w:r w:rsidR="00083581">
          <w:rPr>
            <w:noProof/>
            <w:webHidden/>
          </w:rPr>
          <w:fldChar w:fldCharType="separate"/>
        </w:r>
        <w:r w:rsidR="00083581">
          <w:rPr>
            <w:noProof/>
            <w:webHidden/>
          </w:rPr>
          <w:t>6</w:t>
        </w:r>
        <w:r w:rsidR="00083581">
          <w:rPr>
            <w:noProof/>
            <w:webHidden/>
          </w:rPr>
          <w:fldChar w:fldCharType="end"/>
        </w:r>
      </w:hyperlink>
    </w:p>
    <w:p w14:paraId="267FCBAD" w14:textId="4C02CEAF" w:rsidR="00083581" w:rsidRDefault="00CE1F3C">
      <w:pPr>
        <w:pStyle w:val="TOC2"/>
        <w:tabs>
          <w:tab w:val="right" w:leader="dot" w:pos="9350"/>
        </w:tabs>
        <w:rPr>
          <w:rFonts w:eastAsiaTheme="minorEastAsia" w:cstheme="minorBidi"/>
          <w:iCs w:val="0"/>
          <w:noProof/>
          <w:sz w:val="22"/>
          <w:szCs w:val="22"/>
          <w:lang w:bidi="ar-SA"/>
        </w:rPr>
      </w:pPr>
      <w:hyperlink w:anchor="_Toc26534566" w:history="1">
        <w:r w:rsidR="00083581" w:rsidRPr="00E104A1">
          <w:rPr>
            <w:rStyle w:val="Hyperlink"/>
            <w:noProof/>
          </w:rPr>
          <w:t>Introduction</w:t>
        </w:r>
        <w:r w:rsidR="00083581">
          <w:rPr>
            <w:noProof/>
            <w:webHidden/>
          </w:rPr>
          <w:tab/>
        </w:r>
        <w:r w:rsidR="00083581">
          <w:rPr>
            <w:noProof/>
            <w:webHidden/>
          </w:rPr>
          <w:fldChar w:fldCharType="begin"/>
        </w:r>
        <w:r w:rsidR="00083581">
          <w:rPr>
            <w:noProof/>
            <w:webHidden/>
          </w:rPr>
          <w:instrText xml:space="preserve"> PAGEREF _Toc26534566 \h </w:instrText>
        </w:r>
        <w:r w:rsidR="00083581">
          <w:rPr>
            <w:noProof/>
            <w:webHidden/>
          </w:rPr>
        </w:r>
        <w:r w:rsidR="00083581">
          <w:rPr>
            <w:noProof/>
            <w:webHidden/>
          </w:rPr>
          <w:fldChar w:fldCharType="separate"/>
        </w:r>
        <w:r w:rsidR="00083581">
          <w:rPr>
            <w:noProof/>
            <w:webHidden/>
          </w:rPr>
          <w:t>7</w:t>
        </w:r>
        <w:r w:rsidR="00083581">
          <w:rPr>
            <w:noProof/>
            <w:webHidden/>
          </w:rPr>
          <w:fldChar w:fldCharType="end"/>
        </w:r>
      </w:hyperlink>
    </w:p>
    <w:p w14:paraId="0FB56BD7" w14:textId="1BC1341D" w:rsidR="00083581" w:rsidRDefault="00CE1F3C">
      <w:pPr>
        <w:pStyle w:val="TOC2"/>
        <w:tabs>
          <w:tab w:val="right" w:leader="dot" w:pos="9350"/>
        </w:tabs>
        <w:rPr>
          <w:rFonts w:eastAsiaTheme="minorEastAsia" w:cstheme="minorBidi"/>
          <w:iCs w:val="0"/>
          <w:noProof/>
          <w:sz w:val="22"/>
          <w:szCs w:val="22"/>
          <w:lang w:bidi="ar-SA"/>
        </w:rPr>
      </w:pPr>
      <w:hyperlink w:anchor="_Toc26534567" w:history="1">
        <w:r w:rsidR="00083581" w:rsidRPr="00E104A1">
          <w:rPr>
            <w:rStyle w:val="Hyperlink"/>
            <w:noProof/>
          </w:rPr>
          <w:t>Terms commonly used in machine learning literature</w:t>
        </w:r>
        <w:r w:rsidR="00083581">
          <w:rPr>
            <w:noProof/>
            <w:webHidden/>
          </w:rPr>
          <w:tab/>
        </w:r>
        <w:r w:rsidR="00083581">
          <w:rPr>
            <w:noProof/>
            <w:webHidden/>
          </w:rPr>
          <w:fldChar w:fldCharType="begin"/>
        </w:r>
        <w:r w:rsidR="00083581">
          <w:rPr>
            <w:noProof/>
            <w:webHidden/>
          </w:rPr>
          <w:instrText xml:space="preserve"> PAGEREF _Toc26534567 \h </w:instrText>
        </w:r>
        <w:r w:rsidR="00083581">
          <w:rPr>
            <w:noProof/>
            <w:webHidden/>
          </w:rPr>
        </w:r>
        <w:r w:rsidR="00083581">
          <w:rPr>
            <w:noProof/>
            <w:webHidden/>
          </w:rPr>
          <w:fldChar w:fldCharType="separate"/>
        </w:r>
        <w:r w:rsidR="00083581">
          <w:rPr>
            <w:noProof/>
            <w:webHidden/>
          </w:rPr>
          <w:t>9</w:t>
        </w:r>
        <w:r w:rsidR="00083581">
          <w:rPr>
            <w:noProof/>
            <w:webHidden/>
          </w:rPr>
          <w:fldChar w:fldCharType="end"/>
        </w:r>
      </w:hyperlink>
    </w:p>
    <w:p w14:paraId="3DF6CF3A" w14:textId="6E59A400" w:rsidR="00083581" w:rsidRDefault="00CE1F3C">
      <w:pPr>
        <w:pStyle w:val="TOC2"/>
        <w:tabs>
          <w:tab w:val="right" w:leader="dot" w:pos="9350"/>
        </w:tabs>
        <w:rPr>
          <w:rFonts w:eastAsiaTheme="minorEastAsia" w:cstheme="minorBidi"/>
          <w:iCs w:val="0"/>
          <w:noProof/>
          <w:sz w:val="22"/>
          <w:szCs w:val="22"/>
          <w:lang w:bidi="ar-SA"/>
        </w:rPr>
      </w:pPr>
      <w:hyperlink w:anchor="_Toc26534568" w:history="1">
        <w:r w:rsidR="00083581" w:rsidRPr="00E104A1">
          <w:rPr>
            <w:rStyle w:val="Hyperlink"/>
            <w:noProof/>
          </w:rPr>
          <w:t>Convolutional layers</w:t>
        </w:r>
        <w:r w:rsidR="00083581">
          <w:rPr>
            <w:noProof/>
            <w:webHidden/>
          </w:rPr>
          <w:tab/>
        </w:r>
        <w:r w:rsidR="00083581">
          <w:rPr>
            <w:noProof/>
            <w:webHidden/>
          </w:rPr>
          <w:fldChar w:fldCharType="begin"/>
        </w:r>
        <w:r w:rsidR="00083581">
          <w:rPr>
            <w:noProof/>
            <w:webHidden/>
          </w:rPr>
          <w:instrText xml:space="preserve"> PAGEREF _Toc26534568 \h </w:instrText>
        </w:r>
        <w:r w:rsidR="00083581">
          <w:rPr>
            <w:noProof/>
            <w:webHidden/>
          </w:rPr>
        </w:r>
        <w:r w:rsidR="00083581">
          <w:rPr>
            <w:noProof/>
            <w:webHidden/>
          </w:rPr>
          <w:fldChar w:fldCharType="separate"/>
        </w:r>
        <w:r w:rsidR="00083581">
          <w:rPr>
            <w:noProof/>
            <w:webHidden/>
          </w:rPr>
          <w:t>15</w:t>
        </w:r>
        <w:r w:rsidR="00083581">
          <w:rPr>
            <w:noProof/>
            <w:webHidden/>
          </w:rPr>
          <w:fldChar w:fldCharType="end"/>
        </w:r>
      </w:hyperlink>
    </w:p>
    <w:p w14:paraId="4078BFC8" w14:textId="2DAB5738" w:rsidR="00083581" w:rsidRDefault="00CE1F3C">
      <w:pPr>
        <w:pStyle w:val="TOC2"/>
        <w:tabs>
          <w:tab w:val="right" w:leader="dot" w:pos="9350"/>
        </w:tabs>
        <w:rPr>
          <w:rFonts w:eastAsiaTheme="minorEastAsia" w:cstheme="minorBidi"/>
          <w:iCs w:val="0"/>
          <w:noProof/>
          <w:sz w:val="22"/>
          <w:szCs w:val="22"/>
          <w:lang w:bidi="ar-SA"/>
        </w:rPr>
      </w:pPr>
      <w:hyperlink w:anchor="_Toc26534569" w:history="1">
        <w:r w:rsidR="00083581" w:rsidRPr="00E104A1">
          <w:rPr>
            <w:rStyle w:val="Hyperlink"/>
            <w:noProof/>
          </w:rPr>
          <w:t>Backpropagation and training a simple CNN</w:t>
        </w:r>
        <w:r w:rsidR="00083581">
          <w:rPr>
            <w:noProof/>
            <w:webHidden/>
          </w:rPr>
          <w:tab/>
        </w:r>
        <w:r w:rsidR="00083581">
          <w:rPr>
            <w:noProof/>
            <w:webHidden/>
          </w:rPr>
          <w:fldChar w:fldCharType="begin"/>
        </w:r>
        <w:r w:rsidR="00083581">
          <w:rPr>
            <w:noProof/>
            <w:webHidden/>
          </w:rPr>
          <w:instrText xml:space="preserve"> PAGEREF _Toc26534569 \h </w:instrText>
        </w:r>
        <w:r w:rsidR="00083581">
          <w:rPr>
            <w:noProof/>
            <w:webHidden/>
          </w:rPr>
        </w:r>
        <w:r w:rsidR="00083581">
          <w:rPr>
            <w:noProof/>
            <w:webHidden/>
          </w:rPr>
          <w:fldChar w:fldCharType="separate"/>
        </w:r>
        <w:r w:rsidR="00083581">
          <w:rPr>
            <w:noProof/>
            <w:webHidden/>
          </w:rPr>
          <w:t>19</w:t>
        </w:r>
        <w:r w:rsidR="00083581">
          <w:rPr>
            <w:noProof/>
            <w:webHidden/>
          </w:rPr>
          <w:fldChar w:fldCharType="end"/>
        </w:r>
      </w:hyperlink>
    </w:p>
    <w:p w14:paraId="73624215" w14:textId="3FF210EB" w:rsidR="00083581" w:rsidRDefault="00CE1F3C">
      <w:pPr>
        <w:pStyle w:val="TOC2"/>
        <w:tabs>
          <w:tab w:val="right" w:leader="dot" w:pos="9350"/>
        </w:tabs>
        <w:rPr>
          <w:rFonts w:eastAsiaTheme="minorEastAsia" w:cstheme="minorBidi"/>
          <w:iCs w:val="0"/>
          <w:noProof/>
          <w:sz w:val="22"/>
          <w:szCs w:val="22"/>
          <w:lang w:bidi="ar-SA"/>
        </w:rPr>
      </w:pPr>
      <w:hyperlink w:anchor="_Toc26534570" w:history="1">
        <w:r w:rsidR="00083581" w:rsidRPr="00E104A1">
          <w:rPr>
            <w:rStyle w:val="Hyperlink"/>
            <w:noProof/>
          </w:rPr>
          <w:t>CNN as a seismic facies classification tool</w:t>
        </w:r>
        <w:r w:rsidR="00083581">
          <w:rPr>
            <w:noProof/>
            <w:webHidden/>
          </w:rPr>
          <w:tab/>
        </w:r>
        <w:r w:rsidR="00083581">
          <w:rPr>
            <w:noProof/>
            <w:webHidden/>
          </w:rPr>
          <w:fldChar w:fldCharType="begin"/>
        </w:r>
        <w:r w:rsidR="00083581">
          <w:rPr>
            <w:noProof/>
            <w:webHidden/>
          </w:rPr>
          <w:instrText xml:space="preserve"> PAGEREF _Toc26534570 \h </w:instrText>
        </w:r>
        <w:r w:rsidR="00083581">
          <w:rPr>
            <w:noProof/>
            <w:webHidden/>
          </w:rPr>
        </w:r>
        <w:r w:rsidR="00083581">
          <w:rPr>
            <w:noProof/>
            <w:webHidden/>
          </w:rPr>
          <w:fldChar w:fldCharType="separate"/>
        </w:r>
        <w:r w:rsidR="00083581">
          <w:rPr>
            <w:noProof/>
            <w:webHidden/>
          </w:rPr>
          <w:t>32</w:t>
        </w:r>
        <w:r w:rsidR="00083581">
          <w:rPr>
            <w:noProof/>
            <w:webHidden/>
          </w:rPr>
          <w:fldChar w:fldCharType="end"/>
        </w:r>
      </w:hyperlink>
    </w:p>
    <w:p w14:paraId="1B8E0516" w14:textId="40B90EF0" w:rsidR="00083581" w:rsidRDefault="00CE1F3C">
      <w:pPr>
        <w:pStyle w:val="TOC2"/>
        <w:tabs>
          <w:tab w:val="right" w:leader="dot" w:pos="9350"/>
        </w:tabs>
        <w:rPr>
          <w:rFonts w:eastAsiaTheme="minorEastAsia" w:cstheme="minorBidi"/>
          <w:iCs w:val="0"/>
          <w:noProof/>
          <w:sz w:val="22"/>
          <w:szCs w:val="22"/>
          <w:lang w:bidi="ar-SA"/>
        </w:rPr>
      </w:pPr>
      <w:hyperlink w:anchor="_Toc26534571" w:history="1">
        <w:r w:rsidR="00083581" w:rsidRPr="00E104A1">
          <w:rPr>
            <w:rStyle w:val="Hyperlink"/>
            <w:noProof/>
          </w:rPr>
          <w:t>Limitations and suggestions for further study</w:t>
        </w:r>
        <w:r w:rsidR="00083581">
          <w:rPr>
            <w:noProof/>
            <w:webHidden/>
          </w:rPr>
          <w:tab/>
        </w:r>
        <w:r w:rsidR="00083581">
          <w:rPr>
            <w:noProof/>
            <w:webHidden/>
          </w:rPr>
          <w:fldChar w:fldCharType="begin"/>
        </w:r>
        <w:r w:rsidR="00083581">
          <w:rPr>
            <w:noProof/>
            <w:webHidden/>
          </w:rPr>
          <w:instrText xml:space="preserve"> PAGEREF _Toc26534571 \h </w:instrText>
        </w:r>
        <w:r w:rsidR="00083581">
          <w:rPr>
            <w:noProof/>
            <w:webHidden/>
          </w:rPr>
        </w:r>
        <w:r w:rsidR="00083581">
          <w:rPr>
            <w:noProof/>
            <w:webHidden/>
          </w:rPr>
          <w:fldChar w:fldCharType="separate"/>
        </w:r>
        <w:r w:rsidR="00083581">
          <w:rPr>
            <w:noProof/>
            <w:webHidden/>
          </w:rPr>
          <w:t>37</w:t>
        </w:r>
        <w:r w:rsidR="00083581">
          <w:rPr>
            <w:noProof/>
            <w:webHidden/>
          </w:rPr>
          <w:fldChar w:fldCharType="end"/>
        </w:r>
      </w:hyperlink>
    </w:p>
    <w:p w14:paraId="3265CE5F" w14:textId="3016DD50" w:rsidR="00083581" w:rsidRDefault="00CE1F3C">
      <w:pPr>
        <w:pStyle w:val="TOC2"/>
        <w:tabs>
          <w:tab w:val="right" w:leader="dot" w:pos="9350"/>
        </w:tabs>
        <w:rPr>
          <w:rFonts w:eastAsiaTheme="minorEastAsia" w:cstheme="minorBidi"/>
          <w:iCs w:val="0"/>
          <w:noProof/>
          <w:sz w:val="22"/>
          <w:szCs w:val="22"/>
          <w:lang w:bidi="ar-SA"/>
        </w:rPr>
      </w:pPr>
      <w:hyperlink w:anchor="_Toc26534572" w:history="1">
        <w:r w:rsidR="00083581" w:rsidRPr="00E104A1">
          <w:rPr>
            <w:rStyle w:val="Hyperlink"/>
            <w:noProof/>
          </w:rPr>
          <w:t>Conclusions</w:t>
        </w:r>
        <w:r w:rsidR="00083581">
          <w:rPr>
            <w:noProof/>
            <w:webHidden/>
          </w:rPr>
          <w:tab/>
        </w:r>
        <w:r w:rsidR="00083581">
          <w:rPr>
            <w:noProof/>
            <w:webHidden/>
          </w:rPr>
          <w:fldChar w:fldCharType="begin"/>
        </w:r>
        <w:r w:rsidR="00083581">
          <w:rPr>
            <w:noProof/>
            <w:webHidden/>
          </w:rPr>
          <w:instrText xml:space="preserve"> PAGEREF _Toc26534572 \h </w:instrText>
        </w:r>
        <w:r w:rsidR="00083581">
          <w:rPr>
            <w:noProof/>
            <w:webHidden/>
          </w:rPr>
        </w:r>
        <w:r w:rsidR="00083581">
          <w:rPr>
            <w:noProof/>
            <w:webHidden/>
          </w:rPr>
          <w:fldChar w:fldCharType="separate"/>
        </w:r>
        <w:r w:rsidR="00083581">
          <w:rPr>
            <w:noProof/>
            <w:webHidden/>
          </w:rPr>
          <w:t>38</w:t>
        </w:r>
        <w:r w:rsidR="00083581">
          <w:rPr>
            <w:noProof/>
            <w:webHidden/>
          </w:rPr>
          <w:fldChar w:fldCharType="end"/>
        </w:r>
      </w:hyperlink>
    </w:p>
    <w:p w14:paraId="06AAE0E4" w14:textId="29D7D5C9" w:rsidR="00083581" w:rsidRDefault="00CE1F3C">
      <w:pPr>
        <w:pStyle w:val="TOC2"/>
        <w:tabs>
          <w:tab w:val="right" w:leader="dot" w:pos="9350"/>
        </w:tabs>
        <w:rPr>
          <w:rFonts w:eastAsiaTheme="minorEastAsia" w:cstheme="minorBidi"/>
          <w:iCs w:val="0"/>
          <w:noProof/>
          <w:sz w:val="22"/>
          <w:szCs w:val="22"/>
          <w:lang w:bidi="ar-SA"/>
        </w:rPr>
      </w:pPr>
      <w:hyperlink w:anchor="_Toc26534573" w:history="1">
        <w:r w:rsidR="00083581" w:rsidRPr="00E104A1">
          <w:rPr>
            <w:rStyle w:val="Hyperlink"/>
            <w:noProof/>
          </w:rPr>
          <w:t>Acknowledgments</w:t>
        </w:r>
        <w:r w:rsidR="00083581">
          <w:rPr>
            <w:noProof/>
            <w:webHidden/>
          </w:rPr>
          <w:tab/>
        </w:r>
        <w:r w:rsidR="00083581">
          <w:rPr>
            <w:noProof/>
            <w:webHidden/>
          </w:rPr>
          <w:fldChar w:fldCharType="begin"/>
        </w:r>
        <w:r w:rsidR="00083581">
          <w:rPr>
            <w:noProof/>
            <w:webHidden/>
          </w:rPr>
          <w:instrText xml:space="preserve"> PAGEREF _Toc26534573 \h </w:instrText>
        </w:r>
        <w:r w:rsidR="00083581">
          <w:rPr>
            <w:noProof/>
            <w:webHidden/>
          </w:rPr>
        </w:r>
        <w:r w:rsidR="00083581">
          <w:rPr>
            <w:noProof/>
            <w:webHidden/>
          </w:rPr>
          <w:fldChar w:fldCharType="separate"/>
        </w:r>
        <w:r w:rsidR="00083581">
          <w:rPr>
            <w:noProof/>
            <w:webHidden/>
          </w:rPr>
          <w:t>40</w:t>
        </w:r>
        <w:r w:rsidR="00083581">
          <w:rPr>
            <w:noProof/>
            <w:webHidden/>
          </w:rPr>
          <w:fldChar w:fldCharType="end"/>
        </w:r>
      </w:hyperlink>
    </w:p>
    <w:p w14:paraId="64823E27" w14:textId="316968F1" w:rsidR="00083581" w:rsidRDefault="00CE1F3C">
      <w:pPr>
        <w:pStyle w:val="TOC2"/>
        <w:tabs>
          <w:tab w:val="right" w:leader="dot" w:pos="9350"/>
        </w:tabs>
        <w:rPr>
          <w:rFonts w:eastAsiaTheme="minorEastAsia" w:cstheme="minorBidi"/>
          <w:iCs w:val="0"/>
          <w:noProof/>
          <w:sz w:val="22"/>
          <w:szCs w:val="22"/>
          <w:lang w:bidi="ar-SA"/>
        </w:rPr>
      </w:pPr>
      <w:hyperlink w:anchor="_Toc26534574" w:history="1">
        <w:r w:rsidR="00083581" w:rsidRPr="00E104A1">
          <w:rPr>
            <w:rStyle w:val="Hyperlink"/>
            <w:noProof/>
          </w:rPr>
          <w:t>References</w:t>
        </w:r>
        <w:r w:rsidR="00083581">
          <w:rPr>
            <w:noProof/>
            <w:webHidden/>
          </w:rPr>
          <w:tab/>
        </w:r>
        <w:r w:rsidR="00083581">
          <w:rPr>
            <w:noProof/>
            <w:webHidden/>
          </w:rPr>
          <w:fldChar w:fldCharType="begin"/>
        </w:r>
        <w:r w:rsidR="00083581">
          <w:rPr>
            <w:noProof/>
            <w:webHidden/>
          </w:rPr>
          <w:instrText xml:space="preserve"> PAGEREF _Toc26534574 \h </w:instrText>
        </w:r>
        <w:r w:rsidR="00083581">
          <w:rPr>
            <w:noProof/>
            <w:webHidden/>
          </w:rPr>
        </w:r>
        <w:r w:rsidR="00083581">
          <w:rPr>
            <w:noProof/>
            <w:webHidden/>
          </w:rPr>
          <w:fldChar w:fldCharType="separate"/>
        </w:r>
        <w:r w:rsidR="00083581">
          <w:rPr>
            <w:noProof/>
            <w:webHidden/>
          </w:rPr>
          <w:t>40</w:t>
        </w:r>
        <w:r w:rsidR="00083581">
          <w:rPr>
            <w:noProof/>
            <w:webHidden/>
          </w:rPr>
          <w:fldChar w:fldCharType="end"/>
        </w:r>
      </w:hyperlink>
    </w:p>
    <w:p w14:paraId="73974843" w14:textId="60E07E96" w:rsidR="00083581" w:rsidRDefault="00CE1F3C">
      <w:pPr>
        <w:pStyle w:val="TOC1"/>
        <w:tabs>
          <w:tab w:val="right" w:leader="dot" w:pos="9350"/>
        </w:tabs>
        <w:rPr>
          <w:rFonts w:eastAsiaTheme="minorEastAsia" w:cstheme="minorBidi"/>
          <w:bCs w:val="0"/>
          <w:noProof/>
          <w:sz w:val="22"/>
          <w:szCs w:val="22"/>
          <w:lang w:bidi="ar-SA"/>
        </w:rPr>
      </w:pPr>
      <w:hyperlink w:anchor="_Toc26534575" w:history="1">
        <w:r w:rsidR="00083581" w:rsidRPr="00E104A1">
          <w:rPr>
            <w:rStyle w:val="Hyperlink"/>
            <w:noProof/>
          </w:rPr>
          <w:t>Chapter 2: Deep convolutional neural networks as a geological image classification tool</w:t>
        </w:r>
        <w:r w:rsidR="00083581">
          <w:rPr>
            <w:noProof/>
            <w:webHidden/>
          </w:rPr>
          <w:tab/>
        </w:r>
        <w:r w:rsidR="00083581">
          <w:rPr>
            <w:noProof/>
            <w:webHidden/>
          </w:rPr>
          <w:fldChar w:fldCharType="begin"/>
        </w:r>
        <w:r w:rsidR="00083581">
          <w:rPr>
            <w:noProof/>
            <w:webHidden/>
          </w:rPr>
          <w:instrText xml:space="preserve"> PAGEREF _Toc26534575 \h </w:instrText>
        </w:r>
        <w:r w:rsidR="00083581">
          <w:rPr>
            <w:noProof/>
            <w:webHidden/>
          </w:rPr>
        </w:r>
        <w:r w:rsidR="00083581">
          <w:rPr>
            <w:noProof/>
            <w:webHidden/>
          </w:rPr>
          <w:fldChar w:fldCharType="separate"/>
        </w:r>
        <w:r w:rsidR="00083581">
          <w:rPr>
            <w:noProof/>
            <w:webHidden/>
          </w:rPr>
          <w:t>48</w:t>
        </w:r>
        <w:r w:rsidR="00083581">
          <w:rPr>
            <w:noProof/>
            <w:webHidden/>
          </w:rPr>
          <w:fldChar w:fldCharType="end"/>
        </w:r>
      </w:hyperlink>
    </w:p>
    <w:p w14:paraId="0DBC3A57" w14:textId="526AE22A" w:rsidR="00083581" w:rsidRDefault="00CE1F3C">
      <w:pPr>
        <w:pStyle w:val="TOC2"/>
        <w:tabs>
          <w:tab w:val="right" w:leader="dot" w:pos="9350"/>
        </w:tabs>
        <w:rPr>
          <w:rFonts w:eastAsiaTheme="minorEastAsia" w:cstheme="minorBidi"/>
          <w:iCs w:val="0"/>
          <w:noProof/>
          <w:sz w:val="22"/>
          <w:szCs w:val="22"/>
          <w:lang w:bidi="ar-SA"/>
        </w:rPr>
      </w:pPr>
      <w:hyperlink w:anchor="_Toc26534576" w:history="1">
        <w:r w:rsidR="00083581" w:rsidRPr="00E104A1">
          <w:rPr>
            <w:rStyle w:val="Hyperlink"/>
            <w:noProof/>
          </w:rPr>
          <w:t>Preface</w:t>
        </w:r>
        <w:r w:rsidR="00083581">
          <w:rPr>
            <w:noProof/>
            <w:webHidden/>
          </w:rPr>
          <w:tab/>
        </w:r>
        <w:r w:rsidR="00083581">
          <w:rPr>
            <w:noProof/>
            <w:webHidden/>
          </w:rPr>
          <w:fldChar w:fldCharType="begin"/>
        </w:r>
        <w:r w:rsidR="00083581">
          <w:rPr>
            <w:noProof/>
            <w:webHidden/>
          </w:rPr>
          <w:instrText xml:space="preserve"> PAGEREF _Toc26534576 \h </w:instrText>
        </w:r>
        <w:r w:rsidR="00083581">
          <w:rPr>
            <w:noProof/>
            <w:webHidden/>
          </w:rPr>
        </w:r>
        <w:r w:rsidR="00083581">
          <w:rPr>
            <w:noProof/>
            <w:webHidden/>
          </w:rPr>
          <w:fldChar w:fldCharType="separate"/>
        </w:r>
        <w:r w:rsidR="00083581">
          <w:rPr>
            <w:noProof/>
            <w:webHidden/>
          </w:rPr>
          <w:t>48</w:t>
        </w:r>
        <w:r w:rsidR="00083581">
          <w:rPr>
            <w:noProof/>
            <w:webHidden/>
          </w:rPr>
          <w:fldChar w:fldCharType="end"/>
        </w:r>
      </w:hyperlink>
    </w:p>
    <w:p w14:paraId="0916C2CC" w14:textId="6F64583E" w:rsidR="00083581" w:rsidRDefault="00CE1F3C">
      <w:pPr>
        <w:pStyle w:val="TOC2"/>
        <w:tabs>
          <w:tab w:val="right" w:leader="dot" w:pos="9350"/>
        </w:tabs>
        <w:rPr>
          <w:rFonts w:eastAsiaTheme="minorEastAsia" w:cstheme="minorBidi"/>
          <w:iCs w:val="0"/>
          <w:noProof/>
          <w:sz w:val="22"/>
          <w:szCs w:val="22"/>
          <w:lang w:bidi="ar-SA"/>
        </w:rPr>
      </w:pPr>
      <w:hyperlink w:anchor="_Toc26534577" w:history="1">
        <w:r w:rsidR="00083581" w:rsidRPr="00E104A1">
          <w:rPr>
            <w:rStyle w:val="Hyperlink"/>
            <w:noProof/>
          </w:rPr>
          <w:t>Abstract</w:t>
        </w:r>
        <w:r w:rsidR="00083581">
          <w:rPr>
            <w:noProof/>
            <w:webHidden/>
          </w:rPr>
          <w:tab/>
        </w:r>
        <w:r w:rsidR="00083581">
          <w:rPr>
            <w:noProof/>
            <w:webHidden/>
          </w:rPr>
          <w:fldChar w:fldCharType="begin"/>
        </w:r>
        <w:r w:rsidR="00083581">
          <w:rPr>
            <w:noProof/>
            <w:webHidden/>
          </w:rPr>
          <w:instrText xml:space="preserve"> PAGEREF _Toc26534577 \h </w:instrText>
        </w:r>
        <w:r w:rsidR="00083581">
          <w:rPr>
            <w:noProof/>
            <w:webHidden/>
          </w:rPr>
        </w:r>
        <w:r w:rsidR="00083581">
          <w:rPr>
            <w:noProof/>
            <w:webHidden/>
          </w:rPr>
          <w:fldChar w:fldCharType="separate"/>
        </w:r>
        <w:r w:rsidR="00083581">
          <w:rPr>
            <w:noProof/>
            <w:webHidden/>
          </w:rPr>
          <w:t>49</w:t>
        </w:r>
        <w:r w:rsidR="00083581">
          <w:rPr>
            <w:noProof/>
            <w:webHidden/>
          </w:rPr>
          <w:fldChar w:fldCharType="end"/>
        </w:r>
      </w:hyperlink>
    </w:p>
    <w:p w14:paraId="493BBF83" w14:textId="0174F736" w:rsidR="00083581" w:rsidRDefault="00CE1F3C">
      <w:pPr>
        <w:pStyle w:val="TOC2"/>
        <w:tabs>
          <w:tab w:val="right" w:leader="dot" w:pos="9350"/>
        </w:tabs>
        <w:rPr>
          <w:rFonts w:eastAsiaTheme="minorEastAsia" w:cstheme="minorBidi"/>
          <w:iCs w:val="0"/>
          <w:noProof/>
          <w:sz w:val="22"/>
          <w:szCs w:val="22"/>
          <w:lang w:bidi="ar-SA"/>
        </w:rPr>
      </w:pPr>
      <w:hyperlink w:anchor="_Toc26534578" w:history="1">
        <w:r w:rsidR="00083581" w:rsidRPr="00E104A1">
          <w:rPr>
            <w:rStyle w:val="Hyperlink"/>
            <w:noProof/>
          </w:rPr>
          <w:t>Introduction</w:t>
        </w:r>
        <w:r w:rsidR="00083581">
          <w:rPr>
            <w:noProof/>
            <w:webHidden/>
          </w:rPr>
          <w:tab/>
        </w:r>
        <w:r w:rsidR="00083581">
          <w:rPr>
            <w:noProof/>
            <w:webHidden/>
          </w:rPr>
          <w:fldChar w:fldCharType="begin"/>
        </w:r>
        <w:r w:rsidR="00083581">
          <w:rPr>
            <w:noProof/>
            <w:webHidden/>
          </w:rPr>
          <w:instrText xml:space="preserve"> PAGEREF _Toc26534578 \h </w:instrText>
        </w:r>
        <w:r w:rsidR="00083581">
          <w:rPr>
            <w:noProof/>
            <w:webHidden/>
          </w:rPr>
        </w:r>
        <w:r w:rsidR="00083581">
          <w:rPr>
            <w:noProof/>
            <w:webHidden/>
          </w:rPr>
          <w:fldChar w:fldCharType="separate"/>
        </w:r>
        <w:r w:rsidR="00083581">
          <w:rPr>
            <w:noProof/>
            <w:webHidden/>
          </w:rPr>
          <w:t>49</w:t>
        </w:r>
        <w:r w:rsidR="00083581">
          <w:rPr>
            <w:noProof/>
            <w:webHidden/>
          </w:rPr>
          <w:fldChar w:fldCharType="end"/>
        </w:r>
      </w:hyperlink>
    </w:p>
    <w:p w14:paraId="142ECF4C" w14:textId="56E1445B" w:rsidR="00083581" w:rsidRDefault="00CE1F3C">
      <w:pPr>
        <w:pStyle w:val="TOC2"/>
        <w:tabs>
          <w:tab w:val="right" w:leader="dot" w:pos="9350"/>
        </w:tabs>
        <w:rPr>
          <w:rFonts w:eastAsiaTheme="minorEastAsia" w:cstheme="minorBidi"/>
          <w:iCs w:val="0"/>
          <w:noProof/>
          <w:sz w:val="22"/>
          <w:szCs w:val="22"/>
          <w:lang w:bidi="ar-SA"/>
        </w:rPr>
      </w:pPr>
      <w:hyperlink w:anchor="_Toc26534579" w:history="1">
        <w:r w:rsidR="00083581" w:rsidRPr="00E104A1">
          <w:rPr>
            <w:rStyle w:val="Hyperlink"/>
            <w:noProof/>
          </w:rPr>
          <w:t>Convolutional neural networks and transfer learning</w:t>
        </w:r>
        <w:r w:rsidR="00083581">
          <w:rPr>
            <w:noProof/>
            <w:webHidden/>
          </w:rPr>
          <w:tab/>
        </w:r>
        <w:r w:rsidR="00083581">
          <w:rPr>
            <w:noProof/>
            <w:webHidden/>
          </w:rPr>
          <w:fldChar w:fldCharType="begin"/>
        </w:r>
        <w:r w:rsidR="00083581">
          <w:rPr>
            <w:noProof/>
            <w:webHidden/>
          </w:rPr>
          <w:instrText xml:space="preserve"> PAGEREF _Toc26534579 \h </w:instrText>
        </w:r>
        <w:r w:rsidR="00083581">
          <w:rPr>
            <w:noProof/>
            <w:webHidden/>
          </w:rPr>
        </w:r>
        <w:r w:rsidR="00083581">
          <w:rPr>
            <w:noProof/>
            <w:webHidden/>
          </w:rPr>
          <w:fldChar w:fldCharType="separate"/>
        </w:r>
        <w:r w:rsidR="00083581">
          <w:rPr>
            <w:noProof/>
            <w:webHidden/>
          </w:rPr>
          <w:t>52</w:t>
        </w:r>
        <w:r w:rsidR="00083581">
          <w:rPr>
            <w:noProof/>
            <w:webHidden/>
          </w:rPr>
          <w:fldChar w:fldCharType="end"/>
        </w:r>
      </w:hyperlink>
    </w:p>
    <w:p w14:paraId="62D34DC1" w14:textId="356D8161" w:rsidR="00083581" w:rsidRDefault="00CE1F3C">
      <w:pPr>
        <w:pStyle w:val="TOC3"/>
        <w:tabs>
          <w:tab w:val="right" w:leader="dot" w:pos="9350"/>
        </w:tabs>
        <w:rPr>
          <w:rFonts w:eastAsiaTheme="minorEastAsia" w:cstheme="minorBidi"/>
          <w:noProof/>
          <w:sz w:val="22"/>
          <w:szCs w:val="22"/>
          <w:lang w:bidi="ar-SA"/>
        </w:rPr>
      </w:pPr>
      <w:hyperlink w:anchor="_Toc26534580" w:history="1">
        <w:r w:rsidR="00083581" w:rsidRPr="00E104A1">
          <w:rPr>
            <w:rStyle w:val="Hyperlink"/>
            <w:noProof/>
          </w:rPr>
          <w:t>CNN-Assisted fossil analysis</w:t>
        </w:r>
        <w:r w:rsidR="00083581">
          <w:rPr>
            <w:noProof/>
            <w:webHidden/>
          </w:rPr>
          <w:tab/>
        </w:r>
        <w:r w:rsidR="00083581">
          <w:rPr>
            <w:noProof/>
            <w:webHidden/>
          </w:rPr>
          <w:fldChar w:fldCharType="begin"/>
        </w:r>
        <w:r w:rsidR="00083581">
          <w:rPr>
            <w:noProof/>
            <w:webHidden/>
          </w:rPr>
          <w:instrText xml:space="preserve"> PAGEREF _Toc26534580 \h </w:instrText>
        </w:r>
        <w:r w:rsidR="00083581">
          <w:rPr>
            <w:noProof/>
            <w:webHidden/>
          </w:rPr>
        </w:r>
        <w:r w:rsidR="00083581">
          <w:rPr>
            <w:noProof/>
            <w:webHidden/>
          </w:rPr>
          <w:fldChar w:fldCharType="separate"/>
        </w:r>
        <w:r w:rsidR="00083581">
          <w:rPr>
            <w:noProof/>
            <w:webHidden/>
          </w:rPr>
          <w:t>54</w:t>
        </w:r>
        <w:r w:rsidR="00083581">
          <w:rPr>
            <w:noProof/>
            <w:webHidden/>
          </w:rPr>
          <w:fldChar w:fldCharType="end"/>
        </w:r>
      </w:hyperlink>
    </w:p>
    <w:p w14:paraId="5F5AD953" w14:textId="1AA73CDB" w:rsidR="00083581" w:rsidRDefault="00CE1F3C">
      <w:pPr>
        <w:pStyle w:val="TOC3"/>
        <w:tabs>
          <w:tab w:val="right" w:leader="dot" w:pos="9350"/>
        </w:tabs>
        <w:rPr>
          <w:rFonts w:eastAsiaTheme="minorEastAsia" w:cstheme="minorBidi"/>
          <w:noProof/>
          <w:sz w:val="22"/>
          <w:szCs w:val="22"/>
          <w:lang w:bidi="ar-SA"/>
        </w:rPr>
      </w:pPr>
      <w:hyperlink w:anchor="_Toc26534581" w:history="1">
        <w:r w:rsidR="00083581" w:rsidRPr="00E104A1">
          <w:rPr>
            <w:rStyle w:val="Hyperlink"/>
            <w:noProof/>
          </w:rPr>
          <w:t>CNN-Assisted core description</w:t>
        </w:r>
        <w:r w:rsidR="00083581">
          <w:rPr>
            <w:noProof/>
            <w:webHidden/>
          </w:rPr>
          <w:tab/>
        </w:r>
        <w:r w:rsidR="00083581">
          <w:rPr>
            <w:noProof/>
            <w:webHidden/>
          </w:rPr>
          <w:fldChar w:fldCharType="begin"/>
        </w:r>
        <w:r w:rsidR="00083581">
          <w:rPr>
            <w:noProof/>
            <w:webHidden/>
          </w:rPr>
          <w:instrText xml:space="preserve"> PAGEREF _Toc26534581 \h </w:instrText>
        </w:r>
        <w:r w:rsidR="00083581">
          <w:rPr>
            <w:noProof/>
            <w:webHidden/>
          </w:rPr>
        </w:r>
        <w:r w:rsidR="00083581">
          <w:rPr>
            <w:noProof/>
            <w:webHidden/>
          </w:rPr>
          <w:fldChar w:fldCharType="separate"/>
        </w:r>
        <w:r w:rsidR="00083581">
          <w:rPr>
            <w:noProof/>
            <w:webHidden/>
          </w:rPr>
          <w:t>56</w:t>
        </w:r>
        <w:r w:rsidR="00083581">
          <w:rPr>
            <w:noProof/>
            <w:webHidden/>
          </w:rPr>
          <w:fldChar w:fldCharType="end"/>
        </w:r>
      </w:hyperlink>
    </w:p>
    <w:p w14:paraId="3B503ACA" w14:textId="42160AD2" w:rsidR="00083581" w:rsidRDefault="00CE1F3C">
      <w:pPr>
        <w:pStyle w:val="TOC3"/>
        <w:tabs>
          <w:tab w:val="right" w:leader="dot" w:pos="9350"/>
        </w:tabs>
        <w:rPr>
          <w:rFonts w:eastAsiaTheme="minorEastAsia" w:cstheme="minorBidi"/>
          <w:noProof/>
          <w:sz w:val="22"/>
          <w:szCs w:val="22"/>
          <w:lang w:bidi="ar-SA"/>
        </w:rPr>
      </w:pPr>
      <w:hyperlink w:anchor="_Toc26534582" w:history="1">
        <w:r w:rsidR="00083581" w:rsidRPr="00E104A1">
          <w:rPr>
            <w:rStyle w:val="Hyperlink"/>
            <w:noProof/>
          </w:rPr>
          <w:t>CNN-Assisted reservoir quality classification using petrographic thin sections</w:t>
        </w:r>
        <w:r w:rsidR="00083581">
          <w:rPr>
            <w:noProof/>
            <w:webHidden/>
          </w:rPr>
          <w:tab/>
        </w:r>
        <w:r w:rsidR="00083581">
          <w:rPr>
            <w:noProof/>
            <w:webHidden/>
          </w:rPr>
          <w:fldChar w:fldCharType="begin"/>
        </w:r>
        <w:r w:rsidR="00083581">
          <w:rPr>
            <w:noProof/>
            <w:webHidden/>
          </w:rPr>
          <w:instrText xml:space="preserve"> PAGEREF _Toc26534582 \h </w:instrText>
        </w:r>
        <w:r w:rsidR="00083581">
          <w:rPr>
            <w:noProof/>
            <w:webHidden/>
          </w:rPr>
        </w:r>
        <w:r w:rsidR="00083581">
          <w:rPr>
            <w:noProof/>
            <w:webHidden/>
          </w:rPr>
          <w:fldChar w:fldCharType="separate"/>
        </w:r>
        <w:r w:rsidR="00083581">
          <w:rPr>
            <w:noProof/>
            <w:webHidden/>
          </w:rPr>
          <w:t>56</w:t>
        </w:r>
        <w:r w:rsidR="00083581">
          <w:rPr>
            <w:noProof/>
            <w:webHidden/>
          </w:rPr>
          <w:fldChar w:fldCharType="end"/>
        </w:r>
      </w:hyperlink>
    </w:p>
    <w:p w14:paraId="0FEC37F8" w14:textId="3B3ABB19" w:rsidR="00083581" w:rsidRDefault="00CE1F3C">
      <w:pPr>
        <w:pStyle w:val="TOC3"/>
        <w:tabs>
          <w:tab w:val="right" w:leader="dot" w:pos="9350"/>
        </w:tabs>
        <w:rPr>
          <w:rFonts w:eastAsiaTheme="minorEastAsia" w:cstheme="minorBidi"/>
          <w:noProof/>
          <w:sz w:val="22"/>
          <w:szCs w:val="22"/>
          <w:lang w:bidi="ar-SA"/>
        </w:rPr>
      </w:pPr>
      <w:hyperlink w:anchor="_Toc26534583" w:history="1">
        <w:r w:rsidR="00083581" w:rsidRPr="00E104A1">
          <w:rPr>
            <w:rStyle w:val="Hyperlink"/>
            <w:noProof/>
          </w:rPr>
          <w:t>CNN-Assisted rock sample analysis</w:t>
        </w:r>
        <w:r w:rsidR="00083581">
          <w:rPr>
            <w:noProof/>
            <w:webHidden/>
          </w:rPr>
          <w:tab/>
        </w:r>
        <w:r w:rsidR="00083581">
          <w:rPr>
            <w:noProof/>
            <w:webHidden/>
          </w:rPr>
          <w:fldChar w:fldCharType="begin"/>
        </w:r>
        <w:r w:rsidR="00083581">
          <w:rPr>
            <w:noProof/>
            <w:webHidden/>
          </w:rPr>
          <w:instrText xml:space="preserve"> PAGEREF _Toc26534583 \h </w:instrText>
        </w:r>
        <w:r w:rsidR="00083581">
          <w:rPr>
            <w:noProof/>
            <w:webHidden/>
          </w:rPr>
        </w:r>
        <w:r w:rsidR="00083581">
          <w:rPr>
            <w:noProof/>
            <w:webHidden/>
          </w:rPr>
          <w:fldChar w:fldCharType="separate"/>
        </w:r>
        <w:r w:rsidR="00083581">
          <w:rPr>
            <w:noProof/>
            <w:webHidden/>
          </w:rPr>
          <w:t>57</w:t>
        </w:r>
        <w:r w:rsidR="00083581">
          <w:rPr>
            <w:noProof/>
            <w:webHidden/>
          </w:rPr>
          <w:fldChar w:fldCharType="end"/>
        </w:r>
      </w:hyperlink>
    </w:p>
    <w:p w14:paraId="742BDDBD" w14:textId="531DE85E" w:rsidR="00083581" w:rsidRDefault="00CE1F3C">
      <w:pPr>
        <w:pStyle w:val="TOC2"/>
        <w:tabs>
          <w:tab w:val="right" w:leader="dot" w:pos="9350"/>
        </w:tabs>
        <w:rPr>
          <w:rFonts w:eastAsiaTheme="minorEastAsia" w:cstheme="minorBidi"/>
          <w:iCs w:val="0"/>
          <w:noProof/>
          <w:sz w:val="22"/>
          <w:szCs w:val="22"/>
          <w:lang w:bidi="ar-SA"/>
        </w:rPr>
      </w:pPr>
      <w:hyperlink w:anchor="_Toc26534584" w:history="1">
        <w:r w:rsidR="00083581" w:rsidRPr="00E104A1">
          <w:rPr>
            <w:rStyle w:val="Hyperlink"/>
            <w:noProof/>
          </w:rPr>
          <w:t>Conclusions and future work</w:t>
        </w:r>
        <w:r w:rsidR="00083581">
          <w:rPr>
            <w:noProof/>
            <w:webHidden/>
          </w:rPr>
          <w:tab/>
        </w:r>
        <w:r w:rsidR="00083581">
          <w:rPr>
            <w:noProof/>
            <w:webHidden/>
          </w:rPr>
          <w:fldChar w:fldCharType="begin"/>
        </w:r>
        <w:r w:rsidR="00083581">
          <w:rPr>
            <w:noProof/>
            <w:webHidden/>
          </w:rPr>
          <w:instrText xml:space="preserve"> PAGEREF _Toc26534584 \h </w:instrText>
        </w:r>
        <w:r w:rsidR="00083581">
          <w:rPr>
            <w:noProof/>
            <w:webHidden/>
          </w:rPr>
        </w:r>
        <w:r w:rsidR="00083581">
          <w:rPr>
            <w:noProof/>
            <w:webHidden/>
          </w:rPr>
          <w:fldChar w:fldCharType="separate"/>
        </w:r>
        <w:r w:rsidR="00083581">
          <w:rPr>
            <w:noProof/>
            <w:webHidden/>
          </w:rPr>
          <w:t>57</w:t>
        </w:r>
        <w:r w:rsidR="00083581">
          <w:rPr>
            <w:noProof/>
            <w:webHidden/>
          </w:rPr>
          <w:fldChar w:fldCharType="end"/>
        </w:r>
      </w:hyperlink>
    </w:p>
    <w:p w14:paraId="51E681C9" w14:textId="70327601" w:rsidR="00083581" w:rsidRDefault="00CE1F3C">
      <w:pPr>
        <w:pStyle w:val="TOC2"/>
        <w:tabs>
          <w:tab w:val="right" w:leader="dot" w:pos="9350"/>
        </w:tabs>
        <w:rPr>
          <w:rFonts w:eastAsiaTheme="minorEastAsia" w:cstheme="minorBidi"/>
          <w:iCs w:val="0"/>
          <w:noProof/>
          <w:sz w:val="22"/>
          <w:szCs w:val="22"/>
          <w:lang w:bidi="ar-SA"/>
        </w:rPr>
      </w:pPr>
      <w:hyperlink w:anchor="_Toc26534585" w:history="1">
        <w:r w:rsidR="00083581" w:rsidRPr="00E104A1">
          <w:rPr>
            <w:rStyle w:val="Hyperlink"/>
            <w:noProof/>
          </w:rPr>
          <w:t>Acknowledgements</w:t>
        </w:r>
        <w:r w:rsidR="00083581">
          <w:rPr>
            <w:noProof/>
            <w:webHidden/>
          </w:rPr>
          <w:tab/>
        </w:r>
        <w:r w:rsidR="00083581">
          <w:rPr>
            <w:noProof/>
            <w:webHidden/>
          </w:rPr>
          <w:fldChar w:fldCharType="begin"/>
        </w:r>
        <w:r w:rsidR="00083581">
          <w:rPr>
            <w:noProof/>
            <w:webHidden/>
          </w:rPr>
          <w:instrText xml:space="preserve"> PAGEREF _Toc26534585 \h </w:instrText>
        </w:r>
        <w:r w:rsidR="00083581">
          <w:rPr>
            <w:noProof/>
            <w:webHidden/>
          </w:rPr>
        </w:r>
        <w:r w:rsidR="00083581">
          <w:rPr>
            <w:noProof/>
            <w:webHidden/>
          </w:rPr>
          <w:fldChar w:fldCharType="separate"/>
        </w:r>
        <w:r w:rsidR="00083581">
          <w:rPr>
            <w:noProof/>
            <w:webHidden/>
          </w:rPr>
          <w:t>59</w:t>
        </w:r>
        <w:r w:rsidR="00083581">
          <w:rPr>
            <w:noProof/>
            <w:webHidden/>
          </w:rPr>
          <w:fldChar w:fldCharType="end"/>
        </w:r>
      </w:hyperlink>
    </w:p>
    <w:p w14:paraId="130DEC0A" w14:textId="6A23FDCC" w:rsidR="00083581" w:rsidRDefault="00CE1F3C">
      <w:pPr>
        <w:pStyle w:val="TOC2"/>
        <w:tabs>
          <w:tab w:val="right" w:leader="dot" w:pos="9350"/>
        </w:tabs>
        <w:rPr>
          <w:rFonts w:eastAsiaTheme="minorEastAsia" w:cstheme="minorBidi"/>
          <w:iCs w:val="0"/>
          <w:noProof/>
          <w:sz w:val="22"/>
          <w:szCs w:val="22"/>
          <w:lang w:bidi="ar-SA"/>
        </w:rPr>
      </w:pPr>
      <w:hyperlink w:anchor="_Toc26534586" w:history="1">
        <w:r w:rsidR="00083581" w:rsidRPr="00E104A1">
          <w:rPr>
            <w:rStyle w:val="Hyperlink"/>
            <w:noProof/>
            <w:lang w:val="de-DE"/>
          </w:rPr>
          <w:t>References</w:t>
        </w:r>
        <w:r w:rsidR="00083581">
          <w:rPr>
            <w:noProof/>
            <w:webHidden/>
          </w:rPr>
          <w:tab/>
        </w:r>
        <w:r w:rsidR="00083581">
          <w:rPr>
            <w:noProof/>
            <w:webHidden/>
          </w:rPr>
          <w:fldChar w:fldCharType="begin"/>
        </w:r>
        <w:r w:rsidR="00083581">
          <w:rPr>
            <w:noProof/>
            <w:webHidden/>
          </w:rPr>
          <w:instrText xml:space="preserve"> PAGEREF _Toc26534586 \h </w:instrText>
        </w:r>
        <w:r w:rsidR="00083581">
          <w:rPr>
            <w:noProof/>
            <w:webHidden/>
          </w:rPr>
        </w:r>
        <w:r w:rsidR="00083581">
          <w:rPr>
            <w:noProof/>
            <w:webHidden/>
          </w:rPr>
          <w:fldChar w:fldCharType="separate"/>
        </w:r>
        <w:r w:rsidR="00083581">
          <w:rPr>
            <w:noProof/>
            <w:webHidden/>
          </w:rPr>
          <w:t>59</w:t>
        </w:r>
        <w:r w:rsidR="00083581">
          <w:rPr>
            <w:noProof/>
            <w:webHidden/>
          </w:rPr>
          <w:fldChar w:fldCharType="end"/>
        </w:r>
      </w:hyperlink>
    </w:p>
    <w:p w14:paraId="18250451" w14:textId="5B9EEB9A" w:rsidR="00083581" w:rsidRDefault="00CE1F3C">
      <w:pPr>
        <w:pStyle w:val="TOC1"/>
        <w:tabs>
          <w:tab w:val="right" w:leader="dot" w:pos="9350"/>
        </w:tabs>
        <w:rPr>
          <w:rFonts w:eastAsiaTheme="minorEastAsia" w:cstheme="minorBidi"/>
          <w:bCs w:val="0"/>
          <w:noProof/>
          <w:sz w:val="22"/>
          <w:szCs w:val="22"/>
          <w:lang w:bidi="ar-SA"/>
        </w:rPr>
      </w:pPr>
      <w:hyperlink w:anchor="_Toc26534587" w:history="1">
        <w:r w:rsidR="00083581" w:rsidRPr="00E104A1">
          <w:rPr>
            <w:rStyle w:val="Hyperlink"/>
            <w:noProof/>
          </w:rPr>
          <w:t>Chapter 3: Convolutional neural networks as aid in core lithofacies classification</w:t>
        </w:r>
        <w:r w:rsidR="00083581">
          <w:rPr>
            <w:noProof/>
            <w:webHidden/>
          </w:rPr>
          <w:tab/>
        </w:r>
        <w:r w:rsidR="00083581">
          <w:rPr>
            <w:noProof/>
            <w:webHidden/>
          </w:rPr>
          <w:fldChar w:fldCharType="begin"/>
        </w:r>
        <w:r w:rsidR="00083581">
          <w:rPr>
            <w:noProof/>
            <w:webHidden/>
          </w:rPr>
          <w:instrText xml:space="preserve"> PAGEREF _Toc26534587 \h </w:instrText>
        </w:r>
        <w:r w:rsidR="00083581">
          <w:rPr>
            <w:noProof/>
            <w:webHidden/>
          </w:rPr>
        </w:r>
        <w:r w:rsidR="00083581">
          <w:rPr>
            <w:noProof/>
            <w:webHidden/>
          </w:rPr>
          <w:fldChar w:fldCharType="separate"/>
        </w:r>
        <w:r w:rsidR="00083581">
          <w:rPr>
            <w:noProof/>
            <w:webHidden/>
          </w:rPr>
          <w:t>62</w:t>
        </w:r>
        <w:r w:rsidR="00083581">
          <w:rPr>
            <w:noProof/>
            <w:webHidden/>
          </w:rPr>
          <w:fldChar w:fldCharType="end"/>
        </w:r>
      </w:hyperlink>
    </w:p>
    <w:p w14:paraId="5F23523E" w14:textId="690BF377" w:rsidR="00083581" w:rsidRDefault="00CE1F3C">
      <w:pPr>
        <w:pStyle w:val="TOC2"/>
        <w:tabs>
          <w:tab w:val="right" w:leader="dot" w:pos="9350"/>
        </w:tabs>
        <w:rPr>
          <w:rFonts w:eastAsiaTheme="minorEastAsia" w:cstheme="minorBidi"/>
          <w:iCs w:val="0"/>
          <w:noProof/>
          <w:sz w:val="22"/>
          <w:szCs w:val="22"/>
          <w:lang w:bidi="ar-SA"/>
        </w:rPr>
      </w:pPr>
      <w:hyperlink w:anchor="_Toc26534588" w:history="1">
        <w:r w:rsidR="00083581" w:rsidRPr="00E104A1">
          <w:rPr>
            <w:rStyle w:val="Hyperlink"/>
            <w:noProof/>
          </w:rPr>
          <w:t>Preface</w:t>
        </w:r>
        <w:r w:rsidR="00083581">
          <w:rPr>
            <w:noProof/>
            <w:webHidden/>
          </w:rPr>
          <w:tab/>
        </w:r>
        <w:r w:rsidR="00083581">
          <w:rPr>
            <w:noProof/>
            <w:webHidden/>
          </w:rPr>
          <w:fldChar w:fldCharType="begin"/>
        </w:r>
        <w:r w:rsidR="00083581">
          <w:rPr>
            <w:noProof/>
            <w:webHidden/>
          </w:rPr>
          <w:instrText xml:space="preserve"> PAGEREF _Toc26534588 \h </w:instrText>
        </w:r>
        <w:r w:rsidR="00083581">
          <w:rPr>
            <w:noProof/>
            <w:webHidden/>
          </w:rPr>
        </w:r>
        <w:r w:rsidR="00083581">
          <w:rPr>
            <w:noProof/>
            <w:webHidden/>
          </w:rPr>
          <w:fldChar w:fldCharType="separate"/>
        </w:r>
        <w:r w:rsidR="00083581">
          <w:rPr>
            <w:noProof/>
            <w:webHidden/>
          </w:rPr>
          <w:t>62</w:t>
        </w:r>
        <w:r w:rsidR="00083581">
          <w:rPr>
            <w:noProof/>
            <w:webHidden/>
          </w:rPr>
          <w:fldChar w:fldCharType="end"/>
        </w:r>
      </w:hyperlink>
    </w:p>
    <w:p w14:paraId="691704EA" w14:textId="7F8D874F" w:rsidR="00083581" w:rsidRDefault="00CE1F3C">
      <w:pPr>
        <w:pStyle w:val="TOC2"/>
        <w:tabs>
          <w:tab w:val="right" w:leader="dot" w:pos="9350"/>
        </w:tabs>
        <w:rPr>
          <w:rFonts w:eastAsiaTheme="minorEastAsia" w:cstheme="minorBidi"/>
          <w:iCs w:val="0"/>
          <w:noProof/>
          <w:sz w:val="22"/>
          <w:szCs w:val="22"/>
          <w:lang w:bidi="ar-SA"/>
        </w:rPr>
      </w:pPr>
      <w:hyperlink w:anchor="_Toc26534589" w:history="1">
        <w:r w:rsidR="00083581" w:rsidRPr="00E104A1">
          <w:rPr>
            <w:rStyle w:val="Hyperlink"/>
            <w:noProof/>
          </w:rPr>
          <w:t>Abstract</w:t>
        </w:r>
        <w:r w:rsidR="00083581">
          <w:rPr>
            <w:noProof/>
            <w:webHidden/>
          </w:rPr>
          <w:tab/>
        </w:r>
        <w:r w:rsidR="00083581">
          <w:rPr>
            <w:noProof/>
            <w:webHidden/>
          </w:rPr>
          <w:fldChar w:fldCharType="begin"/>
        </w:r>
        <w:r w:rsidR="00083581">
          <w:rPr>
            <w:noProof/>
            <w:webHidden/>
          </w:rPr>
          <w:instrText xml:space="preserve"> PAGEREF _Toc26534589 \h </w:instrText>
        </w:r>
        <w:r w:rsidR="00083581">
          <w:rPr>
            <w:noProof/>
            <w:webHidden/>
          </w:rPr>
        </w:r>
        <w:r w:rsidR="00083581">
          <w:rPr>
            <w:noProof/>
            <w:webHidden/>
          </w:rPr>
          <w:fldChar w:fldCharType="separate"/>
        </w:r>
        <w:r w:rsidR="00083581">
          <w:rPr>
            <w:noProof/>
            <w:webHidden/>
          </w:rPr>
          <w:t>63</w:t>
        </w:r>
        <w:r w:rsidR="00083581">
          <w:rPr>
            <w:noProof/>
            <w:webHidden/>
          </w:rPr>
          <w:fldChar w:fldCharType="end"/>
        </w:r>
      </w:hyperlink>
    </w:p>
    <w:p w14:paraId="33247088" w14:textId="6AA173DF" w:rsidR="00083581" w:rsidRDefault="00CE1F3C">
      <w:pPr>
        <w:pStyle w:val="TOC2"/>
        <w:tabs>
          <w:tab w:val="right" w:leader="dot" w:pos="9350"/>
        </w:tabs>
        <w:rPr>
          <w:rFonts w:eastAsiaTheme="minorEastAsia" w:cstheme="minorBidi"/>
          <w:iCs w:val="0"/>
          <w:noProof/>
          <w:sz w:val="22"/>
          <w:szCs w:val="22"/>
          <w:lang w:bidi="ar-SA"/>
        </w:rPr>
      </w:pPr>
      <w:hyperlink w:anchor="_Toc26534590" w:history="1">
        <w:r w:rsidR="00083581" w:rsidRPr="00E104A1">
          <w:rPr>
            <w:rStyle w:val="Hyperlink"/>
            <w:noProof/>
          </w:rPr>
          <w:t>Introduction</w:t>
        </w:r>
        <w:r w:rsidR="00083581">
          <w:rPr>
            <w:noProof/>
            <w:webHidden/>
          </w:rPr>
          <w:tab/>
        </w:r>
        <w:r w:rsidR="00083581">
          <w:rPr>
            <w:noProof/>
            <w:webHidden/>
          </w:rPr>
          <w:fldChar w:fldCharType="begin"/>
        </w:r>
        <w:r w:rsidR="00083581">
          <w:rPr>
            <w:noProof/>
            <w:webHidden/>
          </w:rPr>
          <w:instrText xml:space="preserve"> PAGEREF _Toc26534590 \h </w:instrText>
        </w:r>
        <w:r w:rsidR="00083581">
          <w:rPr>
            <w:noProof/>
            <w:webHidden/>
          </w:rPr>
        </w:r>
        <w:r w:rsidR="00083581">
          <w:rPr>
            <w:noProof/>
            <w:webHidden/>
          </w:rPr>
          <w:fldChar w:fldCharType="separate"/>
        </w:r>
        <w:r w:rsidR="00083581">
          <w:rPr>
            <w:noProof/>
            <w:webHidden/>
          </w:rPr>
          <w:t>63</w:t>
        </w:r>
        <w:r w:rsidR="00083581">
          <w:rPr>
            <w:noProof/>
            <w:webHidden/>
          </w:rPr>
          <w:fldChar w:fldCharType="end"/>
        </w:r>
      </w:hyperlink>
    </w:p>
    <w:p w14:paraId="17FDDDFC" w14:textId="556E6A31" w:rsidR="00083581" w:rsidRDefault="00CE1F3C">
      <w:pPr>
        <w:pStyle w:val="TOC2"/>
        <w:tabs>
          <w:tab w:val="right" w:leader="dot" w:pos="9350"/>
        </w:tabs>
        <w:rPr>
          <w:rFonts w:eastAsiaTheme="minorEastAsia" w:cstheme="minorBidi"/>
          <w:iCs w:val="0"/>
          <w:noProof/>
          <w:sz w:val="22"/>
          <w:szCs w:val="22"/>
          <w:lang w:bidi="ar-SA"/>
        </w:rPr>
      </w:pPr>
      <w:hyperlink w:anchor="_Toc26534591" w:history="1">
        <w:r w:rsidR="00083581" w:rsidRPr="00E104A1">
          <w:rPr>
            <w:rStyle w:val="Hyperlink"/>
            <w:noProof/>
          </w:rPr>
          <w:t>Methodology</w:t>
        </w:r>
        <w:r w:rsidR="00083581">
          <w:rPr>
            <w:noProof/>
            <w:webHidden/>
          </w:rPr>
          <w:tab/>
        </w:r>
        <w:r w:rsidR="00083581">
          <w:rPr>
            <w:noProof/>
            <w:webHidden/>
          </w:rPr>
          <w:fldChar w:fldCharType="begin"/>
        </w:r>
        <w:r w:rsidR="00083581">
          <w:rPr>
            <w:noProof/>
            <w:webHidden/>
          </w:rPr>
          <w:instrText xml:space="preserve"> PAGEREF _Toc26534591 \h </w:instrText>
        </w:r>
        <w:r w:rsidR="00083581">
          <w:rPr>
            <w:noProof/>
            <w:webHidden/>
          </w:rPr>
        </w:r>
        <w:r w:rsidR="00083581">
          <w:rPr>
            <w:noProof/>
            <w:webHidden/>
          </w:rPr>
          <w:fldChar w:fldCharType="separate"/>
        </w:r>
        <w:r w:rsidR="00083581">
          <w:rPr>
            <w:noProof/>
            <w:webHidden/>
          </w:rPr>
          <w:t>65</w:t>
        </w:r>
        <w:r w:rsidR="00083581">
          <w:rPr>
            <w:noProof/>
            <w:webHidden/>
          </w:rPr>
          <w:fldChar w:fldCharType="end"/>
        </w:r>
      </w:hyperlink>
    </w:p>
    <w:p w14:paraId="0139D874" w14:textId="56F74D91" w:rsidR="00083581" w:rsidRDefault="00CE1F3C">
      <w:pPr>
        <w:pStyle w:val="TOC2"/>
        <w:tabs>
          <w:tab w:val="right" w:leader="dot" w:pos="9350"/>
        </w:tabs>
        <w:rPr>
          <w:rFonts w:eastAsiaTheme="minorEastAsia" w:cstheme="minorBidi"/>
          <w:iCs w:val="0"/>
          <w:noProof/>
          <w:sz w:val="22"/>
          <w:szCs w:val="22"/>
          <w:lang w:bidi="ar-SA"/>
        </w:rPr>
      </w:pPr>
      <w:hyperlink w:anchor="_Toc26534592" w:history="1">
        <w:r w:rsidR="00083581" w:rsidRPr="00E104A1">
          <w:rPr>
            <w:rStyle w:val="Hyperlink"/>
            <w:noProof/>
          </w:rPr>
          <w:t>Data Preparation</w:t>
        </w:r>
        <w:r w:rsidR="00083581">
          <w:rPr>
            <w:noProof/>
            <w:webHidden/>
          </w:rPr>
          <w:tab/>
        </w:r>
        <w:r w:rsidR="00083581">
          <w:rPr>
            <w:noProof/>
            <w:webHidden/>
          </w:rPr>
          <w:fldChar w:fldCharType="begin"/>
        </w:r>
        <w:r w:rsidR="00083581">
          <w:rPr>
            <w:noProof/>
            <w:webHidden/>
          </w:rPr>
          <w:instrText xml:space="preserve"> PAGEREF _Toc26534592 \h </w:instrText>
        </w:r>
        <w:r w:rsidR="00083581">
          <w:rPr>
            <w:noProof/>
            <w:webHidden/>
          </w:rPr>
        </w:r>
        <w:r w:rsidR="00083581">
          <w:rPr>
            <w:noProof/>
            <w:webHidden/>
          </w:rPr>
          <w:fldChar w:fldCharType="separate"/>
        </w:r>
        <w:r w:rsidR="00083581">
          <w:rPr>
            <w:noProof/>
            <w:webHidden/>
          </w:rPr>
          <w:t>66</w:t>
        </w:r>
        <w:r w:rsidR="00083581">
          <w:rPr>
            <w:noProof/>
            <w:webHidden/>
          </w:rPr>
          <w:fldChar w:fldCharType="end"/>
        </w:r>
      </w:hyperlink>
    </w:p>
    <w:p w14:paraId="23318DB2" w14:textId="6D584E75" w:rsidR="00083581" w:rsidRDefault="00CE1F3C">
      <w:pPr>
        <w:pStyle w:val="TOC2"/>
        <w:tabs>
          <w:tab w:val="right" w:leader="dot" w:pos="9350"/>
        </w:tabs>
        <w:rPr>
          <w:rFonts w:eastAsiaTheme="minorEastAsia" w:cstheme="minorBidi"/>
          <w:iCs w:val="0"/>
          <w:noProof/>
          <w:sz w:val="22"/>
          <w:szCs w:val="22"/>
          <w:lang w:bidi="ar-SA"/>
        </w:rPr>
      </w:pPr>
      <w:hyperlink w:anchor="_Toc26534593" w:history="1">
        <w:r w:rsidR="00083581" w:rsidRPr="00E104A1">
          <w:rPr>
            <w:rStyle w:val="Hyperlink"/>
            <w:noProof/>
          </w:rPr>
          <w:t>Transfer Learning</w:t>
        </w:r>
        <w:r w:rsidR="00083581">
          <w:rPr>
            <w:noProof/>
            <w:webHidden/>
          </w:rPr>
          <w:tab/>
        </w:r>
        <w:r w:rsidR="00083581">
          <w:rPr>
            <w:noProof/>
            <w:webHidden/>
          </w:rPr>
          <w:fldChar w:fldCharType="begin"/>
        </w:r>
        <w:r w:rsidR="00083581">
          <w:rPr>
            <w:noProof/>
            <w:webHidden/>
          </w:rPr>
          <w:instrText xml:space="preserve"> PAGEREF _Toc26534593 \h </w:instrText>
        </w:r>
        <w:r w:rsidR="00083581">
          <w:rPr>
            <w:noProof/>
            <w:webHidden/>
          </w:rPr>
        </w:r>
        <w:r w:rsidR="00083581">
          <w:rPr>
            <w:noProof/>
            <w:webHidden/>
          </w:rPr>
          <w:fldChar w:fldCharType="separate"/>
        </w:r>
        <w:r w:rsidR="00083581">
          <w:rPr>
            <w:noProof/>
            <w:webHidden/>
          </w:rPr>
          <w:t>70</w:t>
        </w:r>
        <w:r w:rsidR="00083581">
          <w:rPr>
            <w:noProof/>
            <w:webHidden/>
          </w:rPr>
          <w:fldChar w:fldCharType="end"/>
        </w:r>
      </w:hyperlink>
    </w:p>
    <w:p w14:paraId="3F1597F1" w14:textId="60E97CB4" w:rsidR="00083581" w:rsidRDefault="00CE1F3C">
      <w:pPr>
        <w:pStyle w:val="TOC2"/>
        <w:tabs>
          <w:tab w:val="right" w:leader="dot" w:pos="9350"/>
        </w:tabs>
        <w:rPr>
          <w:rFonts w:eastAsiaTheme="minorEastAsia" w:cstheme="minorBidi"/>
          <w:iCs w:val="0"/>
          <w:noProof/>
          <w:sz w:val="22"/>
          <w:szCs w:val="22"/>
          <w:lang w:bidi="ar-SA"/>
        </w:rPr>
      </w:pPr>
      <w:hyperlink w:anchor="_Toc26534594" w:history="1">
        <w:r w:rsidR="00083581" w:rsidRPr="00E104A1">
          <w:rPr>
            <w:rStyle w:val="Hyperlink"/>
            <w:noProof/>
          </w:rPr>
          <w:t>Results</w:t>
        </w:r>
        <w:r w:rsidR="00083581">
          <w:rPr>
            <w:noProof/>
            <w:webHidden/>
          </w:rPr>
          <w:tab/>
        </w:r>
        <w:r w:rsidR="00083581">
          <w:rPr>
            <w:noProof/>
            <w:webHidden/>
          </w:rPr>
          <w:fldChar w:fldCharType="begin"/>
        </w:r>
        <w:r w:rsidR="00083581">
          <w:rPr>
            <w:noProof/>
            <w:webHidden/>
          </w:rPr>
          <w:instrText xml:space="preserve"> PAGEREF _Toc26534594 \h </w:instrText>
        </w:r>
        <w:r w:rsidR="00083581">
          <w:rPr>
            <w:noProof/>
            <w:webHidden/>
          </w:rPr>
        </w:r>
        <w:r w:rsidR="00083581">
          <w:rPr>
            <w:noProof/>
            <w:webHidden/>
          </w:rPr>
          <w:fldChar w:fldCharType="separate"/>
        </w:r>
        <w:r w:rsidR="00083581">
          <w:rPr>
            <w:noProof/>
            <w:webHidden/>
          </w:rPr>
          <w:t>73</w:t>
        </w:r>
        <w:r w:rsidR="00083581">
          <w:rPr>
            <w:noProof/>
            <w:webHidden/>
          </w:rPr>
          <w:fldChar w:fldCharType="end"/>
        </w:r>
      </w:hyperlink>
    </w:p>
    <w:p w14:paraId="3A72D952" w14:textId="32135C68" w:rsidR="00083581" w:rsidRDefault="00CE1F3C">
      <w:pPr>
        <w:pStyle w:val="TOC2"/>
        <w:tabs>
          <w:tab w:val="right" w:leader="dot" w:pos="9350"/>
        </w:tabs>
        <w:rPr>
          <w:rFonts w:eastAsiaTheme="minorEastAsia" w:cstheme="minorBidi"/>
          <w:iCs w:val="0"/>
          <w:noProof/>
          <w:sz w:val="22"/>
          <w:szCs w:val="22"/>
          <w:lang w:bidi="ar-SA"/>
        </w:rPr>
      </w:pPr>
      <w:hyperlink w:anchor="_Toc26534595" w:history="1">
        <w:r w:rsidR="00083581" w:rsidRPr="00E104A1">
          <w:rPr>
            <w:rStyle w:val="Hyperlink"/>
            <w:noProof/>
          </w:rPr>
          <w:t>Discussion</w:t>
        </w:r>
        <w:r w:rsidR="00083581">
          <w:rPr>
            <w:noProof/>
            <w:webHidden/>
          </w:rPr>
          <w:tab/>
        </w:r>
        <w:r w:rsidR="00083581">
          <w:rPr>
            <w:noProof/>
            <w:webHidden/>
          </w:rPr>
          <w:fldChar w:fldCharType="begin"/>
        </w:r>
        <w:r w:rsidR="00083581">
          <w:rPr>
            <w:noProof/>
            <w:webHidden/>
          </w:rPr>
          <w:instrText xml:space="preserve"> PAGEREF _Toc26534595 \h </w:instrText>
        </w:r>
        <w:r w:rsidR="00083581">
          <w:rPr>
            <w:noProof/>
            <w:webHidden/>
          </w:rPr>
        </w:r>
        <w:r w:rsidR="00083581">
          <w:rPr>
            <w:noProof/>
            <w:webHidden/>
          </w:rPr>
          <w:fldChar w:fldCharType="separate"/>
        </w:r>
        <w:r w:rsidR="00083581">
          <w:rPr>
            <w:noProof/>
            <w:webHidden/>
          </w:rPr>
          <w:t>78</w:t>
        </w:r>
        <w:r w:rsidR="00083581">
          <w:rPr>
            <w:noProof/>
            <w:webHidden/>
          </w:rPr>
          <w:fldChar w:fldCharType="end"/>
        </w:r>
      </w:hyperlink>
    </w:p>
    <w:p w14:paraId="6307FBFF" w14:textId="28B6782B" w:rsidR="00083581" w:rsidRDefault="00CE1F3C">
      <w:pPr>
        <w:pStyle w:val="TOC2"/>
        <w:tabs>
          <w:tab w:val="right" w:leader="dot" w:pos="9350"/>
        </w:tabs>
        <w:rPr>
          <w:rFonts w:eastAsiaTheme="minorEastAsia" w:cstheme="minorBidi"/>
          <w:iCs w:val="0"/>
          <w:noProof/>
          <w:sz w:val="22"/>
          <w:szCs w:val="22"/>
          <w:lang w:bidi="ar-SA"/>
        </w:rPr>
      </w:pPr>
      <w:hyperlink w:anchor="_Toc26534596" w:history="1">
        <w:r w:rsidR="00083581" w:rsidRPr="00E104A1">
          <w:rPr>
            <w:rStyle w:val="Hyperlink"/>
            <w:noProof/>
          </w:rPr>
          <w:t>Suggestions for further study</w:t>
        </w:r>
        <w:r w:rsidR="00083581">
          <w:rPr>
            <w:noProof/>
            <w:webHidden/>
          </w:rPr>
          <w:tab/>
        </w:r>
        <w:r w:rsidR="00083581">
          <w:rPr>
            <w:noProof/>
            <w:webHidden/>
          </w:rPr>
          <w:fldChar w:fldCharType="begin"/>
        </w:r>
        <w:r w:rsidR="00083581">
          <w:rPr>
            <w:noProof/>
            <w:webHidden/>
          </w:rPr>
          <w:instrText xml:space="preserve"> PAGEREF _Toc26534596 \h </w:instrText>
        </w:r>
        <w:r w:rsidR="00083581">
          <w:rPr>
            <w:noProof/>
            <w:webHidden/>
          </w:rPr>
        </w:r>
        <w:r w:rsidR="00083581">
          <w:rPr>
            <w:noProof/>
            <w:webHidden/>
          </w:rPr>
          <w:fldChar w:fldCharType="separate"/>
        </w:r>
        <w:r w:rsidR="00083581">
          <w:rPr>
            <w:noProof/>
            <w:webHidden/>
          </w:rPr>
          <w:t>81</w:t>
        </w:r>
        <w:r w:rsidR="00083581">
          <w:rPr>
            <w:noProof/>
            <w:webHidden/>
          </w:rPr>
          <w:fldChar w:fldCharType="end"/>
        </w:r>
      </w:hyperlink>
    </w:p>
    <w:p w14:paraId="445B6457" w14:textId="73531D4E" w:rsidR="00083581" w:rsidRDefault="00CE1F3C">
      <w:pPr>
        <w:pStyle w:val="TOC2"/>
        <w:tabs>
          <w:tab w:val="right" w:leader="dot" w:pos="9350"/>
        </w:tabs>
        <w:rPr>
          <w:rFonts w:eastAsiaTheme="minorEastAsia" w:cstheme="minorBidi"/>
          <w:iCs w:val="0"/>
          <w:noProof/>
          <w:sz w:val="22"/>
          <w:szCs w:val="22"/>
          <w:lang w:bidi="ar-SA"/>
        </w:rPr>
      </w:pPr>
      <w:hyperlink w:anchor="_Toc26534597" w:history="1">
        <w:r w:rsidR="00083581" w:rsidRPr="00E104A1">
          <w:rPr>
            <w:rStyle w:val="Hyperlink"/>
            <w:noProof/>
          </w:rPr>
          <w:t>Conclusions</w:t>
        </w:r>
        <w:r w:rsidR="00083581">
          <w:rPr>
            <w:noProof/>
            <w:webHidden/>
          </w:rPr>
          <w:tab/>
        </w:r>
        <w:r w:rsidR="00083581">
          <w:rPr>
            <w:noProof/>
            <w:webHidden/>
          </w:rPr>
          <w:fldChar w:fldCharType="begin"/>
        </w:r>
        <w:r w:rsidR="00083581">
          <w:rPr>
            <w:noProof/>
            <w:webHidden/>
          </w:rPr>
          <w:instrText xml:space="preserve"> PAGEREF _Toc26534597 \h </w:instrText>
        </w:r>
        <w:r w:rsidR="00083581">
          <w:rPr>
            <w:noProof/>
            <w:webHidden/>
          </w:rPr>
        </w:r>
        <w:r w:rsidR="00083581">
          <w:rPr>
            <w:noProof/>
            <w:webHidden/>
          </w:rPr>
          <w:fldChar w:fldCharType="separate"/>
        </w:r>
        <w:r w:rsidR="00083581">
          <w:rPr>
            <w:noProof/>
            <w:webHidden/>
          </w:rPr>
          <w:t>82</w:t>
        </w:r>
        <w:r w:rsidR="00083581">
          <w:rPr>
            <w:noProof/>
            <w:webHidden/>
          </w:rPr>
          <w:fldChar w:fldCharType="end"/>
        </w:r>
      </w:hyperlink>
    </w:p>
    <w:p w14:paraId="01253D5E" w14:textId="43364D25" w:rsidR="00083581" w:rsidRDefault="00CE1F3C">
      <w:pPr>
        <w:pStyle w:val="TOC2"/>
        <w:tabs>
          <w:tab w:val="right" w:leader="dot" w:pos="9350"/>
        </w:tabs>
        <w:rPr>
          <w:rFonts w:eastAsiaTheme="minorEastAsia" w:cstheme="minorBidi"/>
          <w:iCs w:val="0"/>
          <w:noProof/>
          <w:sz w:val="22"/>
          <w:szCs w:val="22"/>
          <w:lang w:bidi="ar-SA"/>
        </w:rPr>
      </w:pPr>
      <w:hyperlink w:anchor="_Toc26534598" w:history="1">
        <w:r w:rsidR="00083581" w:rsidRPr="00E104A1">
          <w:rPr>
            <w:rStyle w:val="Hyperlink"/>
            <w:noProof/>
          </w:rPr>
          <w:t>Acknowledgments</w:t>
        </w:r>
        <w:r w:rsidR="00083581">
          <w:rPr>
            <w:noProof/>
            <w:webHidden/>
          </w:rPr>
          <w:tab/>
        </w:r>
        <w:r w:rsidR="00083581">
          <w:rPr>
            <w:noProof/>
            <w:webHidden/>
          </w:rPr>
          <w:fldChar w:fldCharType="begin"/>
        </w:r>
        <w:r w:rsidR="00083581">
          <w:rPr>
            <w:noProof/>
            <w:webHidden/>
          </w:rPr>
          <w:instrText xml:space="preserve"> PAGEREF _Toc26534598 \h </w:instrText>
        </w:r>
        <w:r w:rsidR="00083581">
          <w:rPr>
            <w:noProof/>
            <w:webHidden/>
          </w:rPr>
        </w:r>
        <w:r w:rsidR="00083581">
          <w:rPr>
            <w:noProof/>
            <w:webHidden/>
          </w:rPr>
          <w:fldChar w:fldCharType="separate"/>
        </w:r>
        <w:r w:rsidR="00083581">
          <w:rPr>
            <w:noProof/>
            <w:webHidden/>
          </w:rPr>
          <w:t>84</w:t>
        </w:r>
        <w:r w:rsidR="00083581">
          <w:rPr>
            <w:noProof/>
            <w:webHidden/>
          </w:rPr>
          <w:fldChar w:fldCharType="end"/>
        </w:r>
      </w:hyperlink>
    </w:p>
    <w:p w14:paraId="0CAFF7DF" w14:textId="3FCEF5FB" w:rsidR="00083581" w:rsidRDefault="00CE1F3C">
      <w:pPr>
        <w:pStyle w:val="TOC2"/>
        <w:tabs>
          <w:tab w:val="right" w:leader="dot" w:pos="9350"/>
        </w:tabs>
        <w:rPr>
          <w:rFonts w:eastAsiaTheme="minorEastAsia" w:cstheme="minorBidi"/>
          <w:iCs w:val="0"/>
          <w:noProof/>
          <w:sz w:val="22"/>
          <w:szCs w:val="22"/>
          <w:lang w:bidi="ar-SA"/>
        </w:rPr>
      </w:pPr>
      <w:hyperlink w:anchor="_Toc26534599" w:history="1">
        <w:r w:rsidR="00083581" w:rsidRPr="00E104A1">
          <w:rPr>
            <w:rStyle w:val="Hyperlink"/>
            <w:noProof/>
          </w:rPr>
          <w:t>Appendix A</w:t>
        </w:r>
        <w:r w:rsidR="00083581">
          <w:rPr>
            <w:noProof/>
            <w:webHidden/>
          </w:rPr>
          <w:tab/>
        </w:r>
        <w:r w:rsidR="00083581">
          <w:rPr>
            <w:noProof/>
            <w:webHidden/>
          </w:rPr>
          <w:fldChar w:fldCharType="begin"/>
        </w:r>
        <w:r w:rsidR="00083581">
          <w:rPr>
            <w:noProof/>
            <w:webHidden/>
          </w:rPr>
          <w:instrText xml:space="preserve"> PAGEREF _Toc26534599 \h </w:instrText>
        </w:r>
        <w:r w:rsidR="00083581">
          <w:rPr>
            <w:noProof/>
            <w:webHidden/>
          </w:rPr>
        </w:r>
        <w:r w:rsidR="00083581">
          <w:rPr>
            <w:noProof/>
            <w:webHidden/>
          </w:rPr>
          <w:fldChar w:fldCharType="separate"/>
        </w:r>
        <w:r w:rsidR="00083581">
          <w:rPr>
            <w:noProof/>
            <w:webHidden/>
          </w:rPr>
          <w:t>85</w:t>
        </w:r>
        <w:r w:rsidR="00083581">
          <w:rPr>
            <w:noProof/>
            <w:webHidden/>
          </w:rPr>
          <w:fldChar w:fldCharType="end"/>
        </w:r>
      </w:hyperlink>
    </w:p>
    <w:p w14:paraId="55C4ECBF" w14:textId="1C525B28" w:rsidR="00083581" w:rsidRDefault="00CE1F3C">
      <w:pPr>
        <w:pStyle w:val="TOC3"/>
        <w:tabs>
          <w:tab w:val="right" w:leader="dot" w:pos="9350"/>
        </w:tabs>
        <w:rPr>
          <w:rFonts w:eastAsiaTheme="minorEastAsia" w:cstheme="minorBidi"/>
          <w:noProof/>
          <w:sz w:val="22"/>
          <w:szCs w:val="22"/>
          <w:lang w:bidi="ar-SA"/>
        </w:rPr>
      </w:pPr>
      <w:hyperlink w:anchor="_Toc26534600" w:history="1">
        <w:r w:rsidR="00083581" w:rsidRPr="00E104A1">
          <w:rPr>
            <w:rStyle w:val="Hyperlink"/>
            <w:noProof/>
          </w:rPr>
          <w:t>Convolutional neural networks intuitions</w:t>
        </w:r>
        <w:r w:rsidR="00083581">
          <w:rPr>
            <w:noProof/>
            <w:webHidden/>
          </w:rPr>
          <w:tab/>
        </w:r>
        <w:r w:rsidR="00083581">
          <w:rPr>
            <w:noProof/>
            <w:webHidden/>
          </w:rPr>
          <w:fldChar w:fldCharType="begin"/>
        </w:r>
        <w:r w:rsidR="00083581">
          <w:rPr>
            <w:noProof/>
            <w:webHidden/>
          </w:rPr>
          <w:instrText xml:space="preserve"> PAGEREF _Toc26534600 \h </w:instrText>
        </w:r>
        <w:r w:rsidR="00083581">
          <w:rPr>
            <w:noProof/>
            <w:webHidden/>
          </w:rPr>
        </w:r>
        <w:r w:rsidR="00083581">
          <w:rPr>
            <w:noProof/>
            <w:webHidden/>
          </w:rPr>
          <w:fldChar w:fldCharType="separate"/>
        </w:r>
        <w:r w:rsidR="00083581">
          <w:rPr>
            <w:noProof/>
            <w:webHidden/>
          </w:rPr>
          <w:t>85</w:t>
        </w:r>
        <w:r w:rsidR="00083581">
          <w:rPr>
            <w:noProof/>
            <w:webHidden/>
          </w:rPr>
          <w:fldChar w:fldCharType="end"/>
        </w:r>
      </w:hyperlink>
    </w:p>
    <w:p w14:paraId="7EBB2C58" w14:textId="3F8E3B27" w:rsidR="00083581" w:rsidRDefault="00CE1F3C">
      <w:pPr>
        <w:pStyle w:val="TOC2"/>
        <w:tabs>
          <w:tab w:val="right" w:leader="dot" w:pos="9350"/>
        </w:tabs>
        <w:rPr>
          <w:rFonts w:eastAsiaTheme="minorEastAsia" w:cstheme="minorBidi"/>
          <w:iCs w:val="0"/>
          <w:noProof/>
          <w:sz w:val="22"/>
          <w:szCs w:val="22"/>
          <w:lang w:bidi="ar-SA"/>
        </w:rPr>
      </w:pPr>
      <w:hyperlink w:anchor="_Toc26534601" w:history="1">
        <w:r w:rsidR="00083581" w:rsidRPr="00E104A1">
          <w:rPr>
            <w:rStyle w:val="Hyperlink"/>
            <w:noProof/>
          </w:rPr>
          <w:t>Appendix B</w:t>
        </w:r>
        <w:r w:rsidR="00083581">
          <w:rPr>
            <w:noProof/>
            <w:webHidden/>
          </w:rPr>
          <w:tab/>
        </w:r>
        <w:r w:rsidR="00083581">
          <w:rPr>
            <w:noProof/>
            <w:webHidden/>
          </w:rPr>
          <w:fldChar w:fldCharType="begin"/>
        </w:r>
        <w:r w:rsidR="00083581">
          <w:rPr>
            <w:noProof/>
            <w:webHidden/>
          </w:rPr>
          <w:instrText xml:space="preserve"> PAGEREF _Toc26534601 \h </w:instrText>
        </w:r>
        <w:r w:rsidR="00083581">
          <w:rPr>
            <w:noProof/>
            <w:webHidden/>
          </w:rPr>
        </w:r>
        <w:r w:rsidR="00083581">
          <w:rPr>
            <w:noProof/>
            <w:webHidden/>
          </w:rPr>
          <w:fldChar w:fldCharType="separate"/>
        </w:r>
        <w:r w:rsidR="00083581">
          <w:rPr>
            <w:noProof/>
            <w:webHidden/>
          </w:rPr>
          <w:t>90</w:t>
        </w:r>
        <w:r w:rsidR="00083581">
          <w:rPr>
            <w:noProof/>
            <w:webHidden/>
          </w:rPr>
          <w:fldChar w:fldCharType="end"/>
        </w:r>
      </w:hyperlink>
    </w:p>
    <w:p w14:paraId="6DA1231A" w14:textId="739538B3" w:rsidR="00083581" w:rsidRDefault="00CE1F3C">
      <w:pPr>
        <w:pStyle w:val="TOC3"/>
        <w:tabs>
          <w:tab w:val="right" w:leader="dot" w:pos="9350"/>
        </w:tabs>
        <w:rPr>
          <w:rFonts w:eastAsiaTheme="minorEastAsia" w:cstheme="minorBidi"/>
          <w:noProof/>
          <w:sz w:val="22"/>
          <w:szCs w:val="22"/>
          <w:lang w:bidi="ar-SA"/>
        </w:rPr>
      </w:pPr>
      <w:hyperlink w:anchor="_Toc26534602" w:history="1">
        <w:r w:rsidR="00083581" w:rsidRPr="00E104A1">
          <w:rPr>
            <w:rStyle w:val="Hyperlink"/>
            <w:noProof/>
          </w:rPr>
          <w:t>Inceptionv3, mobilenetv2, and nasnet metrics</w:t>
        </w:r>
        <w:r w:rsidR="00083581">
          <w:rPr>
            <w:noProof/>
            <w:webHidden/>
          </w:rPr>
          <w:tab/>
        </w:r>
        <w:r w:rsidR="00083581">
          <w:rPr>
            <w:noProof/>
            <w:webHidden/>
          </w:rPr>
          <w:fldChar w:fldCharType="begin"/>
        </w:r>
        <w:r w:rsidR="00083581">
          <w:rPr>
            <w:noProof/>
            <w:webHidden/>
          </w:rPr>
          <w:instrText xml:space="preserve"> PAGEREF _Toc26534602 \h </w:instrText>
        </w:r>
        <w:r w:rsidR="00083581">
          <w:rPr>
            <w:noProof/>
            <w:webHidden/>
          </w:rPr>
        </w:r>
        <w:r w:rsidR="00083581">
          <w:rPr>
            <w:noProof/>
            <w:webHidden/>
          </w:rPr>
          <w:fldChar w:fldCharType="separate"/>
        </w:r>
        <w:r w:rsidR="00083581">
          <w:rPr>
            <w:noProof/>
            <w:webHidden/>
          </w:rPr>
          <w:t>90</w:t>
        </w:r>
        <w:r w:rsidR="00083581">
          <w:rPr>
            <w:noProof/>
            <w:webHidden/>
          </w:rPr>
          <w:fldChar w:fldCharType="end"/>
        </w:r>
      </w:hyperlink>
    </w:p>
    <w:p w14:paraId="59CC9574" w14:textId="10E06C70" w:rsidR="00083581" w:rsidRDefault="00CE1F3C">
      <w:pPr>
        <w:pStyle w:val="TOC3"/>
        <w:tabs>
          <w:tab w:val="right" w:leader="dot" w:pos="9350"/>
        </w:tabs>
        <w:rPr>
          <w:rFonts w:eastAsiaTheme="minorEastAsia" w:cstheme="minorBidi"/>
          <w:noProof/>
          <w:sz w:val="22"/>
          <w:szCs w:val="22"/>
          <w:lang w:bidi="ar-SA"/>
        </w:rPr>
      </w:pPr>
      <w:hyperlink w:anchor="_Toc26534603" w:history="1">
        <w:r w:rsidR="00083581" w:rsidRPr="00E104A1">
          <w:rPr>
            <w:rStyle w:val="Hyperlink"/>
            <w:noProof/>
          </w:rPr>
          <w:t>InceptionV3</w:t>
        </w:r>
        <w:r w:rsidR="00083581">
          <w:rPr>
            <w:noProof/>
            <w:webHidden/>
          </w:rPr>
          <w:tab/>
        </w:r>
        <w:r w:rsidR="00083581">
          <w:rPr>
            <w:noProof/>
            <w:webHidden/>
          </w:rPr>
          <w:fldChar w:fldCharType="begin"/>
        </w:r>
        <w:r w:rsidR="00083581">
          <w:rPr>
            <w:noProof/>
            <w:webHidden/>
          </w:rPr>
          <w:instrText xml:space="preserve"> PAGEREF _Toc26534603 \h </w:instrText>
        </w:r>
        <w:r w:rsidR="00083581">
          <w:rPr>
            <w:noProof/>
            <w:webHidden/>
          </w:rPr>
        </w:r>
        <w:r w:rsidR="00083581">
          <w:rPr>
            <w:noProof/>
            <w:webHidden/>
          </w:rPr>
          <w:fldChar w:fldCharType="separate"/>
        </w:r>
        <w:r w:rsidR="00083581">
          <w:rPr>
            <w:noProof/>
            <w:webHidden/>
          </w:rPr>
          <w:t>90</w:t>
        </w:r>
        <w:r w:rsidR="00083581">
          <w:rPr>
            <w:noProof/>
            <w:webHidden/>
          </w:rPr>
          <w:fldChar w:fldCharType="end"/>
        </w:r>
      </w:hyperlink>
    </w:p>
    <w:p w14:paraId="188E6A78" w14:textId="7A5115D5" w:rsidR="00083581" w:rsidRDefault="00CE1F3C">
      <w:pPr>
        <w:pStyle w:val="TOC3"/>
        <w:tabs>
          <w:tab w:val="right" w:leader="dot" w:pos="9350"/>
        </w:tabs>
        <w:rPr>
          <w:rFonts w:eastAsiaTheme="minorEastAsia" w:cstheme="minorBidi"/>
          <w:noProof/>
          <w:sz w:val="22"/>
          <w:szCs w:val="22"/>
          <w:lang w:bidi="ar-SA"/>
        </w:rPr>
      </w:pPr>
      <w:hyperlink w:anchor="_Toc26534604" w:history="1">
        <w:r w:rsidR="00083581" w:rsidRPr="00E104A1">
          <w:rPr>
            <w:rStyle w:val="Hyperlink"/>
            <w:noProof/>
          </w:rPr>
          <w:t>MobileNetV2</w:t>
        </w:r>
        <w:r w:rsidR="00083581">
          <w:rPr>
            <w:noProof/>
            <w:webHidden/>
          </w:rPr>
          <w:tab/>
        </w:r>
        <w:r w:rsidR="00083581">
          <w:rPr>
            <w:noProof/>
            <w:webHidden/>
          </w:rPr>
          <w:fldChar w:fldCharType="begin"/>
        </w:r>
        <w:r w:rsidR="00083581">
          <w:rPr>
            <w:noProof/>
            <w:webHidden/>
          </w:rPr>
          <w:instrText xml:space="preserve"> PAGEREF _Toc26534604 \h </w:instrText>
        </w:r>
        <w:r w:rsidR="00083581">
          <w:rPr>
            <w:noProof/>
            <w:webHidden/>
          </w:rPr>
        </w:r>
        <w:r w:rsidR="00083581">
          <w:rPr>
            <w:noProof/>
            <w:webHidden/>
          </w:rPr>
          <w:fldChar w:fldCharType="separate"/>
        </w:r>
        <w:r w:rsidR="00083581">
          <w:rPr>
            <w:noProof/>
            <w:webHidden/>
          </w:rPr>
          <w:t>92</w:t>
        </w:r>
        <w:r w:rsidR="00083581">
          <w:rPr>
            <w:noProof/>
            <w:webHidden/>
          </w:rPr>
          <w:fldChar w:fldCharType="end"/>
        </w:r>
      </w:hyperlink>
    </w:p>
    <w:p w14:paraId="2A974394" w14:textId="3A8D2CDE" w:rsidR="00083581" w:rsidRDefault="00CE1F3C">
      <w:pPr>
        <w:pStyle w:val="TOC3"/>
        <w:tabs>
          <w:tab w:val="right" w:leader="dot" w:pos="9350"/>
        </w:tabs>
        <w:rPr>
          <w:rFonts w:eastAsiaTheme="minorEastAsia" w:cstheme="minorBidi"/>
          <w:noProof/>
          <w:sz w:val="22"/>
          <w:szCs w:val="22"/>
          <w:lang w:bidi="ar-SA"/>
        </w:rPr>
      </w:pPr>
      <w:hyperlink w:anchor="_Toc26534605" w:history="1">
        <w:r w:rsidR="00083581" w:rsidRPr="00E104A1">
          <w:rPr>
            <w:rStyle w:val="Hyperlink"/>
            <w:noProof/>
          </w:rPr>
          <w:t>NASNet</w:t>
        </w:r>
        <w:r w:rsidR="00083581">
          <w:rPr>
            <w:noProof/>
            <w:webHidden/>
          </w:rPr>
          <w:tab/>
        </w:r>
        <w:r w:rsidR="00083581">
          <w:rPr>
            <w:noProof/>
            <w:webHidden/>
          </w:rPr>
          <w:fldChar w:fldCharType="begin"/>
        </w:r>
        <w:r w:rsidR="00083581">
          <w:rPr>
            <w:noProof/>
            <w:webHidden/>
          </w:rPr>
          <w:instrText xml:space="preserve"> PAGEREF _Toc26534605 \h </w:instrText>
        </w:r>
        <w:r w:rsidR="00083581">
          <w:rPr>
            <w:noProof/>
            <w:webHidden/>
          </w:rPr>
        </w:r>
        <w:r w:rsidR="00083581">
          <w:rPr>
            <w:noProof/>
            <w:webHidden/>
          </w:rPr>
          <w:fldChar w:fldCharType="separate"/>
        </w:r>
        <w:r w:rsidR="00083581">
          <w:rPr>
            <w:noProof/>
            <w:webHidden/>
          </w:rPr>
          <w:t>94</w:t>
        </w:r>
        <w:r w:rsidR="00083581">
          <w:rPr>
            <w:noProof/>
            <w:webHidden/>
          </w:rPr>
          <w:fldChar w:fldCharType="end"/>
        </w:r>
      </w:hyperlink>
    </w:p>
    <w:p w14:paraId="08085145" w14:textId="05355AA7" w:rsidR="00083581" w:rsidRDefault="00CE1F3C">
      <w:pPr>
        <w:pStyle w:val="TOC2"/>
        <w:tabs>
          <w:tab w:val="right" w:leader="dot" w:pos="9350"/>
        </w:tabs>
        <w:rPr>
          <w:rFonts w:eastAsiaTheme="minorEastAsia" w:cstheme="minorBidi"/>
          <w:iCs w:val="0"/>
          <w:noProof/>
          <w:sz w:val="22"/>
          <w:szCs w:val="22"/>
          <w:lang w:bidi="ar-SA"/>
        </w:rPr>
      </w:pPr>
      <w:hyperlink w:anchor="_Toc26534606" w:history="1">
        <w:r w:rsidR="00083581" w:rsidRPr="00E104A1">
          <w:rPr>
            <w:rStyle w:val="Hyperlink"/>
            <w:noProof/>
          </w:rPr>
          <w:t>References</w:t>
        </w:r>
        <w:r w:rsidR="00083581">
          <w:rPr>
            <w:noProof/>
            <w:webHidden/>
          </w:rPr>
          <w:tab/>
        </w:r>
        <w:r w:rsidR="00083581">
          <w:rPr>
            <w:noProof/>
            <w:webHidden/>
          </w:rPr>
          <w:fldChar w:fldCharType="begin"/>
        </w:r>
        <w:r w:rsidR="00083581">
          <w:rPr>
            <w:noProof/>
            <w:webHidden/>
          </w:rPr>
          <w:instrText xml:space="preserve"> PAGEREF _Toc26534606 \h </w:instrText>
        </w:r>
        <w:r w:rsidR="00083581">
          <w:rPr>
            <w:noProof/>
            <w:webHidden/>
          </w:rPr>
        </w:r>
        <w:r w:rsidR="00083581">
          <w:rPr>
            <w:noProof/>
            <w:webHidden/>
          </w:rPr>
          <w:fldChar w:fldCharType="separate"/>
        </w:r>
        <w:r w:rsidR="00083581">
          <w:rPr>
            <w:noProof/>
            <w:webHidden/>
          </w:rPr>
          <w:t>97</w:t>
        </w:r>
        <w:r w:rsidR="00083581">
          <w:rPr>
            <w:noProof/>
            <w:webHidden/>
          </w:rPr>
          <w:fldChar w:fldCharType="end"/>
        </w:r>
      </w:hyperlink>
    </w:p>
    <w:p w14:paraId="42228900" w14:textId="6CA9C524" w:rsidR="00083581" w:rsidRDefault="00CE1F3C">
      <w:pPr>
        <w:pStyle w:val="TOC1"/>
        <w:tabs>
          <w:tab w:val="right" w:leader="dot" w:pos="9350"/>
        </w:tabs>
        <w:rPr>
          <w:rFonts w:eastAsiaTheme="minorEastAsia" w:cstheme="minorBidi"/>
          <w:bCs w:val="0"/>
          <w:noProof/>
          <w:sz w:val="22"/>
          <w:szCs w:val="22"/>
          <w:lang w:bidi="ar-SA"/>
        </w:rPr>
      </w:pPr>
      <w:hyperlink w:anchor="_Toc26534607" w:history="1">
        <w:r w:rsidR="00083581" w:rsidRPr="00E104A1">
          <w:rPr>
            <w:rStyle w:val="Hyperlink"/>
            <w:noProof/>
          </w:rPr>
          <w:t>Chapter 4: Convolutional neural networks as an aid to biostratigraphy: A test on Late Paleozoic microfossils</w:t>
        </w:r>
        <w:r w:rsidR="00083581">
          <w:rPr>
            <w:noProof/>
            <w:webHidden/>
          </w:rPr>
          <w:tab/>
        </w:r>
        <w:r w:rsidR="00083581">
          <w:rPr>
            <w:noProof/>
            <w:webHidden/>
          </w:rPr>
          <w:fldChar w:fldCharType="begin"/>
        </w:r>
        <w:r w:rsidR="00083581">
          <w:rPr>
            <w:noProof/>
            <w:webHidden/>
          </w:rPr>
          <w:instrText xml:space="preserve"> PAGEREF _Toc26534607 \h </w:instrText>
        </w:r>
        <w:r w:rsidR="00083581">
          <w:rPr>
            <w:noProof/>
            <w:webHidden/>
          </w:rPr>
        </w:r>
        <w:r w:rsidR="00083581">
          <w:rPr>
            <w:noProof/>
            <w:webHidden/>
          </w:rPr>
          <w:fldChar w:fldCharType="separate"/>
        </w:r>
        <w:r w:rsidR="00083581">
          <w:rPr>
            <w:noProof/>
            <w:webHidden/>
          </w:rPr>
          <w:t>101</w:t>
        </w:r>
        <w:r w:rsidR="00083581">
          <w:rPr>
            <w:noProof/>
            <w:webHidden/>
          </w:rPr>
          <w:fldChar w:fldCharType="end"/>
        </w:r>
      </w:hyperlink>
    </w:p>
    <w:p w14:paraId="41EEA309" w14:textId="0BEF61A7" w:rsidR="00083581" w:rsidRDefault="00CE1F3C">
      <w:pPr>
        <w:pStyle w:val="TOC2"/>
        <w:tabs>
          <w:tab w:val="right" w:leader="dot" w:pos="9350"/>
        </w:tabs>
        <w:rPr>
          <w:rFonts w:eastAsiaTheme="minorEastAsia" w:cstheme="minorBidi"/>
          <w:iCs w:val="0"/>
          <w:noProof/>
          <w:sz w:val="22"/>
          <w:szCs w:val="22"/>
          <w:lang w:bidi="ar-SA"/>
        </w:rPr>
      </w:pPr>
      <w:hyperlink w:anchor="_Toc26534608" w:history="1">
        <w:r w:rsidR="00083581" w:rsidRPr="00E104A1">
          <w:rPr>
            <w:rStyle w:val="Hyperlink"/>
            <w:noProof/>
          </w:rPr>
          <w:t>Preface</w:t>
        </w:r>
        <w:r w:rsidR="00083581">
          <w:rPr>
            <w:noProof/>
            <w:webHidden/>
          </w:rPr>
          <w:tab/>
        </w:r>
        <w:r w:rsidR="00083581">
          <w:rPr>
            <w:noProof/>
            <w:webHidden/>
          </w:rPr>
          <w:fldChar w:fldCharType="begin"/>
        </w:r>
        <w:r w:rsidR="00083581">
          <w:rPr>
            <w:noProof/>
            <w:webHidden/>
          </w:rPr>
          <w:instrText xml:space="preserve"> PAGEREF _Toc26534608 \h </w:instrText>
        </w:r>
        <w:r w:rsidR="00083581">
          <w:rPr>
            <w:noProof/>
            <w:webHidden/>
          </w:rPr>
        </w:r>
        <w:r w:rsidR="00083581">
          <w:rPr>
            <w:noProof/>
            <w:webHidden/>
          </w:rPr>
          <w:fldChar w:fldCharType="separate"/>
        </w:r>
        <w:r w:rsidR="00083581">
          <w:rPr>
            <w:noProof/>
            <w:webHidden/>
          </w:rPr>
          <w:t>101</w:t>
        </w:r>
        <w:r w:rsidR="00083581">
          <w:rPr>
            <w:noProof/>
            <w:webHidden/>
          </w:rPr>
          <w:fldChar w:fldCharType="end"/>
        </w:r>
      </w:hyperlink>
    </w:p>
    <w:p w14:paraId="7AF16888" w14:textId="21602B90" w:rsidR="00083581" w:rsidRDefault="00CE1F3C">
      <w:pPr>
        <w:pStyle w:val="TOC2"/>
        <w:tabs>
          <w:tab w:val="right" w:leader="dot" w:pos="9350"/>
        </w:tabs>
        <w:rPr>
          <w:rFonts w:eastAsiaTheme="minorEastAsia" w:cstheme="minorBidi"/>
          <w:iCs w:val="0"/>
          <w:noProof/>
          <w:sz w:val="22"/>
          <w:szCs w:val="22"/>
          <w:lang w:bidi="ar-SA"/>
        </w:rPr>
      </w:pPr>
      <w:hyperlink w:anchor="_Toc26534609" w:history="1">
        <w:r w:rsidR="00083581" w:rsidRPr="00E104A1">
          <w:rPr>
            <w:rStyle w:val="Hyperlink"/>
            <w:noProof/>
          </w:rPr>
          <w:t>Abstract</w:t>
        </w:r>
        <w:r w:rsidR="00083581">
          <w:rPr>
            <w:noProof/>
            <w:webHidden/>
          </w:rPr>
          <w:tab/>
        </w:r>
        <w:r w:rsidR="00083581">
          <w:rPr>
            <w:noProof/>
            <w:webHidden/>
          </w:rPr>
          <w:fldChar w:fldCharType="begin"/>
        </w:r>
        <w:r w:rsidR="00083581">
          <w:rPr>
            <w:noProof/>
            <w:webHidden/>
          </w:rPr>
          <w:instrText xml:space="preserve"> PAGEREF _Toc26534609 \h </w:instrText>
        </w:r>
        <w:r w:rsidR="00083581">
          <w:rPr>
            <w:noProof/>
            <w:webHidden/>
          </w:rPr>
        </w:r>
        <w:r w:rsidR="00083581">
          <w:rPr>
            <w:noProof/>
            <w:webHidden/>
          </w:rPr>
          <w:fldChar w:fldCharType="separate"/>
        </w:r>
        <w:r w:rsidR="00083581">
          <w:rPr>
            <w:noProof/>
            <w:webHidden/>
          </w:rPr>
          <w:t>102</w:t>
        </w:r>
        <w:r w:rsidR="00083581">
          <w:rPr>
            <w:noProof/>
            <w:webHidden/>
          </w:rPr>
          <w:fldChar w:fldCharType="end"/>
        </w:r>
      </w:hyperlink>
    </w:p>
    <w:p w14:paraId="1A442890" w14:textId="7A25B4A1" w:rsidR="00083581" w:rsidRDefault="00CE1F3C">
      <w:pPr>
        <w:pStyle w:val="TOC2"/>
        <w:tabs>
          <w:tab w:val="right" w:leader="dot" w:pos="9350"/>
        </w:tabs>
        <w:rPr>
          <w:rFonts w:eastAsiaTheme="minorEastAsia" w:cstheme="minorBidi"/>
          <w:iCs w:val="0"/>
          <w:noProof/>
          <w:sz w:val="22"/>
          <w:szCs w:val="22"/>
          <w:lang w:bidi="ar-SA"/>
        </w:rPr>
      </w:pPr>
      <w:hyperlink w:anchor="_Toc26534610" w:history="1">
        <w:r w:rsidR="00083581" w:rsidRPr="00E104A1">
          <w:rPr>
            <w:rStyle w:val="Hyperlink"/>
            <w:noProof/>
          </w:rPr>
          <w:t>Plain Language Summary</w:t>
        </w:r>
        <w:r w:rsidR="00083581">
          <w:rPr>
            <w:noProof/>
            <w:webHidden/>
          </w:rPr>
          <w:tab/>
        </w:r>
        <w:r w:rsidR="00083581">
          <w:rPr>
            <w:noProof/>
            <w:webHidden/>
          </w:rPr>
          <w:fldChar w:fldCharType="begin"/>
        </w:r>
        <w:r w:rsidR="00083581">
          <w:rPr>
            <w:noProof/>
            <w:webHidden/>
          </w:rPr>
          <w:instrText xml:space="preserve"> PAGEREF _Toc26534610 \h </w:instrText>
        </w:r>
        <w:r w:rsidR="00083581">
          <w:rPr>
            <w:noProof/>
            <w:webHidden/>
          </w:rPr>
        </w:r>
        <w:r w:rsidR="00083581">
          <w:rPr>
            <w:noProof/>
            <w:webHidden/>
          </w:rPr>
          <w:fldChar w:fldCharType="separate"/>
        </w:r>
        <w:r w:rsidR="00083581">
          <w:rPr>
            <w:noProof/>
            <w:webHidden/>
          </w:rPr>
          <w:t>102</w:t>
        </w:r>
        <w:r w:rsidR="00083581">
          <w:rPr>
            <w:noProof/>
            <w:webHidden/>
          </w:rPr>
          <w:fldChar w:fldCharType="end"/>
        </w:r>
      </w:hyperlink>
    </w:p>
    <w:p w14:paraId="43D4D93B" w14:textId="2D621BAE" w:rsidR="00083581" w:rsidRDefault="00CE1F3C">
      <w:pPr>
        <w:pStyle w:val="TOC2"/>
        <w:tabs>
          <w:tab w:val="right" w:leader="dot" w:pos="9350"/>
        </w:tabs>
        <w:rPr>
          <w:rFonts w:eastAsiaTheme="minorEastAsia" w:cstheme="minorBidi"/>
          <w:iCs w:val="0"/>
          <w:noProof/>
          <w:sz w:val="22"/>
          <w:szCs w:val="22"/>
          <w:lang w:bidi="ar-SA"/>
        </w:rPr>
      </w:pPr>
      <w:hyperlink w:anchor="_Toc26534611" w:history="1">
        <w:r w:rsidR="00083581" w:rsidRPr="00E104A1">
          <w:rPr>
            <w:rStyle w:val="Hyperlink"/>
            <w:noProof/>
          </w:rPr>
          <w:t>Introduction</w:t>
        </w:r>
        <w:r w:rsidR="00083581">
          <w:rPr>
            <w:noProof/>
            <w:webHidden/>
          </w:rPr>
          <w:tab/>
        </w:r>
        <w:r w:rsidR="00083581">
          <w:rPr>
            <w:noProof/>
            <w:webHidden/>
          </w:rPr>
          <w:fldChar w:fldCharType="begin"/>
        </w:r>
        <w:r w:rsidR="00083581">
          <w:rPr>
            <w:noProof/>
            <w:webHidden/>
          </w:rPr>
          <w:instrText xml:space="preserve"> PAGEREF _Toc26534611 \h </w:instrText>
        </w:r>
        <w:r w:rsidR="00083581">
          <w:rPr>
            <w:noProof/>
            <w:webHidden/>
          </w:rPr>
        </w:r>
        <w:r w:rsidR="00083581">
          <w:rPr>
            <w:noProof/>
            <w:webHidden/>
          </w:rPr>
          <w:fldChar w:fldCharType="separate"/>
        </w:r>
        <w:r w:rsidR="00083581">
          <w:rPr>
            <w:noProof/>
            <w:webHidden/>
          </w:rPr>
          <w:t>103</w:t>
        </w:r>
        <w:r w:rsidR="00083581">
          <w:rPr>
            <w:noProof/>
            <w:webHidden/>
          </w:rPr>
          <w:fldChar w:fldCharType="end"/>
        </w:r>
      </w:hyperlink>
    </w:p>
    <w:p w14:paraId="579E79C2" w14:textId="3387F0B5" w:rsidR="00083581" w:rsidRDefault="00CE1F3C">
      <w:pPr>
        <w:pStyle w:val="TOC2"/>
        <w:tabs>
          <w:tab w:val="right" w:leader="dot" w:pos="9350"/>
        </w:tabs>
        <w:rPr>
          <w:rFonts w:eastAsiaTheme="minorEastAsia" w:cstheme="minorBidi"/>
          <w:iCs w:val="0"/>
          <w:noProof/>
          <w:sz w:val="22"/>
          <w:szCs w:val="22"/>
          <w:lang w:bidi="ar-SA"/>
        </w:rPr>
      </w:pPr>
      <w:hyperlink w:anchor="_Toc26534612" w:history="1">
        <w:r w:rsidR="00083581" w:rsidRPr="00E104A1">
          <w:rPr>
            <w:rStyle w:val="Hyperlink"/>
            <w:noProof/>
          </w:rPr>
          <w:t>Short Glossary</w:t>
        </w:r>
        <w:r w:rsidR="00083581">
          <w:rPr>
            <w:noProof/>
            <w:webHidden/>
          </w:rPr>
          <w:tab/>
        </w:r>
        <w:r w:rsidR="00083581">
          <w:rPr>
            <w:noProof/>
            <w:webHidden/>
          </w:rPr>
          <w:fldChar w:fldCharType="begin"/>
        </w:r>
        <w:r w:rsidR="00083581">
          <w:rPr>
            <w:noProof/>
            <w:webHidden/>
          </w:rPr>
          <w:instrText xml:space="preserve"> PAGEREF _Toc26534612 \h </w:instrText>
        </w:r>
        <w:r w:rsidR="00083581">
          <w:rPr>
            <w:noProof/>
            <w:webHidden/>
          </w:rPr>
        </w:r>
        <w:r w:rsidR="00083581">
          <w:rPr>
            <w:noProof/>
            <w:webHidden/>
          </w:rPr>
          <w:fldChar w:fldCharType="separate"/>
        </w:r>
        <w:r w:rsidR="00083581">
          <w:rPr>
            <w:noProof/>
            <w:webHidden/>
          </w:rPr>
          <w:t>106</w:t>
        </w:r>
        <w:r w:rsidR="00083581">
          <w:rPr>
            <w:noProof/>
            <w:webHidden/>
          </w:rPr>
          <w:fldChar w:fldCharType="end"/>
        </w:r>
      </w:hyperlink>
    </w:p>
    <w:p w14:paraId="75B1F2B2" w14:textId="56B2B922" w:rsidR="00083581" w:rsidRDefault="00CE1F3C">
      <w:pPr>
        <w:pStyle w:val="TOC2"/>
        <w:tabs>
          <w:tab w:val="right" w:leader="dot" w:pos="9350"/>
        </w:tabs>
        <w:rPr>
          <w:rFonts w:eastAsiaTheme="minorEastAsia" w:cstheme="minorBidi"/>
          <w:iCs w:val="0"/>
          <w:noProof/>
          <w:sz w:val="22"/>
          <w:szCs w:val="22"/>
          <w:lang w:bidi="ar-SA"/>
        </w:rPr>
      </w:pPr>
      <w:hyperlink w:anchor="_Toc26534613" w:history="1">
        <w:r w:rsidR="00083581" w:rsidRPr="00E104A1">
          <w:rPr>
            <w:rStyle w:val="Hyperlink"/>
            <w:noProof/>
          </w:rPr>
          <w:t>Methods</w:t>
        </w:r>
        <w:r w:rsidR="00083581">
          <w:rPr>
            <w:noProof/>
            <w:webHidden/>
          </w:rPr>
          <w:tab/>
        </w:r>
        <w:r w:rsidR="00083581">
          <w:rPr>
            <w:noProof/>
            <w:webHidden/>
          </w:rPr>
          <w:fldChar w:fldCharType="begin"/>
        </w:r>
        <w:r w:rsidR="00083581">
          <w:rPr>
            <w:noProof/>
            <w:webHidden/>
          </w:rPr>
          <w:instrText xml:space="preserve"> PAGEREF _Toc26534613 \h </w:instrText>
        </w:r>
        <w:r w:rsidR="00083581">
          <w:rPr>
            <w:noProof/>
            <w:webHidden/>
          </w:rPr>
        </w:r>
        <w:r w:rsidR="00083581">
          <w:rPr>
            <w:noProof/>
            <w:webHidden/>
          </w:rPr>
          <w:fldChar w:fldCharType="separate"/>
        </w:r>
        <w:r w:rsidR="00083581">
          <w:rPr>
            <w:noProof/>
            <w:webHidden/>
          </w:rPr>
          <w:t>109</w:t>
        </w:r>
        <w:r w:rsidR="00083581">
          <w:rPr>
            <w:noProof/>
            <w:webHidden/>
          </w:rPr>
          <w:fldChar w:fldCharType="end"/>
        </w:r>
      </w:hyperlink>
    </w:p>
    <w:p w14:paraId="46B89418" w14:textId="73DC062E" w:rsidR="00083581" w:rsidRDefault="00CE1F3C">
      <w:pPr>
        <w:pStyle w:val="TOC3"/>
        <w:tabs>
          <w:tab w:val="right" w:leader="dot" w:pos="9350"/>
        </w:tabs>
        <w:rPr>
          <w:rFonts w:eastAsiaTheme="minorEastAsia" w:cstheme="minorBidi"/>
          <w:noProof/>
          <w:sz w:val="22"/>
          <w:szCs w:val="22"/>
          <w:lang w:bidi="ar-SA"/>
        </w:rPr>
      </w:pPr>
      <w:hyperlink w:anchor="_Toc26534614" w:history="1">
        <w:r w:rsidR="00083581" w:rsidRPr="00E104A1">
          <w:rPr>
            <w:rStyle w:val="Hyperlink"/>
            <w:noProof/>
          </w:rPr>
          <w:t>Transfer learning and data augmentation</w:t>
        </w:r>
        <w:r w:rsidR="00083581">
          <w:rPr>
            <w:noProof/>
            <w:webHidden/>
          </w:rPr>
          <w:tab/>
        </w:r>
        <w:r w:rsidR="00083581">
          <w:rPr>
            <w:noProof/>
            <w:webHidden/>
          </w:rPr>
          <w:fldChar w:fldCharType="begin"/>
        </w:r>
        <w:r w:rsidR="00083581">
          <w:rPr>
            <w:noProof/>
            <w:webHidden/>
          </w:rPr>
          <w:instrText xml:space="preserve"> PAGEREF _Toc26534614 \h </w:instrText>
        </w:r>
        <w:r w:rsidR="00083581">
          <w:rPr>
            <w:noProof/>
            <w:webHidden/>
          </w:rPr>
        </w:r>
        <w:r w:rsidR="00083581">
          <w:rPr>
            <w:noProof/>
            <w:webHidden/>
          </w:rPr>
          <w:fldChar w:fldCharType="separate"/>
        </w:r>
        <w:r w:rsidR="00083581">
          <w:rPr>
            <w:noProof/>
            <w:webHidden/>
          </w:rPr>
          <w:t>113</w:t>
        </w:r>
        <w:r w:rsidR="00083581">
          <w:rPr>
            <w:noProof/>
            <w:webHidden/>
          </w:rPr>
          <w:fldChar w:fldCharType="end"/>
        </w:r>
      </w:hyperlink>
    </w:p>
    <w:p w14:paraId="32163942" w14:textId="0CEBA2F5" w:rsidR="00083581" w:rsidRDefault="00CE1F3C">
      <w:pPr>
        <w:pStyle w:val="TOC2"/>
        <w:tabs>
          <w:tab w:val="right" w:leader="dot" w:pos="9350"/>
        </w:tabs>
        <w:rPr>
          <w:rFonts w:eastAsiaTheme="minorEastAsia" w:cstheme="minorBidi"/>
          <w:iCs w:val="0"/>
          <w:noProof/>
          <w:sz w:val="22"/>
          <w:szCs w:val="22"/>
          <w:lang w:bidi="ar-SA"/>
        </w:rPr>
      </w:pPr>
      <w:hyperlink w:anchor="_Toc26534615" w:history="1">
        <w:r w:rsidR="00083581" w:rsidRPr="00E104A1">
          <w:rPr>
            <w:rStyle w:val="Hyperlink"/>
            <w:noProof/>
          </w:rPr>
          <w:t>Results</w:t>
        </w:r>
        <w:r w:rsidR="00083581">
          <w:rPr>
            <w:noProof/>
            <w:webHidden/>
          </w:rPr>
          <w:tab/>
        </w:r>
        <w:r w:rsidR="00083581">
          <w:rPr>
            <w:noProof/>
            <w:webHidden/>
          </w:rPr>
          <w:fldChar w:fldCharType="begin"/>
        </w:r>
        <w:r w:rsidR="00083581">
          <w:rPr>
            <w:noProof/>
            <w:webHidden/>
          </w:rPr>
          <w:instrText xml:space="preserve"> PAGEREF _Toc26534615 \h </w:instrText>
        </w:r>
        <w:r w:rsidR="00083581">
          <w:rPr>
            <w:noProof/>
            <w:webHidden/>
          </w:rPr>
        </w:r>
        <w:r w:rsidR="00083581">
          <w:rPr>
            <w:noProof/>
            <w:webHidden/>
          </w:rPr>
          <w:fldChar w:fldCharType="separate"/>
        </w:r>
        <w:r w:rsidR="00083581">
          <w:rPr>
            <w:noProof/>
            <w:webHidden/>
          </w:rPr>
          <w:t>116</w:t>
        </w:r>
        <w:r w:rsidR="00083581">
          <w:rPr>
            <w:noProof/>
            <w:webHidden/>
          </w:rPr>
          <w:fldChar w:fldCharType="end"/>
        </w:r>
      </w:hyperlink>
    </w:p>
    <w:p w14:paraId="199F58F8" w14:textId="6A018381" w:rsidR="00083581" w:rsidRDefault="00CE1F3C">
      <w:pPr>
        <w:pStyle w:val="TOC2"/>
        <w:tabs>
          <w:tab w:val="right" w:leader="dot" w:pos="9350"/>
        </w:tabs>
        <w:rPr>
          <w:rFonts w:eastAsiaTheme="minorEastAsia" w:cstheme="minorBidi"/>
          <w:iCs w:val="0"/>
          <w:noProof/>
          <w:sz w:val="22"/>
          <w:szCs w:val="22"/>
          <w:lang w:bidi="ar-SA"/>
        </w:rPr>
      </w:pPr>
      <w:hyperlink w:anchor="_Toc26534616" w:history="1">
        <w:r w:rsidR="00083581" w:rsidRPr="00E104A1">
          <w:rPr>
            <w:rStyle w:val="Hyperlink"/>
            <w:noProof/>
          </w:rPr>
          <w:t>Discussion</w:t>
        </w:r>
        <w:r w:rsidR="00083581">
          <w:rPr>
            <w:noProof/>
            <w:webHidden/>
          </w:rPr>
          <w:tab/>
        </w:r>
        <w:r w:rsidR="00083581">
          <w:rPr>
            <w:noProof/>
            <w:webHidden/>
          </w:rPr>
          <w:fldChar w:fldCharType="begin"/>
        </w:r>
        <w:r w:rsidR="00083581">
          <w:rPr>
            <w:noProof/>
            <w:webHidden/>
          </w:rPr>
          <w:instrText xml:space="preserve"> PAGEREF _Toc26534616 \h </w:instrText>
        </w:r>
        <w:r w:rsidR="00083581">
          <w:rPr>
            <w:noProof/>
            <w:webHidden/>
          </w:rPr>
        </w:r>
        <w:r w:rsidR="00083581">
          <w:rPr>
            <w:noProof/>
            <w:webHidden/>
          </w:rPr>
          <w:fldChar w:fldCharType="separate"/>
        </w:r>
        <w:r w:rsidR="00083581">
          <w:rPr>
            <w:noProof/>
            <w:webHidden/>
          </w:rPr>
          <w:t>121</w:t>
        </w:r>
        <w:r w:rsidR="00083581">
          <w:rPr>
            <w:noProof/>
            <w:webHidden/>
          </w:rPr>
          <w:fldChar w:fldCharType="end"/>
        </w:r>
      </w:hyperlink>
    </w:p>
    <w:p w14:paraId="1124DA38" w14:textId="3CE8F36D" w:rsidR="00083581" w:rsidRDefault="00CE1F3C">
      <w:pPr>
        <w:pStyle w:val="TOC2"/>
        <w:tabs>
          <w:tab w:val="right" w:leader="dot" w:pos="9350"/>
        </w:tabs>
        <w:rPr>
          <w:rFonts w:eastAsiaTheme="minorEastAsia" w:cstheme="minorBidi"/>
          <w:iCs w:val="0"/>
          <w:noProof/>
          <w:sz w:val="22"/>
          <w:szCs w:val="22"/>
          <w:lang w:bidi="ar-SA"/>
        </w:rPr>
      </w:pPr>
      <w:hyperlink w:anchor="_Toc26534617" w:history="1">
        <w:r w:rsidR="00083581" w:rsidRPr="00E104A1">
          <w:rPr>
            <w:rStyle w:val="Hyperlink"/>
            <w:noProof/>
          </w:rPr>
          <w:t>Conclusion</w:t>
        </w:r>
        <w:r w:rsidR="00083581">
          <w:rPr>
            <w:noProof/>
            <w:webHidden/>
          </w:rPr>
          <w:tab/>
        </w:r>
        <w:r w:rsidR="00083581">
          <w:rPr>
            <w:noProof/>
            <w:webHidden/>
          </w:rPr>
          <w:fldChar w:fldCharType="begin"/>
        </w:r>
        <w:r w:rsidR="00083581">
          <w:rPr>
            <w:noProof/>
            <w:webHidden/>
          </w:rPr>
          <w:instrText xml:space="preserve"> PAGEREF _Toc26534617 \h </w:instrText>
        </w:r>
        <w:r w:rsidR="00083581">
          <w:rPr>
            <w:noProof/>
            <w:webHidden/>
          </w:rPr>
        </w:r>
        <w:r w:rsidR="00083581">
          <w:rPr>
            <w:noProof/>
            <w:webHidden/>
          </w:rPr>
          <w:fldChar w:fldCharType="separate"/>
        </w:r>
        <w:r w:rsidR="00083581">
          <w:rPr>
            <w:noProof/>
            <w:webHidden/>
          </w:rPr>
          <w:t>125</w:t>
        </w:r>
        <w:r w:rsidR="00083581">
          <w:rPr>
            <w:noProof/>
            <w:webHidden/>
          </w:rPr>
          <w:fldChar w:fldCharType="end"/>
        </w:r>
      </w:hyperlink>
    </w:p>
    <w:p w14:paraId="4DD44BB1" w14:textId="7E0103BF" w:rsidR="00083581" w:rsidRDefault="00CE1F3C">
      <w:pPr>
        <w:pStyle w:val="TOC2"/>
        <w:tabs>
          <w:tab w:val="right" w:leader="dot" w:pos="9350"/>
        </w:tabs>
        <w:rPr>
          <w:rFonts w:eastAsiaTheme="minorEastAsia" w:cstheme="minorBidi"/>
          <w:iCs w:val="0"/>
          <w:noProof/>
          <w:sz w:val="22"/>
          <w:szCs w:val="22"/>
          <w:lang w:bidi="ar-SA"/>
        </w:rPr>
      </w:pPr>
      <w:hyperlink w:anchor="_Toc26534618" w:history="1">
        <w:r w:rsidR="00083581" w:rsidRPr="00E104A1">
          <w:rPr>
            <w:rStyle w:val="Hyperlink"/>
            <w:noProof/>
          </w:rPr>
          <w:t>Acknowledgements</w:t>
        </w:r>
        <w:r w:rsidR="00083581">
          <w:rPr>
            <w:noProof/>
            <w:webHidden/>
          </w:rPr>
          <w:tab/>
        </w:r>
        <w:r w:rsidR="00083581">
          <w:rPr>
            <w:noProof/>
            <w:webHidden/>
          </w:rPr>
          <w:fldChar w:fldCharType="begin"/>
        </w:r>
        <w:r w:rsidR="00083581">
          <w:rPr>
            <w:noProof/>
            <w:webHidden/>
          </w:rPr>
          <w:instrText xml:space="preserve"> PAGEREF _Toc26534618 \h </w:instrText>
        </w:r>
        <w:r w:rsidR="00083581">
          <w:rPr>
            <w:noProof/>
            <w:webHidden/>
          </w:rPr>
        </w:r>
        <w:r w:rsidR="00083581">
          <w:rPr>
            <w:noProof/>
            <w:webHidden/>
          </w:rPr>
          <w:fldChar w:fldCharType="separate"/>
        </w:r>
        <w:r w:rsidR="00083581">
          <w:rPr>
            <w:noProof/>
            <w:webHidden/>
          </w:rPr>
          <w:t>127</w:t>
        </w:r>
        <w:r w:rsidR="00083581">
          <w:rPr>
            <w:noProof/>
            <w:webHidden/>
          </w:rPr>
          <w:fldChar w:fldCharType="end"/>
        </w:r>
      </w:hyperlink>
    </w:p>
    <w:p w14:paraId="6468ABBA" w14:textId="57A2F709" w:rsidR="00083581" w:rsidRDefault="00CE1F3C">
      <w:pPr>
        <w:pStyle w:val="TOC2"/>
        <w:tabs>
          <w:tab w:val="right" w:leader="dot" w:pos="9350"/>
        </w:tabs>
        <w:rPr>
          <w:rFonts w:eastAsiaTheme="minorEastAsia" w:cstheme="minorBidi"/>
          <w:iCs w:val="0"/>
          <w:noProof/>
          <w:sz w:val="22"/>
          <w:szCs w:val="22"/>
          <w:lang w:bidi="ar-SA"/>
        </w:rPr>
      </w:pPr>
      <w:hyperlink w:anchor="_Toc26534619" w:history="1">
        <w:r w:rsidR="00083581" w:rsidRPr="00E104A1">
          <w:rPr>
            <w:rStyle w:val="Hyperlink"/>
            <w:noProof/>
          </w:rPr>
          <w:t>Appendix 1. Basics of deep convolutional neural networks</w:t>
        </w:r>
        <w:r w:rsidR="00083581">
          <w:rPr>
            <w:noProof/>
            <w:webHidden/>
          </w:rPr>
          <w:tab/>
        </w:r>
        <w:r w:rsidR="00083581">
          <w:rPr>
            <w:noProof/>
            <w:webHidden/>
          </w:rPr>
          <w:fldChar w:fldCharType="begin"/>
        </w:r>
        <w:r w:rsidR="00083581">
          <w:rPr>
            <w:noProof/>
            <w:webHidden/>
          </w:rPr>
          <w:instrText xml:space="preserve"> PAGEREF _Toc26534619 \h </w:instrText>
        </w:r>
        <w:r w:rsidR="00083581">
          <w:rPr>
            <w:noProof/>
            <w:webHidden/>
          </w:rPr>
        </w:r>
        <w:r w:rsidR="00083581">
          <w:rPr>
            <w:noProof/>
            <w:webHidden/>
          </w:rPr>
          <w:fldChar w:fldCharType="separate"/>
        </w:r>
        <w:r w:rsidR="00083581">
          <w:rPr>
            <w:noProof/>
            <w:webHidden/>
          </w:rPr>
          <w:t>128</w:t>
        </w:r>
        <w:r w:rsidR="00083581">
          <w:rPr>
            <w:noProof/>
            <w:webHidden/>
          </w:rPr>
          <w:fldChar w:fldCharType="end"/>
        </w:r>
      </w:hyperlink>
    </w:p>
    <w:p w14:paraId="1E90E407" w14:textId="710EFD9F" w:rsidR="00083581" w:rsidRDefault="00CE1F3C">
      <w:pPr>
        <w:pStyle w:val="TOC3"/>
        <w:tabs>
          <w:tab w:val="right" w:leader="dot" w:pos="9350"/>
        </w:tabs>
        <w:rPr>
          <w:rFonts w:eastAsiaTheme="minorEastAsia" w:cstheme="minorBidi"/>
          <w:noProof/>
          <w:sz w:val="22"/>
          <w:szCs w:val="22"/>
          <w:lang w:bidi="ar-SA"/>
        </w:rPr>
      </w:pPr>
      <w:hyperlink w:anchor="_Toc26534620" w:history="1">
        <w:r w:rsidR="00083581" w:rsidRPr="00E104A1">
          <w:rPr>
            <w:rStyle w:val="Hyperlink"/>
            <w:noProof/>
          </w:rPr>
          <w:t>Images and convolution</w:t>
        </w:r>
        <w:r w:rsidR="00083581">
          <w:rPr>
            <w:noProof/>
            <w:webHidden/>
          </w:rPr>
          <w:tab/>
        </w:r>
        <w:r w:rsidR="00083581">
          <w:rPr>
            <w:noProof/>
            <w:webHidden/>
          </w:rPr>
          <w:fldChar w:fldCharType="begin"/>
        </w:r>
        <w:r w:rsidR="00083581">
          <w:rPr>
            <w:noProof/>
            <w:webHidden/>
          </w:rPr>
          <w:instrText xml:space="preserve"> PAGEREF _Toc26534620 \h </w:instrText>
        </w:r>
        <w:r w:rsidR="00083581">
          <w:rPr>
            <w:noProof/>
            <w:webHidden/>
          </w:rPr>
        </w:r>
        <w:r w:rsidR="00083581">
          <w:rPr>
            <w:noProof/>
            <w:webHidden/>
          </w:rPr>
          <w:fldChar w:fldCharType="separate"/>
        </w:r>
        <w:r w:rsidR="00083581">
          <w:rPr>
            <w:noProof/>
            <w:webHidden/>
          </w:rPr>
          <w:t>128</w:t>
        </w:r>
        <w:r w:rsidR="00083581">
          <w:rPr>
            <w:noProof/>
            <w:webHidden/>
          </w:rPr>
          <w:fldChar w:fldCharType="end"/>
        </w:r>
      </w:hyperlink>
    </w:p>
    <w:p w14:paraId="378891C6" w14:textId="254EAF3F" w:rsidR="00083581" w:rsidRDefault="00CE1F3C">
      <w:pPr>
        <w:pStyle w:val="TOC3"/>
        <w:tabs>
          <w:tab w:val="right" w:leader="dot" w:pos="9350"/>
        </w:tabs>
        <w:rPr>
          <w:rFonts w:eastAsiaTheme="minorEastAsia" w:cstheme="minorBidi"/>
          <w:noProof/>
          <w:sz w:val="22"/>
          <w:szCs w:val="22"/>
          <w:lang w:bidi="ar-SA"/>
        </w:rPr>
      </w:pPr>
      <w:hyperlink w:anchor="_Toc26534621" w:history="1">
        <w:r w:rsidR="00083581" w:rsidRPr="00E104A1">
          <w:rPr>
            <w:rStyle w:val="Hyperlink"/>
            <w:noProof/>
          </w:rPr>
          <w:t>Single neuron and an overview of artificial neural networks</w:t>
        </w:r>
        <w:r w:rsidR="00083581">
          <w:rPr>
            <w:noProof/>
            <w:webHidden/>
          </w:rPr>
          <w:tab/>
        </w:r>
        <w:r w:rsidR="00083581">
          <w:rPr>
            <w:noProof/>
            <w:webHidden/>
          </w:rPr>
          <w:fldChar w:fldCharType="begin"/>
        </w:r>
        <w:r w:rsidR="00083581">
          <w:rPr>
            <w:noProof/>
            <w:webHidden/>
          </w:rPr>
          <w:instrText xml:space="preserve"> PAGEREF _Toc26534621 \h </w:instrText>
        </w:r>
        <w:r w:rsidR="00083581">
          <w:rPr>
            <w:noProof/>
            <w:webHidden/>
          </w:rPr>
        </w:r>
        <w:r w:rsidR="00083581">
          <w:rPr>
            <w:noProof/>
            <w:webHidden/>
          </w:rPr>
          <w:fldChar w:fldCharType="separate"/>
        </w:r>
        <w:r w:rsidR="00083581">
          <w:rPr>
            <w:noProof/>
            <w:webHidden/>
          </w:rPr>
          <w:t>132</w:t>
        </w:r>
        <w:r w:rsidR="00083581">
          <w:rPr>
            <w:noProof/>
            <w:webHidden/>
          </w:rPr>
          <w:fldChar w:fldCharType="end"/>
        </w:r>
      </w:hyperlink>
    </w:p>
    <w:p w14:paraId="0D4D195F" w14:textId="3E52D292" w:rsidR="00083581" w:rsidRDefault="00CE1F3C">
      <w:pPr>
        <w:pStyle w:val="TOC3"/>
        <w:tabs>
          <w:tab w:val="right" w:leader="dot" w:pos="9350"/>
        </w:tabs>
        <w:rPr>
          <w:rFonts w:eastAsiaTheme="minorEastAsia" w:cstheme="minorBidi"/>
          <w:noProof/>
          <w:sz w:val="22"/>
          <w:szCs w:val="22"/>
          <w:lang w:bidi="ar-SA"/>
        </w:rPr>
      </w:pPr>
      <w:hyperlink w:anchor="_Toc26534622" w:history="1">
        <w:r w:rsidR="00083581" w:rsidRPr="00E104A1">
          <w:rPr>
            <w:rStyle w:val="Hyperlink"/>
            <w:noProof/>
          </w:rPr>
          <w:t>(Deep) Convolutional neural networks</w:t>
        </w:r>
        <w:r w:rsidR="00083581">
          <w:rPr>
            <w:noProof/>
            <w:webHidden/>
          </w:rPr>
          <w:tab/>
        </w:r>
        <w:r w:rsidR="00083581">
          <w:rPr>
            <w:noProof/>
            <w:webHidden/>
          </w:rPr>
          <w:fldChar w:fldCharType="begin"/>
        </w:r>
        <w:r w:rsidR="00083581">
          <w:rPr>
            <w:noProof/>
            <w:webHidden/>
          </w:rPr>
          <w:instrText xml:space="preserve"> PAGEREF _Toc26534622 \h </w:instrText>
        </w:r>
        <w:r w:rsidR="00083581">
          <w:rPr>
            <w:noProof/>
            <w:webHidden/>
          </w:rPr>
        </w:r>
        <w:r w:rsidR="00083581">
          <w:rPr>
            <w:noProof/>
            <w:webHidden/>
          </w:rPr>
          <w:fldChar w:fldCharType="separate"/>
        </w:r>
        <w:r w:rsidR="00083581">
          <w:rPr>
            <w:noProof/>
            <w:webHidden/>
          </w:rPr>
          <w:t>135</w:t>
        </w:r>
        <w:r w:rsidR="00083581">
          <w:rPr>
            <w:noProof/>
            <w:webHidden/>
          </w:rPr>
          <w:fldChar w:fldCharType="end"/>
        </w:r>
      </w:hyperlink>
    </w:p>
    <w:p w14:paraId="61D30D14" w14:textId="60A490D2" w:rsidR="00083581" w:rsidRDefault="00CE1F3C">
      <w:pPr>
        <w:pStyle w:val="TOC2"/>
        <w:tabs>
          <w:tab w:val="right" w:leader="dot" w:pos="9350"/>
        </w:tabs>
        <w:rPr>
          <w:rFonts w:eastAsiaTheme="minorEastAsia" w:cstheme="minorBidi"/>
          <w:iCs w:val="0"/>
          <w:noProof/>
          <w:sz w:val="22"/>
          <w:szCs w:val="22"/>
          <w:lang w:bidi="ar-SA"/>
        </w:rPr>
      </w:pPr>
      <w:hyperlink w:anchor="_Toc26534623" w:history="1">
        <w:r w:rsidR="00083581" w:rsidRPr="00E104A1">
          <w:rPr>
            <w:rStyle w:val="Hyperlink"/>
            <w:noProof/>
          </w:rPr>
          <w:t>References</w:t>
        </w:r>
        <w:r w:rsidR="00083581">
          <w:rPr>
            <w:noProof/>
            <w:webHidden/>
          </w:rPr>
          <w:tab/>
        </w:r>
        <w:r w:rsidR="00083581">
          <w:rPr>
            <w:noProof/>
            <w:webHidden/>
          </w:rPr>
          <w:fldChar w:fldCharType="begin"/>
        </w:r>
        <w:r w:rsidR="00083581">
          <w:rPr>
            <w:noProof/>
            <w:webHidden/>
          </w:rPr>
          <w:instrText xml:space="preserve"> PAGEREF _Toc26534623 \h </w:instrText>
        </w:r>
        <w:r w:rsidR="00083581">
          <w:rPr>
            <w:noProof/>
            <w:webHidden/>
          </w:rPr>
        </w:r>
        <w:r w:rsidR="00083581">
          <w:rPr>
            <w:noProof/>
            <w:webHidden/>
          </w:rPr>
          <w:fldChar w:fldCharType="separate"/>
        </w:r>
        <w:r w:rsidR="00083581">
          <w:rPr>
            <w:noProof/>
            <w:webHidden/>
          </w:rPr>
          <w:t>138</w:t>
        </w:r>
        <w:r w:rsidR="00083581">
          <w:rPr>
            <w:noProof/>
            <w:webHidden/>
          </w:rPr>
          <w:fldChar w:fldCharType="end"/>
        </w:r>
      </w:hyperlink>
    </w:p>
    <w:p w14:paraId="78A9A19D" w14:textId="44035776" w:rsidR="00083581" w:rsidRDefault="00CE1F3C">
      <w:pPr>
        <w:pStyle w:val="TOC1"/>
        <w:tabs>
          <w:tab w:val="right" w:leader="dot" w:pos="9350"/>
        </w:tabs>
        <w:rPr>
          <w:rFonts w:eastAsiaTheme="minorEastAsia" w:cstheme="minorBidi"/>
          <w:bCs w:val="0"/>
          <w:noProof/>
          <w:sz w:val="22"/>
          <w:szCs w:val="22"/>
          <w:lang w:bidi="ar-SA"/>
        </w:rPr>
      </w:pPr>
      <w:hyperlink w:anchor="_Toc26534624" w:history="1">
        <w:r w:rsidR="00083581" w:rsidRPr="00E104A1">
          <w:rPr>
            <w:rStyle w:val="Hyperlink"/>
            <w:noProof/>
          </w:rPr>
          <w:t>Chapter 5: Convolutional neural network for remote sensing scene classification: transfer learning analysis</w:t>
        </w:r>
        <w:r w:rsidR="00083581">
          <w:rPr>
            <w:noProof/>
            <w:webHidden/>
          </w:rPr>
          <w:tab/>
        </w:r>
        <w:r w:rsidR="00083581">
          <w:rPr>
            <w:noProof/>
            <w:webHidden/>
          </w:rPr>
          <w:fldChar w:fldCharType="begin"/>
        </w:r>
        <w:r w:rsidR="00083581">
          <w:rPr>
            <w:noProof/>
            <w:webHidden/>
          </w:rPr>
          <w:instrText xml:space="preserve"> PAGEREF _Toc26534624 \h </w:instrText>
        </w:r>
        <w:r w:rsidR="00083581">
          <w:rPr>
            <w:noProof/>
            <w:webHidden/>
          </w:rPr>
        </w:r>
        <w:r w:rsidR="00083581">
          <w:rPr>
            <w:noProof/>
            <w:webHidden/>
          </w:rPr>
          <w:fldChar w:fldCharType="separate"/>
        </w:r>
        <w:r w:rsidR="00083581">
          <w:rPr>
            <w:noProof/>
            <w:webHidden/>
          </w:rPr>
          <w:t>143</w:t>
        </w:r>
        <w:r w:rsidR="00083581">
          <w:rPr>
            <w:noProof/>
            <w:webHidden/>
          </w:rPr>
          <w:fldChar w:fldCharType="end"/>
        </w:r>
      </w:hyperlink>
    </w:p>
    <w:p w14:paraId="1EA9ECB6" w14:textId="4535E6C1" w:rsidR="00083581" w:rsidRDefault="00CE1F3C">
      <w:pPr>
        <w:pStyle w:val="TOC2"/>
        <w:tabs>
          <w:tab w:val="right" w:leader="dot" w:pos="9350"/>
        </w:tabs>
        <w:rPr>
          <w:rFonts w:eastAsiaTheme="minorEastAsia" w:cstheme="minorBidi"/>
          <w:iCs w:val="0"/>
          <w:noProof/>
          <w:sz w:val="22"/>
          <w:szCs w:val="22"/>
          <w:lang w:bidi="ar-SA"/>
        </w:rPr>
      </w:pPr>
      <w:hyperlink w:anchor="_Toc26534625" w:history="1">
        <w:r w:rsidR="00083581" w:rsidRPr="00E104A1">
          <w:rPr>
            <w:rStyle w:val="Hyperlink"/>
            <w:noProof/>
          </w:rPr>
          <w:t>Preface</w:t>
        </w:r>
        <w:r w:rsidR="00083581">
          <w:rPr>
            <w:noProof/>
            <w:webHidden/>
          </w:rPr>
          <w:tab/>
        </w:r>
        <w:r w:rsidR="00083581">
          <w:rPr>
            <w:noProof/>
            <w:webHidden/>
          </w:rPr>
          <w:fldChar w:fldCharType="begin"/>
        </w:r>
        <w:r w:rsidR="00083581">
          <w:rPr>
            <w:noProof/>
            <w:webHidden/>
          </w:rPr>
          <w:instrText xml:space="preserve"> PAGEREF _Toc26534625 \h </w:instrText>
        </w:r>
        <w:r w:rsidR="00083581">
          <w:rPr>
            <w:noProof/>
            <w:webHidden/>
          </w:rPr>
        </w:r>
        <w:r w:rsidR="00083581">
          <w:rPr>
            <w:noProof/>
            <w:webHidden/>
          </w:rPr>
          <w:fldChar w:fldCharType="separate"/>
        </w:r>
        <w:r w:rsidR="00083581">
          <w:rPr>
            <w:noProof/>
            <w:webHidden/>
          </w:rPr>
          <w:t>143</w:t>
        </w:r>
        <w:r w:rsidR="00083581">
          <w:rPr>
            <w:noProof/>
            <w:webHidden/>
          </w:rPr>
          <w:fldChar w:fldCharType="end"/>
        </w:r>
      </w:hyperlink>
    </w:p>
    <w:p w14:paraId="77EAD283" w14:textId="35FDF35B" w:rsidR="00083581" w:rsidRDefault="00CE1F3C">
      <w:pPr>
        <w:pStyle w:val="TOC2"/>
        <w:tabs>
          <w:tab w:val="right" w:leader="dot" w:pos="9350"/>
        </w:tabs>
        <w:rPr>
          <w:rFonts w:eastAsiaTheme="minorEastAsia" w:cstheme="minorBidi"/>
          <w:iCs w:val="0"/>
          <w:noProof/>
          <w:sz w:val="22"/>
          <w:szCs w:val="22"/>
          <w:lang w:bidi="ar-SA"/>
        </w:rPr>
      </w:pPr>
      <w:hyperlink w:anchor="_Toc26534626" w:history="1">
        <w:r w:rsidR="00083581" w:rsidRPr="00E104A1">
          <w:rPr>
            <w:rStyle w:val="Hyperlink"/>
            <w:noProof/>
          </w:rPr>
          <w:t>Abstract</w:t>
        </w:r>
        <w:r w:rsidR="00083581">
          <w:rPr>
            <w:noProof/>
            <w:webHidden/>
          </w:rPr>
          <w:tab/>
        </w:r>
        <w:r w:rsidR="00083581">
          <w:rPr>
            <w:noProof/>
            <w:webHidden/>
          </w:rPr>
          <w:fldChar w:fldCharType="begin"/>
        </w:r>
        <w:r w:rsidR="00083581">
          <w:rPr>
            <w:noProof/>
            <w:webHidden/>
          </w:rPr>
          <w:instrText xml:space="preserve"> PAGEREF _Toc26534626 \h </w:instrText>
        </w:r>
        <w:r w:rsidR="00083581">
          <w:rPr>
            <w:noProof/>
            <w:webHidden/>
          </w:rPr>
        </w:r>
        <w:r w:rsidR="00083581">
          <w:rPr>
            <w:noProof/>
            <w:webHidden/>
          </w:rPr>
          <w:fldChar w:fldCharType="separate"/>
        </w:r>
        <w:r w:rsidR="00083581">
          <w:rPr>
            <w:noProof/>
            <w:webHidden/>
          </w:rPr>
          <w:t>144</w:t>
        </w:r>
        <w:r w:rsidR="00083581">
          <w:rPr>
            <w:noProof/>
            <w:webHidden/>
          </w:rPr>
          <w:fldChar w:fldCharType="end"/>
        </w:r>
      </w:hyperlink>
    </w:p>
    <w:p w14:paraId="069AE7FA" w14:textId="780B411D" w:rsidR="00083581" w:rsidRDefault="00CE1F3C">
      <w:pPr>
        <w:pStyle w:val="TOC2"/>
        <w:tabs>
          <w:tab w:val="right" w:leader="dot" w:pos="9350"/>
        </w:tabs>
        <w:rPr>
          <w:rFonts w:eastAsiaTheme="minorEastAsia" w:cstheme="minorBidi"/>
          <w:iCs w:val="0"/>
          <w:noProof/>
          <w:sz w:val="22"/>
          <w:szCs w:val="22"/>
          <w:lang w:bidi="ar-SA"/>
        </w:rPr>
      </w:pPr>
      <w:hyperlink w:anchor="_Toc26534627" w:history="1">
        <w:r w:rsidR="00083581" w:rsidRPr="00E104A1">
          <w:rPr>
            <w:rStyle w:val="Hyperlink"/>
            <w:noProof/>
          </w:rPr>
          <w:t>Keywords</w:t>
        </w:r>
        <w:r w:rsidR="00083581">
          <w:rPr>
            <w:noProof/>
            <w:webHidden/>
          </w:rPr>
          <w:tab/>
        </w:r>
        <w:r w:rsidR="00083581">
          <w:rPr>
            <w:noProof/>
            <w:webHidden/>
          </w:rPr>
          <w:fldChar w:fldCharType="begin"/>
        </w:r>
        <w:r w:rsidR="00083581">
          <w:rPr>
            <w:noProof/>
            <w:webHidden/>
          </w:rPr>
          <w:instrText xml:space="preserve"> PAGEREF _Toc26534627 \h </w:instrText>
        </w:r>
        <w:r w:rsidR="00083581">
          <w:rPr>
            <w:noProof/>
            <w:webHidden/>
          </w:rPr>
        </w:r>
        <w:r w:rsidR="00083581">
          <w:rPr>
            <w:noProof/>
            <w:webHidden/>
          </w:rPr>
          <w:fldChar w:fldCharType="separate"/>
        </w:r>
        <w:r w:rsidR="00083581">
          <w:rPr>
            <w:noProof/>
            <w:webHidden/>
          </w:rPr>
          <w:t>144</w:t>
        </w:r>
        <w:r w:rsidR="00083581">
          <w:rPr>
            <w:noProof/>
            <w:webHidden/>
          </w:rPr>
          <w:fldChar w:fldCharType="end"/>
        </w:r>
      </w:hyperlink>
    </w:p>
    <w:p w14:paraId="7FC20303" w14:textId="20BED49B" w:rsidR="00083581" w:rsidRDefault="00CE1F3C">
      <w:pPr>
        <w:pStyle w:val="TOC2"/>
        <w:tabs>
          <w:tab w:val="right" w:leader="dot" w:pos="9350"/>
        </w:tabs>
        <w:rPr>
          <w:rFonts w:eastAsiaTheme="minorEastAsia" w:cstheme="minorBidi"/>
          <w:iCs w:val="0"/>
          <w:noProof/>
          <w:sz w:val="22"/>
          <w:szCs w:val="22"/>
          <w:lang w:bidi="ar-SA"/>
        </w:rPr>
      </w:pPr>
      <w:hyperlink w:anchor="_Toc26534628" w:history="1">
        <w:r w:rsidR="00083581" w:rsidRPr="00E104A1">
          <w:rPr>
            <w:rStyle w:val="Hyperlink"/>
            <w:noProof/>
          </w:rPr>
          <w:t>Glossary</w:t>
        </w:r>
        <w:r w:rsidR="00083581">
          <w:rPr>
            <w:noProof/>
            <w:webHidden/>
          </w:rPr>
          <w:tab/>
        </w:r>
        <w:r w:rsidR="00083581">
          <w:rPr>
            <w:noProof/>
            <w:webHidden/>
          </w:rPr>
          <w:fldChar w:fldCharType="begin"/>
        </w:r>
        <w:r w:rsidR="00083581">
          <w:rPr>
            <w:noProof/>
            <w:webHidden/>
          </w:rPr>
          <w:instrText xml:space="preserve"> PAGEREF _Toc26534628 \h </w:instrText>
        </w:r>
        <w:r w:rsidR="00083581">
          <w:rPr>
            <w:noProof/>
            <w:webHidden/>
          </w:rPr>
        </w:r>
        <w:r w:rsidR="00083581">
          <w:rPr>
            <w:noProof/>
            <w:webHidden/>
          </w:rPr>
          <w:fldChar w:fldCharType="separate"/>
        </w:r>
        <w:r w:rsidR="00083581">
          <w:rPr>
            <w:noProof/>
            <w:webHidden/>
          </w:rPr>
          <w:t>145</w:t>
        </w:r>
        <w:r w:rsidR="00083581">
          <w:rPr>
            <w:noProof/>
            <w:webHidden/>
          </w:rPr>
          <w:fldChar w:fldCharType="end"/>
        </w:r>
      </w:hyperlink>
    </w:p>
    <w:p w14:paraId="50FA75D6" w14:textId="76197B5A" w:rsidR="00083581" w:rsidRDefault="00CE1F3C">
      <w:pPr>
        <w:pStyle w:val="TOC2"/>
        <w:tabs>
          <w:tab w:val="right" w:leader="dot" w:pos="9350"/>
        </w:tabs>
        <w:rPr>
          <w:rFonts w:eastAsiaTheme="minorEastAsia" w:cstheme="minorBidi"/>
          <w:iCs w:val="0"/>
          <w:noProof/>
          <w:sz w:val="22"/>
          <w:szCs w:val="22"/>
          <w:lang w:bidi="ar-SA"/>
        </w:rPr>
      </w:pPr>
      <w:hyperlink w:anchor="_Toc26534629" w:history="1">
        <w:r w:rsidR="00083581" w:rsidRPr="00E104A1">
          <w:rPr>
            <w:rStyle w:val="Hyperlink"/>
            <w:noProof/>
          </w:rPr>
          <w:t>1. Introduction</w:t>
        </w:r>
        <w:r w:rsidR="00083581">
          <w:rPr>
            <w:noProof/>
            <w:webHidden/>
          </w:rPr>
          <w:tab/>
        </w:r>
        <w:r w:rsidR="00083581">
          <w:rPr>
            <w:noProof/>
            <w:webHidden/>
          </w:rPr>
          <w:fldChar w:fldCharType="begin"/>
        </w:r>
        <w:r w:rsidR="00083581">
          <w:rPr>
            <w:noProof/>
            <w:webHidden/>
          </w:rPr>
          <w:instrText xml:space="preserve"> PAGEREF _Toc26534629 \h </w:instrText>
        </w:r>
        <w:r w:rsidR="00083581">
          <w:rPr>
            <w:noProof/>
            <w:webHidden/>
          </w:rPr>
        </w:r>
        <w:r w:rsidR="00083581">
          <w:rPr>
            <w:noProof/>
            <w:webHidden/>
          </w:rPr>
          <w:fldChar w:fldCharType="separate"/>
        </w:r>
        <w:r w:rsidR="00083581">
          <w:rPr>
            <w:noProof/>
            <w:webHidden/>
          </w:rPr>
          <w:t>147</w:t>
        </w:r>
        <w:r w:rsidR="00083581">
          <w:rPr>
            <w:noProof/>
            <w:webHidden/>
          </w:rPr>
          <w:fldChar w:fldCharType="end"/>
        </w:r>
      </w:hyperlink>
    </w:p>
    <w:p w14:paraId="33877460" w14:textId="2CB9957E" w:rsidR="00083581" w:rsidRDefault="00CE1F3C">
      <w:pPr>
        <w:pStyle w:val="TOC2"/>
        <w:tabs>
          <w:tab w:val="right" w:leader="dot" w:pos="9350"/>
        </w:tabs>
        <w:rPr>
          <w:rFonts w:eastAsiaTheme="minorEastAsia" w:cstheme="minorBidi"/>
          <w:iCs w:val="0"/>
          <w:noProof/>
          <w:sz w:val="22"/>
          <w:szCs w:val="22"/>
          <w:lang w:bidi="ar-SA"/>
        </w:rPr>
      </w:pPr>
      <w:hyperlink w:anchor="_Toc26534630" w:history="1">
        <w:r w:rsidR="00083581" w:rsidRPr="00E104A1">
          <w:rPr>
            <w:rStyle w:val="Hyperlink"/>
            <w:noProof/>
          </w:rPr>
          <w:t>2. Data</w:t>
        </w:r>
        <w:r w:rsidR="00083581">
          <w:rPr>
            <w:noProof/>
            <w:webHidden/>
          </w:rPr>
          <w:tab/>
        </w:r>
        <w:r w:rsidR="00083581">
          <w:rPr>
            <w:noProof/>
            <w:webHidden/>
          </w:rPr>
          <w:fldChar w:fldCharType="begin"/>
        </w:r>
        <w:r w:rsidR="00083581">
          <w:rPr>
            <w:noProof/>
            <w:webHidden/>
          </w:rPr>
          <w:instrText xml:space="preserve"> PAGEREF _Toc26534630 \h </w:instrText>
        </w:r>
        <w:r w:rsidR="00083581">
          <w:rPr>
            <w:noProof/>
            <w:webHidden/>
          </w:rPr>
        </w:r>
        <w:r w:rsidR="00083581">
          <w:rPr>
            <w:noProof/>
            <w:webHidden/>
          </w:rPr>
          <w:fldChar w:fldCharType="separate"/>
        </w:r>
        <w:r w:rsidR="00083581">
          <w:rPr>
            <w:noProof/>
            <w:webHidden/>
          </w:rPr>
          <w:t>151</w:t>
        </w:r>
        <w:r w:rsidR="00083581">
          <w:rPr>
            <w:noProof/>
            <w:webHidden/>
          </w:rPr>
          <w:fldChar w:fldCharType="end"/>
        </w:r>
      </w:hyperlink>
    </w:p>
    <w:p w14:paraId="6E885459" w14:textId="0CE8C760" w:rsidR="00083581" w:rsidRDefault="00CE1F3C">
      <w:pPr>
        <w:pStyle w:val="TOC3"/>
        <w:tabs>
          <w:tab w:val="right" w:leader="dot" w:pos="9350"/>
        </w:tabs>
        <w:rPr>
          <w:rFonts w:eastAsiaTheme="minorEastAsia" w:cstheme="minorBidi"/>
          <w:noProof/>
          <w:sz w:val="22"/>
          <w:szCs w:val="22"/>
          <w:lang w:bidi="ar-SA"/>
        </w:rPr>
      </w:pPr>
      <w:hyperlink w:anchor="_Toc26534631" w:history="1">
        <w:r w:rsidR="00083581" w:rsidRPr="00E104A1">
          <w:rPr>
            <w:rStyle w:val="Hyperlink"/>
            <w:noProof/>
          </w:rPr>
          <w:t>2.1 UCMerced: UC Merced dataset</w:t>
        </w:r>
        <w:r w:rsidR="00083581">
          <w:rPr>
            <w:noProof/>
            <w:webHidden/>
          </w:rPr>
          <w:tab/>
        </w:r>
        <w:r w:rsidR="00083581">
          <w:rPr>
            <w:noProof/>
            <w:webHidden/>
          </w:rPr>
          <w:fldChar w:fldCharType="begin"/>
        </w:r>
        <w:r w:rsidR="00083581">
          <w:rPr>
            <w:noProof/>
            <w:webHidden/>
          </w:rPr>
          <w:instrText xml:space="preserve"> PAGEREF _Toc26534631 \h </w:instrText>
        </w:r>
        <w:r w:rsidR="00083581">
          <w:rPr>
            <w:noProof/>
            <w:webHidden/>
          </w:rPr>
        </w:r>
        <w:r w:rsidR="00083581">
          <w:rPr>
            <w:noProof/>
            <w:webHidden/>
          </w:rPr>
          <w:fldChar w:fldCharType="separate"/>
        </w:r>
        <w:r w:rsidR="00083581">
          <w:rPr>
            <w:noProof/>
            <w:webHidden/>
          </w:rPr>
          <w:t>151</w:t>
        </w:r>
        <w:r w:rsidR="00083581">
          <w:rPr>
            <w:noProof/>
            <w:webHidden/>
          </w:rPr>
          <w:fldChar w:fldCharType="end"/>
        </w:r>
      </w:hyperlink>
    </w:p>
    <w:p w14:paraId="7F18D37D" w14:textId="0BE29655" w:rsidR="00083581" w:rsidRDefault="00CE1F3C">
      <w:pPr>
        <w:pStyle w:val="TOC3"/>
        <w:tabs>
          <w:tab w:val="right" w:leader="dot" w:pos="9350"/>
        </w:tabs>
        <w:rPr>
          <w:rFonts w:eastAsiaTheme="minorEastAsia" w:cstheme="minorBidi"/>
          <w:noProof/>
          <w:sz w:val="22"/>
          <w:szCs w:val="22"/>
          <w:lang w:bidi="ar-SA"/>
        </w:rPr>
      </w:pPr>
      <w:hyperlink w:anchor="_Toc26534632" w:history="1">
        <w:r w:rsidR="00083581" w:rsidRPr="00E104A1">
          <w:rPr>
            <w:rStyle w:val="Hyperlink"/>
            <w:noProof/>
          </w:rPr>
          <w:t>2.2 AID: Aerial Image Dataset</w:t>
        </w:r>
        <w:r w:rsidR="00083581">
          <w:rPr>
            <w:noProof/>
            <w:webHidden/>
          </w:rPr>
          <w:tab/>
        </w:r>
        <w:r w:rsidR="00083581">
          <w:rPr>
            <w:noProof/>
            <w:webHidden/>
          </w:rPr>
          <w:fldChar w:fldCharType="begin"/>
        </w:r>
        <w:r w:rsidR="00083581">
          <w:rPr>
            <w:noProof/>
            <w:webHidden/>
          </w:rPr>
          <w:instrText xml:space="preserve"> PAGEREF _Toc26534632 \h </w:instrText>
        </w:r>
        <w:r w:rsidR="00083581">
          <w:rPr>
            <w:noProof/>
            <w:webHidden/>
          </w:rPr>
        </w:r>
        <w:r w:rsidR="00083581">
          <w:rPr>
            <w:noProof/>
            <w:webHidden/>
          </w:rPr>
          <w:fldChar w:fldCharType="separate"/>
        </w:r>
        <w:r w:rsidR="00083581">
          <w:rPr>
            <w:noProof/>
            <w:webHidden/>
          </w:rPr>
          <w:t>152</w:t>
        </w:r>
        <w:r w:rsidR="00083581">
          <w:rPr>
            <w:noProof/>
            <w:webHidden/>
          </w:rPr>
          <w:fldChar w:fldCharType="end"/>
        </w:r>
      </w:hyperlink>
    </w:p>
    <w:p w14:paraId="767657AC" w14:textId="0A1B3379" w:rsidR="00083581" w:rsidRDefault="00CE1F3C">
      <w:pPr>
        <w:pStyle w:val="TOC3"/>
        <w:tabs>
          <w:tab w:val="right" w:leader="dot" w:pos="9350"/>
        </w:tabs>
        <w:rPr>
          <w:rFonts w:eastAsiaTheme="minorEastAsia" w:cstheme="minorBidi"/>
          <w:noProof/>
          <w:sz w:val="22"/>
          <w:szCs w:val="22"/>
          <w:lang w:bidi="ar-SA"/>
        </w:rPr>
      </w:pPr>
      <w:hyperlink w:anchor="_Toc26534633" w:history="1">
        <w:r w:rsidR="00083581" w:rsidRPr="00E104A1">
          <w:rPr>
            <w:rStyle w:val="Hyperlink"/>
            <w:noProof/>
          </w:rPr>
          <w:t>2.3 PatternNet</w:t>
        </w:r>
        <w:r w:rsidR="00083581">
          <w:rPr>
            <w:noProof/>
            <w:webHidden/>
          </w:rPr>
          <w:tab/>
        </w:r>
        <w:r w:rsidR="00083581">
          <w:rPr>
            <w:noProof/>
            <w:webHidden/>
          </w:rPr>
          <w:fldChar w:fldCharType="begin"/>
        </w:r>
        <w:r w:rsidR="00083581">
          <w:rPr>
            <w:noProof/>
            <w:webHidden/>
          </w:rPr>
          <w:instrText xml:space="preserve"> PAGEREF _Toc26534633 \h </w:instrText>
        </w:r>
        <w:r w:rsidR="00083581">
          <w:rPr>
            <w:noProof/>
            <w:webHidden/>
          </w:rPr>
        </w:r>
        <w:r w:rsidR="00083581">
          <w:rPr>
            <w:noProof/>
            <w:webHidden/>
          </w:rPr>
          <w:fldChar w:fldCharType="separate"/>
        </w:r>
        <w:r w:rsidR="00083581">
          <w:rPr>
            <w:noProof/>
            <w:webHidden/>
          </w:rPr>
          <w:t>153</w:t>
        </w:r>
        <w:r w:rsidR="00083581">
          <w:rPr>
            <w:noProof/>
            <w:webHidden/>
          </w:rPr>
          <w:fldChar w:fldCharType="end"/>
        </w:r>
      </w:hyperlink>
    </w:p>
    <w:p w14:paraId="350E45AA" w14:textId="24B84E11" w:rsidR="00083581" w:rsidRDefault="00CE1F3C">
      <w:pPr>
        <w:pStyle w:val="TOC2"/>
        <w:tabs>
          <w:tab w:val="right" w:leader="dot" w:pos="9350"/>
        </w:tabs>
        <w:rPr>
          <w:rFonts w:eastAsiaTheme="minorEastAsia" w:cstheme="minorBidi"/>
          <w:iCs w:val="0"/>
          <w:noProof/>
          <w:sz w:val="22"/>
          <w:szCs w:val="22"/>
          <w:lang w:bidi="ar-SA"/>
        </w:rPr>
      </w:pPr>
      <w:hyperlink w:anchor="_Toc26534634" w:history="1">
        <w:r w:rsidR="00083581" w:rsidRPr="00E104A1">
          <w:rPr>
            <w:rStyle w:val="Hyperlink"/>
            <w:noProof/>
          </w:rPr>
          <w:t>3. Methods</w:t>
        </w:r>
        <w:r w:rsidR="00083581">
          <w:rPr>
            <w:noProof/>
            <w:webHidden/>
          </w:rPr>
          <w:tab/>
        </w:r>
        <w:r w:rsidR="00083581">
          <w:rPr>
            <w:noProof/>
            <w:webHidden/>
          </w:rPr>
          <w:fldChar w:fldCharType="begin"/>
        </w:r>
        <w:r w:rsidR="00083581">
          <w:rPr>
            <w:noProof/>
            <w:webHidden/>
          </w:rPr>
          <w:instrText xml:space="preserve"> PAGEREF _Toc26534634 \h </w:instrText>
        </w:r>
        <w:r w:rsidR="00083581">
          <w:rPr>
            <w:noProof/>
            <w:webHidden/>
          </w:rPr>
        </w:r>
        <w:r w:rsidR="00083581">
          <w:rPr>
            <w:noProof/>
            <w:webHidden/>
          </w:rPr>
          <w:fldChar w:fldCharType="separate"/>
        </w:r>
        <w:r w:rsidR="00083581">
          <w:rPr>
            <w:noProof/>
            <w:webHidden/>
          </w:rPr>
          <w:t>155</w:t>
        </w:r>
        <w:r w:rsidR="00083581">
          <w:rPr>
            <w:noProof/>
            <w:webHidden/>
          </w:rPr>
          <w:fldChar w:fldCharType="end"/>
        </w:r>
      </w:hyperlink>
    </w:p>
    <w:p w14:paraId="7F935F0C" w14:textId="2B3C806B" w:rsidR="00083581" w:rsidRDefault="00CE1F3C">
      <w:pPr>
        <w:pStyle w:val="TOC3"/>
        <w:tabs>
          <w:tab w:val="right" w:leader="dot" w:pos="9350"/>
        </w:tabs>
        <w:rPr>
          <w:rFonts w:eastAsiaTheme="minorEastAsia" w:cstheme="minorBidi"/>
          <w:noProof/>
          <w:sz w:val="22"/>
          <w:szCs w:val="22"/>
          <w:lang w:bidi="ar-SA"/>
        </w:rPr>
      </w:pPr>
      <w:hyperlink w:anchor="_Toc26534635" w:history="1">
        <w:r w:rsidR="00083581" w:rsidRPr="00E104A1">
          <w:rPr>
            <w:rStyle w:val="Hyperlink"/>
            <w:noProof/>
          </w:rPr>
          <w:t>3.1 Model split</w:t>
        </w:r>
        <w:r w:rsidR="00083581">
          <w:rPr>
            <w:noProof/>
            <w:webHidden/>
          </w:rPr>
          <w:tab/>
        </w:r>
        <w:r w:rsidR="00083581">
          <w:rPr>
            <w:noProof/>
            <w:webHidden/>
          </w:rPr>
          <w:fldChar w:fldCharType="begin"/>
        </w:r>
        <w:r w:rsidR="00083581">
          <w:rPr>
            <w:noProof/>
            <w:webHidden/>
          </w:rPr>
          <w:instrText xml:space="preserve"> PAGEREF _Toc26534635 \h </w:instrText>
        </w:r>
        <w:r w:rsidR="00083581">
          <w:rPr>
            <w:noProof/>
            <w:webHidden/>
          </w:rPr>
        </w:r>
        <w:r w:rsidR="00083581">
          <w:rPr>
            <w:noProof/>
            <w:webHidden/>
          </w:rPr>
          <w:fldChar w:fldCharType="separate"/>
        </w:r>
        <w:r w:rsidR="00083581">
          <w:rPr>
            <w:noProof/>
            <w:webHidden/>
          </w:rPr>
          <w:t>156</w:t>
        </w:r>
        <w:r w:rsidR="00083581">
          <w:rPr>
            <w:noProof/>
            <w:webHidden/>
          </w:rPr>
          <w:fldChar w:fldCharType="end"/>
        </w:r>
      </w:hyperlink>
    </w:p>
    <w:p w14:paraId="53B25CD3" w14:textId="399688CD" w:rsidR="00083581" w:rsidRDefault="00CE1F3C">
      <w:pPr>
        <w:pStyle w:val="TOC3"/>
        <w:tabs>
          <w:tab w:val="right" w:leader="dot" w:pos="9350"/>
        </w:tabs>
        <w:rPr>
          <w:rFonts w:eastAsiaTheme="minorEastAsia" w:cstheme="minorBidi"/>
          <w:noProof/>
          <w:sz w:val="22"/>
          <w:szCs w:val="22"/>
          <w:lang w:bidi="ar-SA"/>
        </w:rPr>
      </w:pPr>
      <w:hyperlink w:anchor="_Toc26534636" w:history="1">
        <w:r w:rsidR="00083581" w:rsidRPr="00E104A1">
          <w:rPr>
            <w:rStyle w:val="Hyperlink"/>
            <w:noProof/>
          </w:rPr>
          <w:t>3.2 Stochastic gradient descent vs adaptive optimization methods</w:t>
        </w:r>
        <w:r w:rsidR="00083581">
          <w:rPr>
            <w:noProof/>
            <w:webHidden/>
          </w:rPr>
          <w:tab/>
        </w:r>
        <w:r w:rsidR="00083581">
          <w:rPr>
            <w:noProof/>
            <w:webHidden/>
          </w:rPr>
          <w:fldChar w:fldCharType="begin"/>
        </w:r>
        <w:r w:rsidR="00083581">
          <w:rPr>
            <w:noProof/>
            <w:webHidden/>
          </w:rPr>
          <w:instrText xml:space="preserve"> PAGEREF _Toc26534636 \h </w:instrText>
        </w:r>
        <w:r w:rsidR="00083581">
          <w:rPr>
            <w:noProof/>
            <w:webHidden/>
          </w:rPr>
        </w:r>
        <w:r w:rsidR="00083581">
          <w:rPr>
            <w:noProof/>
            <w:webHidden/>
          </w:rPr>
          <w:fldChar w:fldCharType="separate"/>
        </w:r>
        <w:r w:rsidR="00083581">
          <w:rPr>
            <w:noProof/>
            <w:webHidden/>
          </w:rPr>
          <w:t>158</w:t>
        </w:r>
        <w:r w:rsidR="00083581">
          <w:rPr>
            <w:noProof/>
            <w:webHidden/>
          </w:rPr>
          <w:fldChar w:fldCharType="end"/>
        </w:r>
      </w:hyperlink>
    </w:p>
    <w:p w14:paraId="7C9FE217" w14:textId="635C8540" w:rsidR="00083581" w:rsidRDefault="00CE1F3C">
      <w:pPr>
        <w:pStyle w:val="TOC3"/>
        <w:tabs>
          <w:tab w:val="right" w:leader="dot" w:pos="9350"/>
        </w:tabs>
        <w:rPr>
          <w:rFonts w:eastAsiaTheme="minorEastAsia" w:cstheme="minorBidi"/>
          <w:noProof/>
          <w:sz w:val="22"/>
          <w:szCs w:val="22"/>
          <w:lang w:bidi="ar-SA"/>
        </w:rPr>
      </w:pPr>
      <w:hyperlink w:anchor="_Toc26534637" w:history="1">
        <w:r w:rsidR="00083581" w:rsidRPr="00E104A1">
          <w:rPr>
            <w:rStyle w:val="Hyperlink"/>
            <w:noProof/>
          </w:rPr>
          <w:t>3.3 General to specific layer transition of CNN models</w:t>
        </w:r>
        <w:r w:rsidR="00083581">
          <w:rPr>
            <w:noProof/>
            <w:webHidden/>
          </w:rPr>
          <w:tab/>
        </w:r>
        <w:r w:rsidR="00083581">
          <w:rPr>
            <w:noProof/>
            <w:webHidden/>
          </w:rPr>
          <w:fldChar w:fldCharType="begin"/>
        </w:r>
        <w:r w:rsidR="00083581">
          <w:rPr>
            <w:noProof/>
            <w:webHidden/>
          </w:rPr>
          <w:instrText xml:space="preserve"> PAGEREF _Toc26534637 \h </w:instrText>
        </w:r>
        <w:r w:rsidR="00083581">
          <w:rPr>
            <w:noProof/>
            <w:webHidden/>
          </w:rPr>
        </w:r>
        <w:r w:rsidR="00083581">
          <w:rPr>
            <w:noProof/>
            <w:webHidden/>
          </w:rPr>
          <w:fldChar w:fldCharType="separate"/>
        </w:r>
        <w:r w:rsidR="00083581">
          <w:rPr>
            <w:noProof/>
            <w:webHidden/>
          </w:rPr>
          <w:t>159</w:t>
        </w:r>
        <w:r w:rsidR="00083581">
          <w:rPr>
            <w:noProof/>
            <w:webHidden/>
          </w:rPr>
          <w:fldChar w:fldCharType="end"/>
        </w:r>
      </w:hyperlink>
    </w:p>
    <w:p w14:paraId="1CB18B96" w14:textId="7FC0779F" w:rsidR="00083581" w:rsidRDefault="00CE1F3C">
      <w:pPr>
        <w:pStyle w:val="TOC2"/>
        <w:tabs>
          <w:tab w:val="right" w:leader="dot" w:pos="9350"/>
        </w:tabs>
        <w:rPr>
          <w:rFonts w:eastAsiaTheme="minorEastAsia" w:cstheme="minorBidi"/>
          <w:iCs w:val="0"/>
          <w:noProof/>
          <w:sz w:val="22"/>
          <w:szCs w:val="22"/>
          <w:lang w:bidi="ar-SA"/>
        </w:rPr>
      </w:pPr>
      <w:hyperlink w:anchor="_Toc26534638" w:history="1">
        <w:r w:rsidR="00083581" w:rsidRPr="00E104A1">
          <w:rPr>
            <w:rStyle w:val="Hyperlink"/>
            <w:noProof/>
          </w:rPr>
          <w:t>4. Results</w:t>
        </w:r>
        <w:r w:rsidR="00083581">
          <w:rPr>
            <w:noProof/>
            <w:webHidden/>
          </w:rPr>
          <w:tab/>
        </w:r>
        <w:r w:rsidR="00083581">
          <w:rPr>
            <w:noProof/>
            <w:webHidden/>
          </w:rPr>
          <w:fldChar w:fldCharType="begin"/>
        </w:r>
        <w:r w:rsidR="00083581">
          <w:rPr>
            <w:noProof/>
            <w:webHidden/>
          </w:rPr>
          <w:instrText xml:space="preserve"> PAGEREF _Toc26534638 \h </w:instrText>
        </w:r>
        <w:r w:rsidR="00083581">
          <w:rPr>
            <w:noProof/>
            <w:webHidden/>
          </w:rPr>
        </w:r>
        <w:r w:rsidR="00083581">
          <w:rPr>
            <w:noProof/>
            <w:webHidden/>
          </w:rPr>
          <w:fldChar w:fldCharType="separate"/>
        </w:r>
        <w:r w:rsidR="00083581">
          <w:rPr>
            <w:noProof/>
            <w:webHidden/>
          </w:rPr>
          <w:t>160</w:t>
        </w:r>
        <w:r w:rsidR="00083581">
          <w:rPr>
            <w:noProof/>
            <w:webHidden/>
          </w:rPr>
          <w:fldChar w:fldCharType="end"/>
        </w:r>
      </w:hyperlink>
    </w:p>
    <w:p w14:paraId="6244BD73" w14:textId="1929504D" w:rsidR="00083581" w:rsidRDefault="00CE1F3C">
      <w:pPr>
        <w:pStyle w:val="TOC3"/>
        <w:tabs>
          <w:tab w:val="right" w:leader="dot" w:pos="9350"/>
        </w:tabs>
        <w:rPr>
          <w:rFonts w:eastAsiaTheme="minorEastAsia" w:cstheme="minorBidi"/>
          <w:noProof/>
          <w:sz w:val="22"/>
          <w:szCs w:val="22"/>
          <w:lang w:bidi="ar-SA"/>
        </w:rPr>
      </w:pPr>
      <w:hyperlink w:anchor="_Toc26534639" w:history="1">
        <w:r w:rsidR="00083581" w:rsidRPr="00E104A1">
          <w:rPr>
            <w:rStyle w:val="Hyperlink"/>
            <w:noProof/>
          </w:rPr>
          <w:t>4.1 Stochastic gradient descent vs adaptive optimization methods</w:t>
        </w:r>
        <w:r w:rsidR="00083581">
          <w:rPr>
            <w:noProof/>
            <w:webHidden/>
          </w:rPr>
          <w:tab/>
        </w:r>
        <w:r w:rsidR="00083581">
          <w:rPr>
            <w:noProof/>
            <w:webHidden/>
          </w:rPr>
          <w:fldChar w:fldCharType="begin"/>
        </w:r>
        <w:r w:rsidR="00083581">
          <w:rPr>
            <w:noProof/>
            <w:webHidden/>
          </w:rPr>
          <w:instrText xml:space="preserve"> PAGEREF _Toc26534639 \h </w:instrText>
        </w:r>
        <w:r w:rsidR="00083581">
          <w:rPr>
            <w:noProof/>
            <w:webHidden/>
          </w:rPr>
        </w:r>
        <w:r w:rsidR="00083581">
          <w:rPr>
            <w:noProof/>
            <w:webHidden/>
          </w:rPr>
          <w:fldChar w:fldCharType="separate"/>
        </w:r>
        <w:r w:rsidR="00083581">
          <w:rPr>
            <w:noProof/>
            <w:webHidden/>
          </w:rPr>
          <w:t>160</w:t>
        </w:r>
        <w:r w:rsidR="00083581">
          <w:rPr>
            <w:noProof/>
            <w:webHidden/>
          </w:rPr>
          <w:fldChar w:fldCharType="end"/>
        </w:r>
      </w:hyperlink>
    </w:p>
    <w:p w14:paraId="0224DB51" w14:textId="0D076930" w:rsidR="00083581" w:rsidRDefault="00CE1F3C">
      <w:pPr>
        <w:pStyle w:val="TOC3"/>
        <w:tabs>
          <w:tab w:val="right" w:leader="dot" w:pos="9350"/>
        </w:tabs>
        <w:rPr>
          <w:rFonts w:eastAsiaTheme="minorEastAsia" w:cstheme="minorBidi"/>
          <w:noProof/>
          <w:sz w:val="22"/>
          <w:szCs w:val="22"/>
          <w:lang w:bidi="ar-SA"/>
        </w:rPr>
      </w:pPr>
      <w:hyperlink w:anchor="_Toc26534640" w:history="1">
        <w:r w:rsidR="00083581" w:rsidRPr="00E104A1">
          <w:rPr>
            <w:rStyle w:val="Hyperlink"/>
            <w:noProof/>
          </w:rPr>
          <w:t>4.2 General to specific layer transition of CNN models</w:t>
        </w:r>
        <w:r w:rsidR="00083581">
          <w:rPr>
            <w:noProof/>
            <w:webHidden/>
          </w:rPr>
          <w:tab/>
        </w:r>
        <w:r w:rsidR="00083581">
          <w:rPr>
            <w:noProof/>
            <w:webHidden/>
          </w:rPr>
          <w:fldChar w:fldCharType="begin"/>
        </w:r>
        <w:r w:rsidR="00083581">
          <w:rPr>
            <w:noProof/>
            <w:webHidden/>
          </w:rPr>
          <w:instrText xml:space="preserve"> PAGEREF _Toc26534640 \h </w:instrText>
        </w:r>
        <w:r w:rsidR="00083581">
          <w:rPr>
            <w:noProof/>
            <w:webHidden/>
          </w:rPr>
        </w:r>
        <w:r w:rsidR="00083581">
          <w:rPr>
            <w:noProof/>
            <w:webHidden/>
          </w:rPr>
          <w:fldChar w:fldCharType="separate"/>
        </w:r>
        <w:r w:rsidR="00083581">
          <w:rPr>
            <w:noProof/>
            <w:webHidden/>
          </w:rPr>
          <w:t>164</w:t>
        </w:r>
        <w:r w:rsidR="00083581">
          <w:rPr>
            <w:noProof/>
            <w:webHidden/>
          </w:rPr>
          <w:fldChar w:fldCharType="end"/>
        </w:r>
      </w:hyperlink>
    </w:p>
    <w:p w14:paraId="5AFE738A" w14:textId="05980838" w:rsidR="00083581" w:rsidRDefault="00CE1F3C">
      <w:pPr>
        <w:pStyle w:val="TOC2"/>
        <w:tabs>
          <w:tab w:val="right" w:leader="dot" w:pos="9350"/>
        </w:tabs>
        <w:rPr>
          <w:rFonts w:eastAsiaTheme="minorEastAsia" w:cstheme="minorBidi"/>
          <w:iCs w:val="0"/>
          <w:noProof/>
          <w:sz w:val="22"/>
          <w:szCs w:val="22"/>
          <w:lang w:bidi="ar-SA"/>
        </w:rPr>
      </w:pPr>
      <w:hyperlink w:anchor="_Toc26534641" w:history="1">
        <w:r w:rsidR="00083581" w:rsidRPr="00E104A1">
          <w:rPr>
            <w:rStyle w:val="Hyperlink"/>
            <w:noProof/>
          </w:rPr>
          <w:t>5. Discussion</w:t>
        </w:r>
        <w:r w:rsidR="00083581">
          <w:rPr>
            <w:noProof/>
            <w:webHidden/>
          </w:rPr>
          <w:tab/>
        </w:r>
        <w:r w:rsidR="00083581">
          <w:rPr>
            <w:noProof/>
            <w:webHidden/>
          </w:rPr>
          <w:fldChar w:fldCharType="begin"/>
        </w:r>
        <w:r w:rsidR="00083581">
          <w:rPr>
            <w:noProof/>
            <w:webHidden/>
          </w:rPr>
          <w:instrText xml:space="preserve"> PAGEREF _Toc26534641 \h </w:instrText>
        </w:r>
        <w:r w:rsidR="00083581">
          <w:rPr>
            <w:noProof/>
            <w:webHidden/>
          </w:rPr>
        </w:r>
        <w:r w:rsidR="00083581">
          <w:rPr>
            <w:noProof/>
            <w:webHidden/>
          </w:rPr>
          <w:fldChar w:fldCharType="separate"/>
        </w:r>
        <w:r w:rsidR="00083581">
          <w:rPr>
            <w:noProof/>
            <w:webHidden/>
          </w:rPr>
          <w:t>168</w:t>
        </w:r>
        <w:r w:rsidR="00083581">
          <w:rPr>
            <w:noProof/>
            <w:webHidden/>
          </w:rPr>
          <w:fldChar w:fldCharType="end"/>
        </w:r>
      </w:hyperlink>
    </w:p>
    <w:p w14:paraId="6EA3490D" w14:textId="68AD6654" w:rsidR="00083581" w:rsidRDefault="00CE1F3C">
      <w:pPr>
        <w:pStyle w:val="TOC2"/>
        <w:tabs>
          <w:tab w:val="right" w:leader="dot" w:pos="9350"/>
        </w:tabs>
        <w:rPr>
          <w:rFonts w:eastAsiaTheme="minorEastAsia" w:cstheme="minorBidi"/>
          <w:iCs w:val="0"/>
          <w:noProof/>
          <w:sz w:val="22"/>
          <w:szCs w:val="22"/>
          <w:lang w:bidi="ar-SA"/>
        </w:rPr>
      </w:pPr>
      <w:hyperlink w:anchor="_Toc26534642" w:history="1">
        <w:r w:rsidR="00083581" w:rsidRPr="00E104A1">
          <w:rPr>
            <w:rStyle w:val="Hyperlink"/>
            <w:noProof/>
          </w:rPr>
          <w:t>6. Conclusions</w:t>
        </w:r>
        <w:r w:rsidR="00083581">
          <w:rPr>
            <w:noProof/>
            <w:webHidden/>
          </w:rPr>
          <w:tab/>
        </w:r>
        <w:r w:rsidR="00083581">
          <w:rPr>
            <w:noProof/>
            <w:webHidden/>
          </w:rPr>
          <w:fldChar w:fldCharType="begin"/>
        </w:r>
        <w:r w:rsidR="00083581">
          <w:rPr>
            <w:noProof/>
            <w:webHidden/>
          </w:rPr>
          <w:instrText xml:space="preserve"> PAGEREF _Toc26534642 \h </w:instrText>
        </w:r>
        <w:r w:rsidR="00083581">
          <w:rPr>
            <w:noProof/>
            <w:webHidden/>
          </w:rPr>
        </w:r>
        <w:r w:rsidR="00083581">
          <w:rPr>
            <w:noProof/>
            <w:webHidden/>
          </w:rPr>
          <w:fldChar w:fldCharType="separate"/>
        </w:r>
        <w:r w:rsidR="00083581">
          <w:rPr>
            <w:noProof/>
            <w:webHidden/>
          </w:rPr>
          <w:t>171</w:t>
        </w:r>
        <w:r w:rsidR="00083581">
          <w:rPr>
            <w:noProof/>
            <w:webHidden/>
          </w:rPr>
          <w:fldChar w:fldCharType="end"/>
        </w:r>
      </w:hyperlink>
    </w:p>
    <w:p w14:paraId="0936795A" w14:textId="36AE7703" w:rsidR="00083581" w:rsidRDefault="00CE1F3C">
      <w:pPr>
        <w:pStyle w:val="TOC2"/>
        <w:tabs>
          <w:tab w:val="right" w:leader="dot" w:pos="9350"/>
        </w:tabs>
        <w:rPr>
          <w:rFonts w:eastAsiaTheme="minorEastAsia" w:cstheme="minorBidi"/>
          <w:iCs w:val="0"/>
          <w:noProof/>
          <w:sz w:val="22"/>
          <w:szCs w:val="22"/>
          <w:lang w:bidi="ar-SA"/>
        </w:rPr>
      </w:pPr>
      <w:hyperlink w:anchor="_Toc26534643" w:history="1">
        <w:r w:rsidR="00083581" w:rsidRPr="00E104A1">
          <w:rPr>
            <w:rStyle w:val="Hyperlink"/>
            <w:noProof/>
          </w:rPr>
          <w:t>7. Data and materials availability</w:t>
        </w:r>
        <w:r w:rsidR="00083581">
          <w:rPr>
            <w:noProof/>
            <w:webHidden/>
          </w:rPr>
          <w:tab/>
        </w:r>
        <w:r w:rsidR="00083581">
          <w:rPr>
            <w:noProof/>
            <w:webHidden/>
          </w:rPr>
          <w:fldChar w:fldCharType="begin"/>
        </w:r>
        <w:r w:rsidR="00083581">
          <w:rPr>
            <w:noProof/>
            <w:webHidden/>
          </w:rPr>
          <w:instrText xml:space="preserve"> PAGEREF _Toc26534643 \h </w:instrText>
        </w:r>
        <w:r w:rsidR="00083581">
          <w:rPr>
            <w:noProof/>
            <w:webHidden/>
          </w:rPr>
        </w:r>
        <w:r w:rsidR="00083581">
          <w:rPr>
            <w:noProof/>
            <w:webHidden/>
          </w:rPr>
          <w:fldChar w:fldCharType="separate"/>
        </w:r>
        <w:r w:rsidR="00083581">
          <w:rPr>
            <w:noProof/>
            <w:webHidden/>
          </w:rPr>
          <w:t>172</w:t>
        </w:r>
        <w:r w:rsidR="00083581">
          <w:rPr>
            <w:noProof/>
            <w:webHidden/>
          </w:rPr>
          <w:fldChar w:fldCharType="end"/>
        </w:r>
      </w:hyperlink>
    </w:p>
    <w:p w14:paraId="09DA2E77" w14:textId="176B4298" w:rsidR="00083581" w:rsidRDefault="00CE1F3C">
      <w:pPr>
        <w:pStyle w:val="TOC2"/>
        <w:tabs>
          <w:tab w:val="right" w:leader="dot" w:pos="9350"/>
        </w:tabs>
        <w:rPr>
          <w:rFonts w:eastAsiaTheme="minorEastAsia" w:cstheme="minorBidi"/>
          <w:iCs w:val="0"/>
          <w:noProof/>
          <w:sz w:val="22"/>
          <w:szCs w:val="22"/>
          <w:lang w:bidi="ar-SA"/>
        </w:rPr>
      </w:pPr>
      <w:hyperlink w:anchor="_Toc26534644" w:history="1">
        <w:r w:rsidR="00083581" w:rsidRPr="00E104A1">
          <w:rPr>
            <w:rStyle w:val="Hyperlink"/>
            <w:noProof/>
          </w:rPr>
          <w:t>8. Acknowledgments</w:t>
        </w:r>
        <w:r w:rsidR="00083581">
          <w:rPr>
            <w:noProof/>
            <w:webHidden/>
          </w:rPr>
          <w:tab/>
        </w:r>
        <w:r w:rsidR="00083581">
          <w:rPr>
            <w:noProof/>
            <w:webHidden/>
          </w:rPr>
          <w:fldChar w:fldCharType="begin"/>
        </w:r>
        <w:r w:rsidR="00083581">
          <w:rPr>
            <w:noProof/>
            <w:webHidden/>
          </w:rPr>
          <w:instrText xml:space="preserve"> PAGEREF _Toc26534644 \h </w:instrText>
        </w:r>
        <w:r w:rsidR="00083581">
          <w:rPr>
            <w:noProof/>
            <w:webHidden/>
          </w:rPr>
        </w:r>
        <w:r w:rsidR="00083581">
          <w:rPr>
            <w:noProof/>
            <w:webHidden/>
          </w:rPr>
          <w:fldChar w:fldCharType="separate"/>
        </w:r>
        <w:r w:rsidR="00083581">
          <w:rPr>
            <w:noProof/>
            <w:webHidden/>
          </w:rPr>
          <w:t>173</w:t>
        </w:r>
        <w:r w:rsidR="00083581">
          <w:rPr>
            <w:noProof/>
            <w:webHidden/>
          </w:rPr>
          <w:fldChar w:fldCharType="end"/>
        </w:r>
      </w:hyperlink>
    </w:p>
    <w:p w14:paraId="12354A9F" w14:textId="2F6B8348" w:rsidR="00083581" w:rsidRDefault="00CE1F3C">
      <w:pPr>
        <w:pStyle w:val="TOC2"/>
        <w:tabs>
          <w:tab w:val="right" w:leader="dot" w:pos="9350"/>
        </w:tabs>
        <w:rPr>
          <w:rFonts w:eastAsiaTheme="minorEastAsia" w:cstheme="minorBidi"/>
          <w:iCs w:val="0"/>
          <w:noProof/>
          <w:sz w:val="22"/>
          <w:szCs w:val="22"/>
          <w:lang w:bidi="ar-SA"/>
        </w:rPr>
      </w:pPr>
      <w:hyperlink w:anchor="_Toc26534645" w:history="1">
        <w:r w:rsidR="00083581" w:rsidRPr="00E104A1">
          <w:rPr>
            <w:rStyle w:val="Hyperlink"/>
            <w:noProof/>
          </w:rPr>
          <w:t>References</w:t>
        </w:r>
        <w:r w:rsidR="00083581">
          <w:rPr>
            <w:noProof/>
            <w:webHidden/>
          </w:rPr>
          <w:tab/>
        </w:r>
        <w:r w:rsidR="00083581">
          <w:rPr>
            <w:noProof/>
            <w:webHidden/>
          </w:rPr>
          <w:fldChar w:fldCharType="begin"/>
        </w:r>
        <w:r w:rsidR="00083581">
          <w:rPr>
            <w:noProof/>
            <w:webHidden/>
          </w:rPr>
          <w:instrText xml:space="preserve"> PAGEREF _Toc26534645 \h </w:instrText>
        </w:r>
        <w:r w:rsidR="00083581">
          <w:rPr>
            <w:noProof/>
            <w:webHidden/>
          </w:rPr>
        </w:r>
        <w:r w:rsidR="00083581">
          <w:rPr>
            <w:noProof/>
            <w:webHidden/>
          </w:rPr>
          <w:fldChar w:fldCharType="separate"/>
        </w:r>
        <w:r w:rsidR="00083581">
          <w:rPr>
            <w:noProof/>
            <w:webHidden/>
          </w:rPr>
          <w:t>173</w:t>
        </w:r>
        <w:r w:rsidR="00083581">
          <w:rPr>
            <w:noProof/>
            <w:webHidden/>
          </w:rPr>
          <w:fldChar w:fldCharType="end"/>
        </w:r>
      </w:hyperlink>
    </w:p>
    <w:p w14:paraId="217C82DD" w14:textId="3F5D66B7" w:rsidR="00083581" w:rsidRDefault="00CE1F3C">
      <w:pPr>
        <w:pStyle w:val="TOC1"/>
        <w:tabs>
          <w:tab w:val="right" w:leader="dot" w:pos="9350"/>
        </w:tabs>
        <w:rPr>
          <w:rFonts w:eastAsiaTheme="minorEastAsia" w:cstheme="minorBidi"/>
          <w:bCs w:val="0"/>
          <w:noProof/>
          <w:sz w:val="22"/>
          <w:szCs w:val="22"/>
          <w:lang w:bidi="ar-SA"/>
        </w:rPr>
      </w:pPr>
      <w:hyperlink w:anchor="_Toc26534646" w:history="1">
        <w:r w:rsidR="00083581" w:rsidRPr="00E104A1">
          <w:rPr>
            <w:rStyle w:val="Hyperlink"/>
            <w:noProof/>
          </w:rPr>
          <w:t>Chapter 6: Forecasting Megaelectron-Volt Electrons inside Earth’s Outer Radiation Belt: PreMevE 2.0 Based on Supervised Machine Learning Algorithms</w:t>
        </w:r>
        <w:r w:rsidR="00083581">
          <w:rPr>
            <w:noProof/>
            <w:webHidden/>
          </w:rPr>
          <w:tab/>
        </w:r>
        <w:r w:rsidR="00083581">
          <w:rPr>
            <w:noProof/>
            <w:webHidden/>
          </w:rPr>
          <w:fldChar w:fldCharType="begin"/>
        </w:r>
        <w:r w:rsidR="00083581">
          <w:rPr>
            <w:noProof/>
            <w:webHidden/>
          </w:rPr>
          <w:instrText xml:space="preserve"> PAGEREF _Toc26534646 \h </w:instrText>
        </w:r>
        <w:r w:rsidR="00083581">
          <w:rPr>
            <w:noProof/>
            <w:webHidden/>
          </w:rPr>
        </w:r>
        <w:r w:rsidR="00083581">
          <w:rPr>
            <w:noProof/>
            <w:webHidden/>
          </w:rPr>
          <w:fldChar w:fldCharType="separate"/>
        </w:r>
        <w:r w:rsidR="00083581">
          <w:rPr>
            <w:noProof/>
            <w:webHidden/>
          </w:rPr>
          <w:t>177</w:t>
        </w:r>
        <w:r w:rsidR="00083581">
          <w:rPr>
            <w:noProof/>
            <w:webHidden/>
          </w:rPr>
          <w:fldChar w:fldCharType="end"/>
        </w:r>
      </w:hyperlink>
    </w:p>
    <w:p w14:paraId="40B52E9A" w14:textId="2C25CE1A" w:rsidR="00083581" w:rsidRDefault="00CE1F3C">
      <w:pPr>
        <w:pStyle w:val="TOC2"/>
        <w:tabs>
          <w:tab w:val="right" w:leader="dot" w:pos="9350"/>
        </w:tabs>
        <w:rPr>
          <w:rFonts w:eastAsiaTheme="minorEastAsia" w:cstheme="minorBidi"/>
          <w:iCs w:val="0"/>
          <w:noProof/>
          <w:sz w:val="22"/>
          <w:szCs w:val="22"/>
          <w:lang w:bidi="ar-SA"/>
        </w:rPr>
      </w:pPr>
      <w:hyperlink w:anchor="_Toc26534647" w:history="1">
        <w:r w:rsidR="00083581" w:rsidRPr="00E104A1">
          <w:rPr>
            <w:rStyle w:val="Hyperlink"/>
            <w:noProof/>
          </w:rPr>
          <w:t>Preface.</w:t>
        </w:r>
        <w:r w:rsidR="00083581">
          <w:rPr>
            <w:noProof/>
            <w:webHidden/>
          </w:rPr>
          <w:tab/>
        </w:r>
        <w:r w:rsidR="00083581">
          <w:rPr>
            <w:noProof/>
            <w:webHidden/>
          </w:rPr>
          <w:fldChar w:fldCharType="begin"/>
        </w:r>
        <w:r w:rsidR="00083581">
          <w:rPr>
            <w:noProof/>
            <w:webHidden/>
          </w:rPr>
          <w:instrText xml:space="preserve"> PAGEREF _Toc26534647 \h </w:instrText>
        </w:r>
        <w:r w:rsidR="00083581">
          <w:rPr>
            <w:noProof/>
            <w:webHidden/>
          </w:rPr>
        </w:r>
        <w:r w:rsidR="00083581">
          <w:rPr>
            <w:noProof/>
            <w:webHidden/>
          </w:rPr>
          <w:fldChar w:fldCharType="separate"/>
        </w:r>
        <w:r w:rsidR="00083581">
          <w:rPr>
            <w:noProof/>
            <w:webHidden/>
          </w:rPr>
          <w:t>177</w:t>
        </w:r>
        <w:r w:rsidR="00083581">
          <w:rPr>
            <w:noProof/>
            <w:webHidden/>
          </w:rPr>
          <w:fldChar w:fldCharType="end"/>
        </w:r>
      </w:hyperlink>
    </w:p>
    <w:p w14:paraId="01C9AD61" w14:textId="4403030A" w:rsidR="00083581" w:rsidRDefault="00CE1F3C">
      <w:pPr>
        <w:pStyle w:val="TOC2"/>
        <w:tabs>
          <w:tab w:val="right" w:leader="dot" w:pos="9350"/>
        </w:tabs>
        <w:rPr>
          <w:rFonts w:eastAsiaTheme="minorEastAsia" w:cstheme="minorBidi"/>
          <w:iCs w:val="0"/>
          <w:noProof/>
          <w:sz w:val="22"/>
          <w:szCs w:val="22"/>
          <w:lang w:bidi="ar-SA"/>
        </w:rPr>
      </w:pPr>
      <w:hyperlink w:anchor="_Toc26534648" w:history="1">
        <w:r w:rsidR="00083581" w:rsidRPr="00E104A1">
          <w:rPr>
            <w:rStyle w:val="Hyperlink"/>
            <w:noProof/>
          </w:rPr>
          <w:t>Abstract</w:t>
        </w:r>
        <w:r w:rsidR="00083581">
          <w:rPr>
            <w:noProof/>
            <w:webHidden/>
          </w:rPr>
          <w:tab/>
        </w:r>
        <w:r w:rsidR="00083581">
          <w:rPr>
            <w:noProof/>
            <w:webHidden/>
          </w:rPr>
          <w:fldChar w:fldCharType="begin"/>
        </w:r>
        <w:r w:rsidR="00083581">
          <w:rPr>
            <w:noProof/>
            <w:webHidden/>
          </w:rPr>
          <w:instrText xml:space="preserve"> PAGEREF _Toc26534648 \h </w:instrText>
        </w:r>
        <w:r w:rsidR="00083581">
          <w:rPr>
            <w:noProof/>
            <w:webHidden/>
          </w:rPr>
        </w:r>
        <w:r w:rsidR="00083581">
          <w:rPr>
            <w:noProof/>
            <w:webHidden/>
          </w:rPr>
          <w:fldChar w:fldCharType="separate"/>
        </w:r>
        <w:r w:rsidR="00083581">
          <w:rPr>
            <w:noProof/>
            <w:webHidden/>
          </w:rPr>
          <w:t>179</w:t>
        </w:r>
        <w:r w:rsidR="00083581">
          <w:rPr>
            <w:noProof/>
            <w:webHidden/>
          </w:rPr>
          <w:fldChar w:fldCharType="end"/>
        </w:r>
      </w:hyperlink>
    </w:p>
    <w:p w14:paraId="310D1724" w14:textId="7B81C1D1" w:rsidR="00083581" w:rsidRDefault="00CE1F3C">
      <w:pPr>
        <w:pStyle w:val="TOC2"/>
        <w:tabs>
          <w:tab w:val="right" w:leader="dot" w:pos="9350"/>
        </w:tabs>
        <w:rPr>
          <w:rFonts w:eastAsiaTheme="minorEastAsia" w:cstheme="minorBidi"/>
          <w:iCs w:val="0"/>
          <w:noProof/>
          <w:sz w:val="22"/>
          <w:szCs w:val="22"/>
          <w:lang w:bidi="ar-SA"/>
        </w:rPr>
      </w:pPr>
      <w:hyperlink w:anchor="_Toc26534649" w:history="1">
        <w:r w:rsidR="00083581" w:rsidRPr="00E104A1">
          <w:rPr>
            <w:rStyle w:val="Hyperlink"/>
            <w:noProof/>
          </w:rPr>
          <w:t>1. Introduction</w:t>
        </w:r>
        <w:r w:rsidR="00083581">
          <w:rPr>
            <w:noProof/>
            <w:webHidden/>
          </w:rPr>
          <w:tab/>
        </w:r>
        <w:r w:rsidR="00083581">
          <w:rPr>
            <w:noProof/>
            <w:webHidden/>
          </w:rPr>
          <w:fldChar w:fldCharType="begin"/>
        </w:r>
        <w:r w:rsidR="00083581">
          <w:rPr>
            <w:noProof/>
            <w:webHidden/>
          </w:rPr>
          <w:instrText xml:space="preserve"> PAGEREF _Toc26534649 \h </w:instrText>
        </w:r>
        <w:r w:rsidR="00083581">
          <w:rPr>
            <w:noProof/>
            <w:webHidden/>
          </w:rPr>
        </w:r>
        <w:r w:rsidR="00083581">
          <w:rPr>
            <w:noProof/>
            <w:webHidden/>
          </w:rPr>
          <w:fldChar w:fldCharType="separate"/>
        </w:r>
        <w:r w:rsidR="00083581">
          <w:rPr>
            <w:noProof/>
            <w:webHidden/>
          </w:rPr>
          <w:t>179</w:t>
        </w:r>
        <w:r w:rsidR="00083581">
          <w:rPr>
            <w:noProof/>
            <w:webHidden/>
          </w:rPr>
          <w:fldChar w:fldCharType="end"/>
        </w:r>
      </w:hyperlink>
    </w:p>
    <w:p w14:paraId="5E3D7CB2" w14:textId="259F099C" w:rsidR="00083581" w:rsidRDefault="00CE1F3C">
      <w:pPr>
        <w:pStyle w:val="TOC2"/>
        <w:tabs>
          <w:tab w:val="right" w:leader="dot" w:pos="9350"/>
        </w:tabs>
        <w:rPr>
          <w:rFonts w:eastAsiaTheme="minorEastAsia" w:cstheme="minorBidi"/>
          <w:iCs w:val="0"/>
          <w:noProof/>
          <w:sz w:val="22"/>
          <w:szCs w:val="22"/>
          <w:lang w:bidi="ar-SA"/>
        </w:rPr>
      </w:pPr>
      <w:hyperlink w:anchor="_Toc26534650" w:history="1">
        <w:r w:rsidR="00083581" w:rsidRPr="00E104A1">
          <w:rPr>
            <w:rStyle w:val="Hyperlink"/>
            <w:noProof/>
          </w:rPr>
          <w:t>2. Data and Input Parameters</w:t>
        </w:r>
        <w:r w:rsidR="00083581">
          <w:rPr>
            <w:noProof/>
            <w:webHidden/>
          </w:rPr>
          <w:tab/>
        </w:r>
        <w:r w:rsidR="00083581">
          <w:rPr>
            <w:noProof/>
            <w:webHidden/>
          </w:rPr>
          <w:fldChar w:fldCharType="begin"/>
        </w:r>
        <w:r w:rsidR="00083581">
          <w:rPr>
            <w:noProof/>
            <w:webHidden/>
          </w:rPr>
          <w:instrText xml:space="preserve"> PAGEREF _Toc26534650 \h </w:instrText>
        </w:r>
        <w:r w:rsidR="00083581">
          <w:rPr>
            <w:noProof/>
            <w:webHidden/>
          </w:rPr>
        </w:r>
        <w:r w:rsidR="00083581">
          <w:rPr>
            <w:noProof/>
            <w:webHidden/>
          </w:rPr>
          <w:fldChar w:fldCharType="separate"/>
        </w:r>
        <w:r w:rsidR="00083581">
          <w:rPr>
            <w:noProof/>
            <w:webHidden/>
          </w:rPr>
          <w:t>182</w:t>
        </w:r>
        <w:r w:rsidR="00083581">
          <w:rPr>
            <w:noProof/>
            <w:webHidden/>
          </w:rPr>
          <w:fldChar w:fldCharType="end"/>
        </w:r>
      </w:hyperlink>
    </w:p>
    <w:p w14:paraId="77E5A77B" w14:textId="75190C7C" w:rsidR="00083581" w:rsidRDefault="00CE1F3C">
      <w:pPr>
        <w:pStyle w:val="TOC2"/>
        <w:tabs>
          <w:tab w:val="right" w:leader="dot" w:pos="9350"/>
        </w:tabs>
        <w:rPr>
          <w:rFonts w:eastAsiaTheme="minorEastAsia" w:cstheme="minorBidi"/>
          <w:iCs w:val="0"/>
          <w:noProof/>
          <w:sz w:val="22"/>
          <w:szCs w:val="22"/>
          <w:lang w:bidi="ar-SA"/>
        </w:rPr>
      </w:pPr>
      <w:hyperlink w:anchor="_Toc26534651" w:history="1">
        <w:r w:rsidR="00083581" w:rsidRPr="00E104A1">
          <w:rPr>
            <w:rStyle w:val="Hyperlink"/>
            <w:noProof/>
          </w:rPr>
          <w:t>3. Supervised Learning Algorithms</w:t>
        </w:r>
        <w:r w:rsidR="00083581">
          <w:rPr>
            <w:noProof/>
            <w:webHidden/>
          </w:rPr>
          <w:tab/>
        </w:r>
        <w:r w:rsidR="00083581">
          <w:rPr>
            <w:noProof/>
            <w:webHidden/>
          </w:rPr>
          <w:fldChar w:fldCharType="begin"/>
        </w:r>
        <w:r w:rsidR="00083581">
          <w:rPr>
            <w:noProof/>
            <w:webHidden/>
          </w:rPr>
          <w:instrText xml:space="preserve"> PAGEREF _Toc26534651 \h </w:instrText>
        </w:r>
        <w:r w:rsidR="00083581">
          <w:rPr>
            <w:noProof/>
            <w:webHidden/>
          </w:rPr>
        </w:r>
        <w:r w:rsidR="00083581">
          <w:rPr>
            <w:noProof/>
            <w:webHidden/>
          </w:rPr>
          <w:fldChar w:fldCharType="separate"/>
        </w:r>
        <w:r w:rsidR="00083581">
          <w:rPr>
            <w:noProof/>
            <w:webHidden/>
          </w:rPr>
          <w:t>184</w:t>
        </w:r>
        <w:r w:rsidR="00083581">
          <w:rPr>
            <w:noProof/>
            <w:webHidden/>
          </w:rPr>
          <w:fldChar w:fldCharType="end"/>
        </w:r>
      </w:hyperlink>
    </w:p>
    <w:p w14:paraId="40570C53" w14:textId="4AF67410" w:rsidR="00083581" w:rsidRDefault="00CE1F3C">
      <w:pPr>
        <w:pStyle w:val="TOC3"/>
        <w:tabs>
          <w:tab w:val="right" w:leader="dot" w:pos="9350"/>
        </w:tabs>
        <w:rPr>
          <w:rFonts w:eastAsiaTheme="minorEastAsia" w:cstheme="minorBidi"/>
          <w:noProof/>
          <w:sz w:val="22"/>
          <w:szCs w:val="22"/>
          <w:lang w:bidi="ar-SA"/>
        </w:rPr>
      </w:pPr>
      <w:hyperlink w:anchor="_Toc26534652" w:history="1">
        <w:r w:rsidR="00083581" w:rsidRPr="00E104A1">
          <w:rPr>
            <w:rStyle w:val="Hyperlink"/>
            <w:noProof/>
          </w:rPr>
          <w:t>3.1 Linear Regression</w:t>
        </w:r>
        <w:r w:rsidR="00083581">
          <w:rPr>
            <w:noProof/>
            <w:webHidden/>
          </w:rPr>
          <w:tab/>
        </w:r>
        <w:r w:rsidR="00083581">
          <w:rPr>
            <w:noProof/>
            <w:webHidden/>
          </w:rPr>
          <w:fldChar w:fldCharType="begin"/>
        </w:r>
        <w:r w:rsidR="00083581">
          <w:rPr>
            <w:noProof/>
            <w:webHidden/>
          </w:rPr>
          <w:instrText xml:space="preserve"> PAGEREF _Toc26534652 \h </w:instrText>
        </w:r>
        <w:r w:rsidR="00083581">
          <w:rPr>
            <w:noProof/>
            <w:webHidden/>
          </w:rPr>
        </w:r>
        <w:r w:rsidR="00083581">
          <w:rPr>
            <w:noProof/>
            <w:webHidden/>
          </w:rPr>
          <w:fldChar w:fldCharType="separate"/>
        </w:r>
        <w:r w:rsidR="00083581">
          <w:rPr>
            <w:noProof/>
            <w:webHidden/>
          </w:rPr>
          <w:t>186</w:t>
        </w:r>
        <w:r w:rsidR="00083581">
          <w:rPr>
            <w:noProof/>
            <w:webHidden/>
          </w:rPr>
          <w:fldChar w:fldCharType="end"/>
        </w:r>
      </w:hyperlink>
    </w:p>
    <w:p w14:paraId="6680A2B1" w14:textId="5EFA723E" w:rsidR="00083581" w:rsidRDefault="00CE1F3C">
      <w:pPr>
        <w:pStyle w:val="TOC3"/>
        <w:tabs>
          <w:tab w:val="right" w:leader="dot" w:pos="9350"/>
        </w:tabs>
        <w:rPr>
          <w:rFonts w:eastAsiaTheme="minorEastAsia" w:cstheme="minorBidi"/>
          <w:noProof/>
          <w:sz w:val="22"/>
          <w:szCs w:val="22"/>
          <w:lang w:bidi="ar-SA"/>
        </w:rPr>
      </w:pPr>
      <w:hyperlink w:anchor="_Toc26534653" w:history="1">
        <w:r w:rsidR="00083581" w:rsidRPr="00E104A1">
          <w:rPr>
            <w:rStyle w:val="Hyperlink"/>
            <w:noProof/>
          </w:rPr>
          <w:t>3.2 Multilayer Perceptron</w:t>
        </w:r>
        <w:r w:rsidR="00083581">
          <w:rPr>
            <w:noProof/>
            <w:webHidden/>
          </w:rPr>
          <w:tab/>
        </w:r>
        <w:r w:rsidR="00083581">
          <w:rPr>
            <w:noProof/>
            <w:webHidden/>
          </w:rPr>
          <w:fldChar w:fldCharType="begin"/>
        </w:r>
        <w:r w:rsidR="00083581">
          <w:rPr>
            <w:noProof/>
            <w:webHidden/>
          </w:rPr>
          <w:instrText xml:space="preserve"> PAGEREF _Toc26534653 \h </w:instrText>
        </w:r>
        <w:r w:rsidR="00083581">
          <w:rPr>
            <w:noProof/>
            <w:webHidden/>
          </w:rPr>
        </w:r>
        <w:r w:rsidR="00083581">
          <w:rPr>
            <w:noProof/>
            <w:webHidden/>
          </w:rPr>
          <w:fldChar w:fldCharType="separate"/>
        </w:r>
        <w:r w:rsidR="00083581">
          <w:rPr>
            <w:noProof/>
            <w:webHidden/>
          </w:rPr>
          <w:t>186</w:t>
        </w:r>
        <w:r w:rsidR="00083581">
          <w:rPr>
            <w:noProof/>
            <w:webHidden/>
          </w:rPr>
          <w:fldChar w:fldCharType="end"/>
        </w:r>
      </w:hyperlink>
    </w:p>
    <w:p w14:paraId="6FEE58A2" w14:textId="32862CC8" w:rsidR="00083581" w:rsidRDefault="00CE1F3C">
      <w:pPr>
        <w:pStyle w:val="TOC3"/>
        <w:tabs>
          <w:tab w:val="right" w:leader="dot" w:pos="9350"/>
        </w:tabs>
        <w:rPr>
          <w:rFonts w:eastAsiaTheme="minorEastAsia" w:cstheme="minorBidi"/>
          <w:noProof/>
          <w:sz w:val="22"/>
          <w:szCs w:val="22"/>
          <w:lang w:bidi="ar-SA"/>
        </w:rPr>
      </w:pPr>
      <w:hyperlink w:anchor="_Toc26534654" w:history="1">
        <w:r w:rsidR="00083581" w:rsidRPr="00E104A1">
          <w:rPr>
            <w:rStyle w:val="Hyperlink"/>
            <w:noProof/>
          </w:rPr>
          <w:t>3.3 Convolutional Neural Networks</w:t>
        </w:r>
        <w:r w:rsidR="00083581">
          <w:rPr>
            <w:noProof/>
            <w:webHidden/>
          </w:rPr>
          <w:tab/>
        </w:r>
        <w:r w:rsidR="00083581">
          <w:rPr>
            <w:noProof/>
            <w:webHidden/>
          </w:rPr>
          <w:fldChar w:fldCharType="begin"/>
        </w:r>
        <w:r w:rsidR="00083581">
          <w:rPr>
            <w:noProof/>
            <w:webHidden/>
          </w:rPr>
          <w:instrText xml:space="preserve"> PAGEREF _Toc26534654 \h </w:instrText>
        </w:r>
        <w:r w:rsidR="00083581">
          <w:rPr>
            <w:noProof/>
            <w:webHidden/>
          </w:rPr>
        </w:r>
        <w:r w:rsidR="00083581">
          <w:rPr>
            <w:noProof/>
            <w:webHidden/>
          </w:rPr>
          <w:fldChar w:fldCharType="separate"/>
        </w:r>
        <w:r w:rsidR="00083581">
          <w:rPr>
            <w:noProof/>
            <w:webHidden/>
          </w:rPr>
          <w:t>187</w:t>
        </w:r>
        <w:r w:rsidR="00083581">
          <w:rPr>
            <w:noProof/>
            <w:webHidden/>
          </w:rPr>
          <w:fldChar w:fldCharType="end"/>
        </w:r>
      </w:hyperlink>
    </w:p>
    <w:p w14:paraId="25CB341E" w14:textId="1CAB764A" w:rsidR="00083581" w:rsidRDefault="00CE1F3C">
      <w:pPr>
        <w:pStyle w:val="TOC3"/>
        <w:tabs>
          <w:tab w:val="right" w:leader="dot" w:pos="9350"/>
        </w:tabs>
        <w:rPr>
          <w:rFonts w:eastAsiaTheme="minorEastAsia" w:cstheme="minorBidi"/>
          <w:noProof/>
          <w:sz w:val="22"/>
          <w:szCs w:val="22"/>
          <w:lang w:bidi="ar-SA"/>
        </w:rPr>
      </w:pPr>
      <w:hyperlink w:anchor="_Toc26534655" w:history="1">
        <w:r w:rsidR="00083581" w:rsidRPr="00E104A1">
          <w:rPr>
            <w:rStyle w:val="Hyperlink"/>
            <w:noProof/>
          </w:rPr>
          <w:t>3.4 Long Short-term Memory</w:t>
        </w:r>
        <w:r w:rsidR="00083581">
          <w:rPr>
            <w:noProof/>
            <w:webHidden/>
          </w:rPr>
          <w:tab/>
        </w:r>
        <w:r w:rsidR="00083581">
          <w:rPr>
            <w:noProof/>
            <w:webHidden/>
          </w:rPr>
          <w:fldChar w:fldCharType="begin"/>
        </w:r>
        <w:r w:rsidR="00083581">
          <w:rPr>
            <w:noProof/>
            <w:webHidden/>
          </w:rPr>
          <w:instrText xml:space="preserve"> PAGEREF _Toc26534655 \h </w:instrText>
        </w:r>
        <w:r w:rsidR="00083581">
          <w:rPr>
            <w:noProof/>
            <w:webHidden/>
          </w:rPr>
        </w:r>
        <w:r w:rsidR="00083581">
          <w:rPr>
            <w:noProof/>
            <w:webHidden/>
          </w:rPr>
          <w:fldChar w:fldCharType="separate"/>
        </w:r>
        <w:r w:rsidR="00083581">
          <w:rPr>
            <w:noProof/>
            <w:webHidden/>
          </w:rPr>
          <w:t>189</w:t>
        </w:r>
        <w:r w:rsidR="00083581">
          <w:rPr>
            <w:noProof/>
            <w:webHidden/>
          </w:rPr>
          <w:fldChar w:fldCharType="end"/>
        </w:r>
      </w:hyperlink>
    </w:p>
    <w:p w14:paraId="7F9B20B6" w14:textId="6A1FB73D" w:rsidR="00083581" w:rsidRDefault="00CE1F3C">
      <w:pPr>
        <w:pStyle w:val="TOC2"/>
        <w:tabs>
          <w:tab w:val="right" w:leader="dot" w:pos="9350"/>
        </w:tabs>
        <w:rPr>
          <w:rFonts w:eastAsiaTheme="minorEastAsia" w:cstheme="minorBidi"/>
          <w:iCs w:val="0"/>
          <w:noProof/>
          <w:sz w:val="22"/>
          <w:szCs w:val="22"/>
          <w:lang w:bidi="ar-SA"/>
        </w:rPr>
      </w:pPr>
      <w:hyperlink w:anchor="_Toc26534656" w:history="1">
        <w:r w:rsidR="00083581" w:rsidRPr="00E104A1">
          <w:rPr>
            <w:rStyle w:val="Hyperlink"/>
            <w:noProof/>
          </w:rPr>
          <w:t>4. Testing Algorithms and Model Performance</w:t>
        </w:r>
        <w:r w:rsidR="00083581">
          <w:rPr>
            <w:noProof/>
            <w:webHidden/>
          </w:rPr>
          <w:tab/>
        </w:r>
        <w:r w:rsidR="00083581">
          <w:rPr>
            <w:noProof/>
            <w:webHidden/>
          </w:rPr>
          <w:fldChar w:fldCharType="begin"/>
        </w:r>
        <w:r w:rsidR="00083581">
          <w:rPr>
            <w:noProof/>
            <w:webHidden/>
          </w:rPr>
          <w:instrText xml:space="preserve"> PAGEREF _Toc26534656 \h </w:instrText>
        </w:r>
        <w:r w:rsidR="00083581">
          <w:rPr>
            <w:noProof/>
            <w:webHidden/>
          </w:rPr>
        </w:r>
        <w:r w:rsidR="00083581">
          <w:rPr>
            <w:noProof/>
            <w:webHidden/>
          </w:rPr>
          <w:fldChar w:fldCharType="separate"/>
        </w:r>
        <w:r w:rsidR="00083581">
          <w:rPr>
            <w:noProof/>
            <w:webHidden/>
          </w:rPr>
          <w:t>189</w:t>
        </w:r>
        <w:r w:rsidR="00083581">
          <w:rPr>
            <w:noProof/>
            <w:webHidden/>
          </w:rPr>
          <w:fldChar w:fldCharType="end"/>
        </w:r>
      </w:hyperlink>
    </w:p>
    <w:p w14:paraId="7D42E0B2" w14:textId="49C345B0" w:rsidR="00083581" w:rsidRDefault="00CE1F3C">
      <w:pPr>
        <w:pStyle w:val="TOC3"/>
        <w:tabs>
          <w:tab w:val="right" w:leader="dot" w:pos="9350"/>
        </w:tabs>
        <w:rPr>
          <w:rFonts w:eastAsiaTheme="minorEastAsia" w:cstheme="minorBidi"/>
          <w:noProof/>
          <w:sz w:val="22"/>
          <w:szCs w:val="22"/>
          <w:lang w:bidi="ar-SA"/>
        </w:rPr>
      </w:pPr>
      <w:hyperlink w:anchor="_Toc26534657" w:history="1">
        <w:r w:rsidR="00083581" w:rsidRPr="00E104A1">
          <w:rPr>
            <w:rStyle w:val="Hyperlink"/>
            <w:noProof/>
          </w:rPr>
          <w:t>4.1 Test Input Parameter Combinations</w:t>
        </w:r>
        <w:r w:rsidR="00083581">
          <w:rPr>
            <w:noProof/>
            <w:webHidden/>
          </w:rPr>
          <w:tab/>
        </w:r>
        <w:r w:rsidR="00083581">
          <w:rPr>
            <w:noProof/>
            <w:webHidden/>
          </w:rPr>
          <w:fldChar w:fldCharType="begin"/>
        </w:r>
        <w:r w:rsidR="00083581">
          <w:rPr>
            <w:noProof/>
            <w:webHidden/>
          </w:rPr>
          <w:instrText xml:space="preserve"> PAGEREF _Toc26534657 \h </w:instrText>
        </w:r>
        <w:r w:rsidR="00083581">
          <w:rPr>
            <w:noProof/>
            <w:webHidden/>
          </w:rPr>
        </w:r>
        <w:r w:rsidR="00083581">
          <w:rPr>
            <w:noProof/>
            <w:webHidden/>
          </w:rPr>
          <w:fldChar w:fldCharType="separate"/>
        </w:r>
        <w:r w:rsidR="00083581">
          <w:rPr>
            <w:noProof/>
            <w:webHidden/>
          </w:rPr>
          <w:t>190</w:t>
        </w:r>
        <w:r w:rsidR="00083581">
          <w:rPr>
            <w:noProof/>
            <w:webHidden/>
          </w:rPr>
          <w:fldChar w:fldCharType="end"/>
        </w:r>
      </w:hyperlink>
    </w:p>
    <w:p w14:paraId="09B3132A" w14:textId="4C66A084" w:rsidR="00083581" w:rsidRDefault="00CE1F3C">
      <w:pPr>
        <w:pStyle w:val="TOC3"/>
        <w:tabs>
          <w:tab w:val="right" w:leader="dot" w:pos="9350"/>
        </w:tabs>
        <w:rPr>
          <w:rFonts w:eastAsiaTheme="minorEastAsia" w:cstheme="minorBidi"/>
          <w:noProof/>
          <w:sz w:val="22"/>
          <w:szCs w:val="22"/>
          <w:lang w:bidi="ar-SA"/>
        </w:rPr>
      </w:pPr>
      <w:hyperlink w:anchor="_Toc26534658" w:history="1">
        <w:r w:rsidR="00083581" w:rsidRPr="00E104A1">
          <w:rPr>
            <w:rStyle w:val="Hyperlink"/>
            <w:noProof/>
          </w:rPr>
          <w:t>4.2 Model Selection and Metrics Evaluation</w:t>
        </w:r>
        <w:r w:rsidR="00083581">
          <w:rPr>
            <w:noProof/>
            <w:webHidden/>
          </w:rPr>
          <w:tab/>
        </w:r>
        <w:r w:rsidR="00083581">
          <w:rPr>
            <w:noProof/>
            <w:webHidden/>
          </w:rPr>
          <w:fldChar w:fldCharType="begin"/>
        </w:r>
        <w:r w:rsidR="00083581">
          <w:rPr>
            <w:noProof/>
            <w:webHidden/>
          </w:rPr>
          <w:instrText xml:space="preserve"> PAGEREF _Toc26534658 \h </w:instrText>
        </w:r>
        <w:r w:rsidR="00083581">
          <w:rPr>
            <w:noProof/>
            <w:webHidden/>
          </w:rPr>
        </w:r>
        <w:r w:rsidR="00083581">
          <w:rPr>
            <w:noProof/>
            <w:webHidden/>
          </w:rPr>
          <w:fldChar w:fldCharType="separate"/>
        </w:r>
        <w:r w:rsidR="00083581">
          <w:rPr>
            <w:noProof/>
            <w:webHidden/>
          </w:rPr>
          <w:t>193</w:t>
        </w:r>
        <w:r w:rsidR="00083581">
          <w:rPr>
            <w:noProof/>
            <w:webHidden/>
          </w:rPr>
          <w:fldChar w:fldCharType="end"/>
        </w:r>
      </w:hyperlink>
    </w:p>
    <w:p w14:paraId="35F2E788" w14:textId="7B163A30" w:rsidR="00083581" w:rsidRDefault="00CE1F3C">
      <w:pPr>
        <w:pStyle w:val="TOC2"/>
        <w:tabs>
          <w:tab w:val="right" w:leader="dot" w:pos="9350"/>
        </w:tabs>
        <w:rPr>
          <w:rFonts w:eastAsiaTheme="minorEastAsia" w:cstheme="minorBidi"/>
          <w:iCs w:val="0"/>
          <w:noProof/>
          <w:sz w:val="22"/>
          <w:szCs w:val="22"/>
          <w:lang w:bidi="ar-SA"/>
        </w:rPr>
      </w:pPr>
      <w:hyperlink w:anchor="_Toc26534659" w:history="1">
        <w:r w:rsidR="00083581" w:rsidRPr="00E104A1">
          <w:rPr>
            <w:rStyle w:val="Hyperlink"/>
            <w:noProof/>
          </w:rPr>
          <w:t>5. Detailed Predictions and Discussions</w:t>
        </w:r>
        <w:r w:rsidR="00083581">
          <w:rPr>
            <w:noProof/>
            <w:webHidden/>
          </w:rPr>
          <w:tab/>
        </w:r>
        <w:r w:rsidR="00083581">
          <w:rPr>
            <w:noProof/>
            <w:webHidden/>
          </w:rPr>
          <w:fldChar w:fldCharType="begin"/>
        </w:r>
        <w:r w:rsidR="00083581">
          <w:rPr>
            <w:noProof/>
            <w:webHidden/>
          </w:rPr>
          <w:instrText xml:space="preserve"> PAGEREF _Toc26534659 \h </w:instrText>
        </w:r>
        <w:r w:rsidR="00083581">
          <w:rPr>
            <w:noProof/>
            <w:webHidden/>
          </w:rPr>
        </w:r>
        <w:r w:rsidR="00083581">
          <w:rPr>
            <w:noProof/>
            <w:webHidden/>
          </w:rPr>
          <w:fldChar w:fldCharType="separate"/>
        </w:r>
        <w:r w:rsidR="00083581">
          <w:rPr>
            <w:noProof/>
            <w:webHidden/>
          </w:rPr>
          <w:t>196</w:t>
        </w:r>
        <w:r w:rsidR="00083581">
          <w:rPr>
            <w:noProof/>
            <w:webHidden/>
          </w:rPr>
          <w:fldChar w:fldCharType="end"/>
        </w:r>
      </w:hyperlink>
    </w:p>
    <w:p w14:paraId="42A92BDD" w14:textId="7A8F79A3" w:rsidR="00083581" w:rsidRDefault="00CE1F3C">
      <w:pPr>
        <w:pStyle w:val="TOC2"/>
        <w:tabs>
          <w:tab w:val="right" w:leader="dot" w:pos="9350"/>
        </w:tabs>
        <w:rPr>
          <w:rFonts w:eastAsiaTheme="minorEastAsia" w:cstheme="minorBidi"/>
          <w:iCs w:val="0"/>
          <w:noProof/>
          <w:sz w:val="22"/>
          <w:szCs w:val="22"/>
          <w:lang w:bidi="ar-SA"/>
        </w:rPr>
      </w:pPr>
      <w:hyperlink w:anchor="_Toc26534660" w:history="1">
        <w:r w:rsidR="00083581" w:rsidRPr="00E104A1">
          <w:rPr>
            <w:rStyle w:val="Hyperlink"/>
            <w:noProof/>
          </w:rPr>
          <w:t>6. Summary and Conclusions</w:t>
        </w:r>
        <w:r w:rsidR="00083581">
          <w:rPr>
            <w:noProof/>
            <w:webHidden/>
          </w:rPr>
          <w:tab/>
        </w:r>
        <w:r w:rsidR="00083581">
          <w:rPr>
            <w:noProof/>
            <w:webHidden/>
          </w:rPr>
          <w:fldChar w:fldCharType="begin"/>
        </w:r>
        <w:r w:rsidR="00083581">
          <w:rPr>
            <w:noProof/>
            <w:webHidden/>
          </w:rPr>
          <w:instrText xml:space="preserve"> PAGEREF _Toc26534660 \h </w:instrText>
        </w:r>
        <w:r w:rsidR="00083581">
          <w:rPr>
            <w:noProof/>
            <w:webHidden/>
          </w:rPr>
        </w:r>
        <w:r w:rsidR="00083581">
          <w:rPr>
            <w:noProof/>
            <w:webHidden/>
          </w:rPr>
          <w:fldChar w:fldCharType="separate"/>
        </w:r>
        <w:r w:rsidR="00083581">
          <w:rPr>
            <w:noProof/>
            <w:webHidden/>
          </w:rPr>
          <w:t>200</w:t>
        </w:r>
        <w:r w:rsidR="00083581">
          <w:rPr>
            <w:noProof/>
            <w:webHidden/>
          </w:rPr>
          <w:fldChar w:fldCharType="end"/>
        </w:r>
      </w:hyperlink>
    </w:p>
    <w:p w14:paraId="6F04A6DB" w14:textId="67B2D96E" w:rsidR="00083581" w:rsidRDefault="00CE1F3C">
      <w:pPr>
        <w:pStyle w:val="TOC2"/>
        <w:tabs>
          <w:tab w:val="right" w:leader="dot" w:pos="9350"/>
        </w:tabs>
        <w:rPr>
          <w:rFonts w:eastAsiaTheme="minorEastAsia" w:cstheme="minorBidi"/>
          <w:iCs w:val="0"/>
          <w:noProof/>
          <w:sz w:val="22"/>
          <w:szCs w:val="22"/>
          <w:lang w:bidi="ar-SA"/>
        </w:rPr>
      </w:pPr>
      <w:hyperlink w:anchor="_Toc26534661" w:history="1">
        <w:r w:rsidR="00083581" w:rsidRPr="00E104A1">
          <w:rPr>
            <w:rStyle w:val="Hyperlink"/>
            <w:noProof/>
          </w:rPr>
          <w:t>Figures</w:t>
        </w:r>
        <w:r w:rsidR="00083581">
          <w:rPr>
            <w:noProof/>
            <w:webHidden/>
          </w:rPr>
          <w:tab/>
        </w:r>
        <w:r w:rsidR="00083581">
          <w:rPr>
            <w:noProof/>
            <w:webHidden/>
          </w:rPr>
          <w:fldChar w:fldCharType="begin"/>
        </w:r>
        <w:r w:rsidR="00083581">
          <w:rPr>
            <w:noProof/>
            <w:webHidden/>
          </w:rPr>
          <w:instrText xml:space="preserve"> PAGEREF _Toc26534661 \h </w:instrText>
        </w:r>
        <w:r w:rsidR="00083581">
          <w:rPr>
            <w:noProof/>
            <w:webHidden/>
          </w:rPr>
        </w:r>
        <w:r w:rsidR="00083581">
          <w:rPr>
            <w:noProof/>
            <w:webHidden/>
          </w:rPr>
          <w:fldChar w:fldCharType="separate"/>
        </w:r>
        <w:r w:rsidR="00083581">
          <w:rPr>
            <w:noProof/>
            <w:webHidden/>
          </w:rPr>
          <w:t>202</w:t>
        </w:r>
        <w:r w:rsidR="00083581">
          <w:rPr>
            <w:noProof/>
            <w:webHidden/>
          </w:rPr>
          <w:fldChar w:fldCharType="end"/>
        </w:r>
      </w:hyperlink>
    </w:p>
    <w:p w14:paraId="20821D24" w14:textId="53530197" w:rsidR="00083581" w:rsidRDefault="00CE1F3C">
      <w:pPr>
        <w:pStyle w:val="TOC2"/>
        <w:tabs>
          <w:tab w:val="right" w:leader="dot" w:pos="9350"/>
        </w:tabs>
        <w:rPr>
          <w:rFonts w:eastAsiaTheme="minorEastAsia" w:cstheme="minorBidi"/>
          <w:iCs w:val="0"/>
          <w:noProof/>
          <w:sz w:val="22"/>
          <w:szCs w:val="22"/>
          <w:lang w:bidi="ar-SA"/>
        </w:rPr>
      </w:pPr>
      <w:hyperlink w:anchor="_Toc26534662" w:history="1">
        <w:r w:rsidR="00083581" w:rsidRPr="00E104A1">
          <w:rPr>
            <w:rStyle w:val="Hyperlink"/>
            <w:noProof/>
          </w:rPr>
          <w:t>Tables</w:t>
        </w:r>
        <w:r w:rsidR="00083581">
          <w:rPr>
            <w:noProof/>
            <w:webHidden/>
          </w:rPr>
          <w:tab/>
        </w:r>
        <w:r w:rsidR="00083581">
          <w:rPr>
            <w:noProof/>
            <w:webHidden/>
          </w:rPr>
          <w:fldChar w:fldCharType="begin"/>
        </w:r>
        <w:r w:rsidR="00083581">
          <w:rPr>
            <w:noProof/>
            <w:webHidden/>
          </w:rPr>
          <w:instrText xml:space="preserve"> PAGEREF _Toc26534662 \h </w:instrText>
        </w:r>
        <w:r w:rsidR="00083581">
          <w:rPr>
            <w:noProof/>
            <w:webHidden/>
          </w:rPr>
        </w:r>
        <w:r w:rsidR="00083581">
          <w:rPr>
            <w:noProof/>
            <w:webHidden/>
          </w:rPr>
          <w:fldChar w:fldCharType="separate"/>
        </w:r>
        <w:r w:rsidR="00083581">
          <w:rPr>
            <w:noProof/>
            <w:webHidden/>
          </w:rPr>
          <w:t>216</w:t>
        </w:r>
        <w:r w:rsidR="00083581">
          <w:rPr>
            <w:noProof/>
            <w:webHidden/>
          </w:rPr>
          <w:fldChar w:fldCharType="end"/>
        </w:r>
      </w:hyperlink>
    </w:p>
    <w:p w14:paraId="3AA4B20A" w14:textId="7CF57AAC" w:rsidR="00083581" w:rsidRDefault="00CE1F3C">
      <w:pPr>
        <w:pStyle w:val="TOC2"/>
        <w:tabs>
          <w:tab w:val="right" w:leader="dot" w:pos="9350"/>
        </w:tabs>
        <w:rPr>
          <w:rFonts w:eastAsiaTheme="minorEastAsia" w:cstheme="minorBidi"/>
          <w:iCs w:val="0"/>
          <w:noProof/>
          <w:sz w:val="22"/>
          <w:szCs w:val="22"/>
          <w:lang w:bidi="ar-SA"/>
        </w:rPr>
      </w:pPr>
      <w:hyperlink w:anchor="_Toc26534663" w:history="1">
        <w:r w:rsidR="00083581" w:rsidRPr="00E104A1">
          <w:rPr>
            <w:rStyle w:val="Hyperlink"/>
            <w:noProof/>
          </w:rPr>
          <w:t>Acknowledgments, Samples, and Data</w:t>
        </w:r>
        <w:r w:rsidR="00083581">
          <w:rPr>
            <w:noProof/>
            <w:webHidden/>
          </w:rPr>
          <w:tab/>
        </w:r>
        <w:r w:rsidR="00083581">
          <w:rPr>
            <w:noProof/>
            <w:webHidden/>
          </w:rPr>
          <w:fldChar w:fldCharType="begin"/>
        </w:r>
        <w:r w:rsidR="00083581">
          <w:rPr>
            <w:noProof/>
            <w:webHidden/>
          </w:rPr>
          <w:instrText xml:space="preserve"> PAGEREF _Toc26534663 \h </w:instrText>
        </w:r>
        <w:r w:rsidR="00083581">
          <w:rPr>
            <w:noProof/>
            <w:webHidden/>
          </w:rPr>
        </w:r>
        <w:r w:rsidR="00083581">
          <w:rPr>
            <w:noProof/>
            <w:webHidden/>
          </w:rPr>
          <w:fldChar w:fldCharType="separate"/>
        </w:r>
        <w:r w:rsidR="00083581">
          <w:rPr>
            <w:noProof/>
            <w:webHidden/>
          </w:rPr>
          <w:t>219</w:t>
        </w:r>
        <w:r w:rsidR="00083581">
          <w:rPr>
            <w:noProof/>
            <w:webHidden/>
          </w:rPr>
          <w:fldChar w:fldCharType="end"/>
        </w:r>
      </w:hyperlink>
    </w:p>
    <w:p w14:paraId="5B4EF9CE" w14:textId="57A78656" w:rsidR="00083581" w:rsidRDefault="00CE1F3C">
      <w:pPr>
        <w:pStyle w:val="TOC2"/>
        <w:tabs>
          <w:tab w:val="right" w:leader="dot" w:pos="9350"/>
        </w:tabs>
        <w:rPr>
          <w:rFonts w:eastAsiaTheme="minorEastAsia" w:cstheme="minorBidi"/>
          <w:iCs w:val="0"/>
          <w:noProof/>
          <w:sz w:val="22"/>
          <w:szCs w:val="22"/>
          <w:lang w:bidi="ar-SA"/>
        </w:rPr>
      </w:pPr>
      <w:hyperlink w:anchor="_Toc26534664" w:history="1">
        <w:r w:rsidR="00083581" w:rsidRPr="00E104A1">
          <w:rPr>
            <w:rStyle w:val="Hyperlink"/>
            <w:noProof/>
          </w:rPr>
          <w:t>References</w:t>
        </w:r>
        <w:r w:rsidR="00083581">
          <w:rPr>
            <w:noProof/>
            <w:webHidden/>
          </w:rPr>
          <w:tab/>
        </w:r>
        <w:r w:rsidR="00083581">
          <w:rPr>
            <w:noProof/>
            <w:webHidden/>
          </w:rPr>
          <w:fldChar w:fldCharType="begin"/>
        </w:r>
        <w:r w:rsidR="00083581">
          <w:rPr>
            <w:noProof/>
            <w:webHidden/>
          </w:rPr>
          <w:instrText xml:space="preserve"> PAGEREF _Toc26534664 \h </w:instrText>
        </w:r>
        <w:r w:rsidR="00083581">
          <w:rPr>
            <w:noProof/>
            <w:webHidden/>
          </w:rPr>
        </w:r>
        <w:r w:rsidR="00083581">
          <w:rPr>
            <w:noProof/>
            <w:webHidden/>
          </w:rPr>
          <w:fldChar w:fldCharType="separate"/>
        </w:r>
        <w:r w:rsidR="00083581">
          <w:rPr>
            <w:noProof/>
            <w:webHidden/>
          </w:rPr>
          <w:t>219</w:t>
        </w:r>
        <w:r w:rsidR="00083581">
          <w:rPr>
            <w:noProof/>
            <w:webHidden/>
          </w:rPr>
          <w:fldChar w:fldCharType="end"/>
        </w:r>
      </w:hyperlink>
    </w:p>
    <w:p w14:paraId="7FD23B4F" w14:textId="62FB88CF" w:rsidR="00083581" w:rsidRDefault="00CE1F3C">
      <w:pPr>
        <w:pStyle w:val="TOC1"/>
        <w:tabs>
          <w:tab w:val="right" w:leader="dot" w:pos="9350"/>
        </w:tabs>
        <w:rPr>
          <w:rFonts w:eastAsiaTheme="minorEastAsia" w:cstheme="minorBidi"/>
          <w:bCs w:val="0"/>
          <w:noProof/>
          <w:sz w:val="22"/>
          <w:szCs w:val="22"/>
          <w:lang w:bidi="ar-SA"/>
        </w:rPr>
      </w:pPr>
      <w:hyperlink w:anchor="_Toc26534665" w:history="1">
        <w:r w:rsidR="00083581" w:rsidRPr="00E104A1">
          <w:rPr>
            <w:rStyle w:val="Hyperlink"/>
            <w:noProof/>
          </w:rPr>
          <w:t>Conclusions and final remarks</w:t>
        </w:r>
        <w:r w:rsidR="00083581">
          <w:rPr>
            <w:noProof/>
            <w:webHidden/>
          </w:rPr>
          <w:tab/>
        </w:r>
        <w:r w:rsidR="00083581">
          <w:rPr>
            <w:noProof/>
            <w:webHidden/>
          </w:rPr>
          <w:fldChar w:fldCharType="begin"/>
        </w:r>
        <w:r w:rsidR="00083581">
          <w:rPr>
            <w:noProof/>
            <w:webHidden/>
          </w:rPr>
          <w:instrText xml:space="preserve"> PAGEREF _Toc26534665 \h </w:instrText>
        </w:r>
        <w:r w:rsidR="00083581">
          <w:rPr>
            <w:noProof/>
            <w:webHidden/>
          </w:rPr>
        </w:r>
        <w:r w:rsidR="00083581">
          <w:rPr>
            <w:noProof/>
            <w:webHidden/>
          </w:rPr>
          <w:fldChar w:fldCharType="separate"/>
        </w:r>
        <w:r w:rsidR="00083581">
          <w:rPr>
            <w:noProof/>
            <w:webHidden/>
          </w:rPr>
          <w:t>224</w:t>
        </w:r>
        <w:r w:rsidR="00083581">
          <w:rPr>
            <w:noProof/>
            <w:webHidden/>
          </w:rPr>
          <w:fldChar w:fldCharType="end"/>
        </w:r>
      </w:hyperlink>
    </w:p>
    <w:p w14:paraId="152BA194" w14:textId="1578FA13" w:rsidR="00DA1971" w:rsidRDefault="004F40DE" w:rsidP="00DA1971">
      <w:r>
        <w:rPr>
          <w:rFonts w:cstheme="minorHAnsi"/>
          <w:b/>
          <w:bCs/>
          <w:sz w:val="20"/>
          <w:szCs w:val="20"/>
        </w:rPr>
        <w:fldChar w:fldCharType="end"/>
      </w:r>
      <w:r w:rsidR="00C92079">
        <w:t xml:space="preserve"> </w:t>
      </w:r>
    </w:p>
    <w:p w14:paraId="45E26A61" w14:textId="77777777" w:rsidR="00775701" w:rsidRDefault="00DA1971" w:rsidP="00C6706E">
      <w:pPr>
        <w:pStyle w:val="Heading1"/>
      </w:pPr>
      <w:r>
        <w:br w:type="page"/>
      </w:r>
      <w:bookmarkStart w:id="3" w:name="_Toc310579465"/>
      <w:bookmarkStart w:id="4" w:name="_Toc26534558"/>
      <w:r>
        <w:lastRenderedPageBreak/>
        <w:t>List of Tables</w:t>
      </w:r>
      <w:bookmarkEnd w:id="3"/>
      <w:bookmarkEnd w:id="4"/>
    </w:p>
    <w:p w14:paraId="1A17ED3F" w14:textId="77777777" w:rsidR="009C4FEF" w:rsidRDefault="009C4FEF" w:rsidP="009C4FEF">
      <w:pPr>
        <w:pStyle w:val="NoSpacing"/>
      </w:pPr>
    </w:p>
    <w:p w14:paraId="12A3F6FE" w14:textId="116CB488" w:rsidR="00083581" w:rsidRDefault="00AA4AED">
      <w:pPr>
        <w:pStyle w:val="TableofFigures"/>
        <w:tabs>
          <w:tab w:val="right" w:leader="dot" w:pos="9350"/>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26534538" w:history="1">
        <w:r w:rsidR="00083581" w:rsidRPr="00B33743">
          <w:rPr>
            <w:rStyle w:val="Hyperlink"/>
            <w:noProof/>
          </w:rPr>
          <w:t>Table 1: Summary of test accuracy for the examples in this study.</w:t>
        </w:r>
        <w:r w:rsidR="00083581">
          <w:rPr>
            <w:noProof/>
            <w:webHidden/>
          </w:rPr>
          <w:tab/>
        </w:r>
        <w:r w:rsidR="00083581">
          <w:rPr>
            <w:noProof/>
            <w:webHidden/>
          </w:rPr>
          <w:fldChar w:fldCharType="begin"/>
        </w:r>
        <w:r w:rsidR="00083581">
          <w:rPr>
            <w:noProof/>
            <w:webHidden/>
          </w:rPr>
          <w:instrText xml:space="preserve"> PAGEREF _Toc26534538 \h </w:instrText>
        </w:r>
        <w:r w:rsidR="00083581">
          <w:rPr>
            <w:noProof/>
            <w:webHidden/>
          </w:rPr>
        </w:r>
        <w:r w:rsidR="00083581">
          <w:rPr>
            <w:noProof/>
            <w:webHidden/>
          </w:rPr>
          <w:fldChar w:fldCharType="separate"/>
        </w:r>
        <w:r w:rsidR="00083581">
          <w:rPr>
            <w:noProof/>
            <w:webHidden/>
          </w:rPr>
          <w:t>55</w:t>
        </w:r>
        <w:r w:rsidR="00083581">
          <w:rPr>
            <w:noProof/>
            <w:webHidden/>
          </w:rPr>
          <w:fldChar w:fldCharType="end"/>
        </w:r>
      </w:hyperlink>
    </w:p>
    <w:p w14:paraId="3747208D" w14:textId="7B8BB061" w:rsidR="00083581" w:rsidRDefault="00CE1F3C">
      <w:pPr>
        <w:pStyle w:val="TableofFigures"/>
        <w:tabs>
          <w:tab w:val="right" w:leader="dot" w:pos="9350"/>
        </w:tabs>
        <w:rPr>
          <w:rFonts w:eastAsiaTheme="minorEastAsia" w:cstheme="minorBidi"/>
          <w:noProof/>
          <w:sz w:val="22"/>
          <w:szCs w:val="22"/>
          <w:lang w:bidi="ar-SA"/>
        </w:rPr>
      </w:pPr>
      <w:hyperlink w:anchor="_Toc26534539" w:history="1">
        <w:r w:rsidR="00083581" w:rsidRPr="00B33743">
          <w:rPr>
            <w:rStyle w:val="Hyperlink"/>
            <w:rFonts w:ascii="Times New Roman" w:hAnsi="Times New Roman"/>
            <w:noProof/>
          </w:rPr>
          <w:t>Table 2: Class number assigned to each lithofacies in the core used in this study. Highlighted classes 13-14 and 16-17 exhibited similar lithology and appearance so combined to into two classes instead of four. During training, the training set data is further split: 10% are randomly selected to be part of a validation set and 5% are randomly assigned as training-test set. The proportion used for validation and test splitting are commonly dependent on the number of samples available and the type of machine learning model being trained. CNN models usually improve with more examples; therefore, we selected a smaller percentage to be part of the validation and test sets. Asterisks (*) indicate classes that were augmented using horizontally flipping the images. The last column of this table (Test set) comprises the selected images described in Figure 3 and is the test set used for further analysis in this paper. Classes with less than 30 original images were not used in this study (Modified from  Suriamin and Pranter, 2018).</w:t>
        </w:r>
        <w:r w:rsidR="00083581">
          <w:rPr>
            <w:noProof/>
            <w:webHidden/>
          </w:rPr>
          <w:tab/>
        </w:r>
        <w:r w:rsidR="00083581">
          <w:rPr>
            <w:noProof/>
            <w:webHidden/>
          </w:rPr>
          <w:fldChar w:fldCharType="begin"/>
        </w:r>
        <w:r w:rsidR="00083581">
          <w:rPr>
            <w:noProof/>
            <w:webHidden/>
          </w:rPr>
          <w:instrText xml:space="preserve"> PAGEREF _Toc26534539 \h </w:instrText>
        </w:r>
        <w:r w:rsidR="00083581">
          <w:rPr>
            <w:noProof/>
            <w:webHidden/>
          </w:rPr>
        </w:r>
        <w:r w:rsidR="00083581">
          <w:rPr>
            <w:noProof/>
            <w:webHidden/>
          </w:rPr>
          <w:fldChar w:fldCharType="separate"/>
        </w:r>
        <w:r w:rsidR="00083581">
          <w:rPr>
            <w:noProof/>
            <w:webHidden/>
          </w:rPr>
          <w:t>69</w:t>
        </w:r>
        <w:r w:rsidR="00083581">
          <w:rPr>
            <w:noProof/>
            <w:webHidden/>
          </w:rPr>
          <w:fldChar w:fldCharType="end"/>
        </w:r>
      </w:hyperlink>
    </w:p>
    <w:p w14:paraId="3EB8967E" w14:textId="49FAF6A9" w:rsidR="00083581" w:rsidRDefault="00CE1F3C">
      <w:pPr>
        <w:pStyle w:val="TableofFigures"/>
        <w:tabs>
          <w:tab w:val="right" w:leader="dot" w:pos="9350"/>
        </w:tabs>
        <w:rPr>
          <w:rFonts w:eastAsiaTheme="minorEastAsia" w:cstheme="minorBidi"/>
          <w:noProof/>
          <w:sz w:val="22"/>
          <w:szCs w:val="22"/>
          <w:lang w:bidi="ar-SA"/>
        </w:rPr>
      </w:pPr>
      <w:hyperlink w:anchor="_Toc26534540" w:history="1">
        <w:r w:rsidR="00083581" w:rsidRPr="00B33743">
          <w:rPr>
            <w:rStyle w:val="Hyperlink"/>
            <w:noProof/>
          </w:rPr>
          <w:t>Table 3: Training-test set data results for the different models used for transfer learning.</w:t>
        </w:r>
        <w:r w:rsidR="00083581">
          <w:rPr>
            <w:noProof/>
            <w:webHidden/>
          </w:rPr>
          <w:tab/>
        </w:r>
        <w:r w:rsidR="00083581">
          <w:rPr>
            <w:noProof/>
            <w:webHidden/>
          </w:rPr>
          <w:fldChar w:fldCharType="begin"/>
        </w:r>
        <w:r w:rsidR="00083581">
          <w:rPr>
            <w:noProof/>
            <w:webHidden/>
          </w:rPr>
          <w:instrText xml:space="preserve"> PAGEREF _Toc26534540 \h </w:instrText>
        </w:r>
        <w:r w:rsidR="00083581">
          <w:rPr>
            <w:noProof/>
            <w:webHidden/>
          </w:rPr>
        </w:r>
        <w:r w:rsidR="00083581">
          <w:rPr>
            <w:noProof/>
            <w:webHidden/>
          </w:rPr>
          <w:fldChar w:fldCharType="separate"/>
        </w:r>
        <w:r w:rsidR="00083581">
          <w:rPr>
            <w:noProof/>
            <w:webHidden/>
          </w:rPr>
          <w:t>74</w:t>
        </w:r>
        <w:r w:rsidR="00083581">
          <w:rPr>
            <w:noProof/>
            <w:webHidden/>
          </w:rPr>
          <w:fldChar w:fldCharType="end"/>
        </w:r>
      </w:hyperlink>
    </w:p>
    <w:p w14:paraId="4A722E5F" w14:textId="12E0FA0B" w:rsidR="00083581" w:rsidRDefault="00CE1F3C">
      <w:pPr>
        <w:pStyle w:val="TableofFigures"/>
        <w:tabs>
          <w:tab w:val="right" w:leader="dot" w:pos="9350"/>
        </w:tabs>
        <w:rPr>
          <w:rFonts w:eastAsiaTheme="minorEastAsia" w:cstheme="minorBidi"/>
          <w:noProof/>
          <w:sz w:val="22"/>
          <w:szCs w:val="22"/>
          <w:lang w:bidi="ar-SA"/>
        </w:rPr>
      </w:pPr>
      <w:hyperlink w:anchor="_Toc26534541" w:history="1">
        <w:r w:rsidR="00083581" w:rsidRPr="00B33743">
          <w:rPr>
            <w:rStyle w:val="Hyperlink"/>
            <w:rFonts w:ascii="Times New Roman" w:hAnsi="Times New Roman"/>
            <w:noProof/>
          </w:rPr>
          <w:t>Table 4: Precision, recall, F1 score and support for the classification performed by the retrained ResNetV2. The last row shows the weighted values for each one of the metrics.</w:t>
        </w:r>
        <w:r w:rsidR="00083581">
          <w:rPr>
            <w:noProof/>
            <w:webHidden/>
          </w:rPr>
          <w:tab/>
        </w:r>
        <w:r w:rsidR="00083581">
          <w:rPr>
            <w:noProof/>
            <w:webHidden/>
          </w:rPr>
          <w:fldChar w:fldCharType="begin"/>
        </w:r>
        <w:r w:rsidR="00083581">
          <w:rPr>
            <w:noProof/>
            <w:webHidden/>
          </w:rPr>
          <w:instrText xml:space="preserve"> PAGEREF _Toc26534541 \h </w:instrText>
        </w:r>
        <w:r w:rsidR="00083581">
          <w:rPr>
            <w:noProof/>
            <w:webHidden/>
          </w:rPr>
        </w:r>
        <w:r w:rsidR="00083581">
          <w:rPr>
            <w:noProof/>
            <w:webHidden/>
          </w:rPr>
          <w:fldChar w:fldCharType="separate"/>
        </w:r>
        <w:r w:rsidR="00083581">
          <w:rPr>
            <w:noProof/>
            <w:webHidden/>
          </w:rPr>
          <w:t>78</w:t>
        </w:r>
        <w:r w:rsidR="00083581">
          <w:rPr>
            <w:noProof/>
            <w:webHidden/>
          </w:rPr>
          <w:fldChar w:fldCharType="end"/>
        </w:r>
      </w:hyperlink>
    </w:p>
    <w:p w14:paraId="1969E11C" w14:textId="6F2E906A" w:rsidR="00083581" w:rsidRDefault="00CE1F3C">
      <w:pPr>
        <w:pStyle w:val="TableofFigures"/>
        <w:tabs>
          <w:tab w:val="right" w:leader="dot" w:pos="9350"/>
        </w:tabs>
        <w:rPr>
          <w:rFonts w:eastAsiaTheme="minorEastAsia" w:cstheme="minorBidi"/>
          <w:noProof/>
          <w:sz w:val="22"/>
          <w:szCs w:val="22"/>
          <w:lang w:bidi="ar-SA"/>
        </w:rPr>
      </w:pPr>
      <w:hyperlink w:anchor="_Toc26534542" w:history="1">
        <w:r w:rsidR="00083581" w:rsidRPr="00B33743">
          <w:rPr>
            <w:rStyle w:val="Hyperlink"/>
            <w:noProof/>
          </w:rPr>
          <w:t>Table 5: Genus and source for the images used in this experiment.</w:t>
        </w:r>
        <w:r w:rsidR="00083581">
          <w:rPr>
            <w:noProof/>
            <w:webHidden/>
          </w:rPr>
          <w:tab/>
        </w:r>
        <w:r w:rsidR="00083581">
          <w:rPr>
            <w:noProof/>
            <w:webHidden/>
          </w:rPr>
          <w:fldChar w:fldCharType="begin"/>
        </w:r>
        <w:r w:rsidR="00083581">
          <w:rPr>
            <w:noProof/>
            <w:webHidden/>
          </w:rPr>
          <w:instrText xml:space="preserve"> PAGEREF _Toc26534542 \h </w:instrText>
        </w:r>
        <w:r w:rsidR="00083581">
          <w:rPr>
            <w:noProof/>
            <w:webHidden/>
          </w:rPr>
        </w:r>
        <w:r w:rsidR="00083581">
          <w:rPr>
            <w:noProof/>
            <w:webHidden/>
          </w:rPr>
          <w:fldChar w:fldCharType="separate"/>
        </w:r>
        <w:r w:rsidR="00083581">
          <w:rPr>
            <w:noProof/>
            <w:webHidden/>
          </w:rPr>
          <w:t>112</w:t>
        </w:r>
        <w:r w:rsidR="00083581">
          <w:rPr>
            <w:noProof/>
            <w:webHidden/>
          </w:rPr>
          <w:fldChar w:fldCharType="end"/>
        </w:r>
      </w:hyperlink>
    </w:p>
    <w:p w14:paraId="0DEDA68C" w14:textId="09E01D9B" w:rsidR="00083581" w:rsidRDefault="00CE1F3C">
      <w:pPr>
        <w:pStyle w:val="TableofFigures"/>
        <w:tabs>
          <w:tab w:val="right" w:leader="dot" w:pos="9350"/>
        </w:tabs>
        <w:rPr>
          <w:rFonts w:eastAsiaTheme="minorEastAsia" w:cstheme="minorBidi"/>
          <w:noProof/>
          <w:sz w:val="22"/>
          <w:szCs w:val="22"/>
          <w:lang w:bidi="ar-SA"/>
        </w:rPr>
      </w:pPr>
      <w:hyperlink w:anchor="_Toc26534543" w:history="1">
        <w:r w:rsidR="00083581" w:rsidRPr="00B33743">
          <w:rPr>
            <w:rStyle w:val="Hyperlink"/>
            <w:noProof/>
          </w:rPr>
          <w:t>Table 6: Number of samples per class in each set. Note "class" here is used in the machine learning not the biological sense.</w:t>
        </w:r>
        <w:r w:rsidR="00083581">
          <w:rPr>
            <w:noProof/>
            <w:webHidden/>
          </w:rPr>
          <w:tab/>
        </w:r>
        <w:r w:rsidR="00083581">
          <w:rPr>
            <w:noProof/>
            <w:webHidden/>
          </w:rPr>
          <w:fldChar w:fldCharType="begin"/>
        </w:r>
        <w:r w:rsidR="00083581">
          <w:rPr>
            <w:noProof/>
            <w:webHidden/>
          </w:rPr>
          <w:instrText xml:space="preserve"> PAGEREF _Toc26534543 \h </w:instrText>
        </w:r>
        <w:r w:rsidR="00083581">
          <w:rPr>
            <w:noProof/>
            <w:webHidden/>
          </w:rPr>
        </w:r>
        <w:r w:rsidR="00083581">
          <w:rPr>
            <w:noProof/>
            <w:webHidden/>
          </w:rPr>
          <w:fldChar w:fldCharType="separate"/>
        </w:r>
        <w:r w:rsidR="00083581">
          <w:rPr>
            <w:noProof/>
            <w:webHidden/>
          </w:rPr>
          <w:t>113</w:t>
        </w:r>
        <w:r w:rsidR="00083581">
          <w:rPr>
            <w:noProof/>
            <w:webHidden/>
          </w:rPr>
          <w:fldChar w:fldCharType="end"/>
        </w:r>
      </w:hyperlink>
    </w:p>
    <w:p w14:paraId="711B0540" w14:textId="51A0B9C7" w:rsidR="00083581" w:rsidRDefault="00CE1F3C">
      <w:pPr>
        <w:pStyle w:val="TableofFigures"/>
        <w:tabs>
          <w:tab w:val="right" w:leader="dot" w:pos="9350"/>
        </w:tabs>
        <w:rPr>
          <w:rFonts w:eastAsiaTheme="minorEastAsia" w:cstheme="minorBidi"/>
          <w:noProof/>
          <w:sz w:val="22"/>
          <w:szCs w:val="22"/>
          <w:lang w:bidi="ar-SA"/>
        </w:rPr>
      </w:pPr>
      <w:hyperlink w:anchor="_Toc26534544" w:history="1">
        <w:r w:rsidR="00083581" w:rsidRPr="00B33743">
          <w:rPr>
            <w:rStyle w:val="Hyperlink"/>
            <w:noProof/>
          </w:rPr>
          <w:t>Table 7: Accuracy for the highest performing training mode for each one of the models.</w:t>
        </w:r>
        <w:r w:rsidR="00083581">
          <w:rPr>
            <w:noProof/>
            <w:webHidden/>
          </w:rPr>
          <w:tab/>
        </w:r>
        <w:r w:rsidR="00083581">
          <w:rPr>
            <w:noProof/>
            <w:webHidden/>
          </w:rPr>
          <w:fldChar w:fldCharType="begin"/>
        </w:r>
        <w:r w:rsidR="00083581">
          <w:rPr>
            <w:noProof/>
            <w:webHidden/>
          </w:rPr>
          <w:instrText xml:space="preserve"> PAGEREF _Toc26534544 \h </w:instrText>
        </w:r>
        <w:r w:rsidR="00083581">
          <w:rPr>
            <w:noProof/>
            <w:webHidden/>
          </w:rPr>
        </w:r>
        <w:r w:rsidR="00083581">
          <w:rPr>
            <w:noProof/>
            <w:webHidden/>
          </w:rPr>
          <w:fldChar w:fldCharType="separate"/>
        </w:r>
        <w:r w:rsidR="00083581">
          <w:rPr>
            <w:noProof/>
            <w:webHidden/>
          </w:rPr>
          <w:t>119</w:t>
        </w:r>
        <w:r w:rsidR="00083581">
          <w:rPr>
            <w:noProof/>
            <w:webHidden/>
          </w:rPr>
          <w:fldChar w:fldCharType="end"/>
        </w:r>
      </w:hyperlink>
    </w:p>
    <w:p w14:paraId="34A55186" w14:textId="26164796" w:rsidR="00083581" w:rsidRDefault="00CE1F3C">
      <w:pPr>
        <w:pStyle w:val="TableofFigures"/>
        <w:tabs>
          <w:tab w:val="right" w:leader="dot" w:pos="9350"/>
        </w:tabs>
        <w:rPr>
          <w:rFonts w:eastAsiaTheme="minorEastAsia" w:cstheme="minorBidi"/>
          <w:noProof/>
          <w:sz w:val="22"/>
          <w:szCs w:val="22"/>
          <w:lang w:bidi="ar-SA"/>
        </w:rPr>
      </w:pPr>
      <w:hyperlink w:anchor="_Toc26534545" w:history="1">
        <w:r w:rsidR="00083581" w:rsidRPr="00B33743">
          <w:rPr>
            <w:rStyle w:val="Hyperlink"/>
            <w:noProof/>
          </w:rPr>
          <w:t>Table 8: number of samples for training, validation, and test used for the UCMD dataset.</w:t>
        </w:r>
        <w:r w:rsidR="00083581">
          <w:rPr>
            <w:noProof/>
            <w:webHidden/>
          </w:rPr>
          <w:tab/>
        </w:r>
        <w:r w:rsidR="00083581">
          <w:rPr>
            <w:noProof/>
            <w:webHidden/>
          </w:rPr>
          <w:fldChar w:fldCharType="begin"/>
        </w:r>
        <w:r w:rsidR="00083581">
          <w:rPr>
            <w:noProof/>
            <w:webHidden/>
          </w:rPr>
          <w:instrText xml:space="preserve"> PAGEREF _Toc26534545 \h </w:instrText>
        </w:r>
        <w:r w:rsidR="00083581">
          <w:rPr>
            <w:noProof/>
            <w:webHidden/>
          </w:rPr>
        </w:r>
        <w:r w:rsidR="00083581">
          <w:rPr>
            <w:noProof/>
            <w:webHidden/>
          </w:rPr>
          <w:fldChar w:fldCharType="separate"/>
        </w:r>
        <w:r w:rsidR="00083581">
          <w:rPr>
            <w:noProof/>
            <w:webHidden/>
          </w:rPr>
          <w:t>152</w:t>
        </w:r>
        <w:r w:rsidR="00083581">
          <w:rPr>
            <w:noProof/>
            <w:webHidden/>
          </w:rPr>
          <w:fldChar w:fldCharType="end"/>
        </w:r>
      </w:hyperlink>
    </w:p>
    <w:p w14:paraId="45356376" w14:textId="79D931C4" w:rsidR="00083581" w:rsidRDefault="00CE1F3C">
      <w:pPr>
        <w:pStyle w:val="TableofFigures"/>
        <w:tabs>
          <w:tab w:val="right" w:leader="dot" w:pos="9350"/>
        </w:tabs>
        <w:rPr>
          <w:rFonts w:eastAsiaTheme="minorEastAsia" w:cstheme="minorBidi"/>
          <w:noProof/>
          <w:sz w:val="22"/>
          <w:szCs w:val="22"/>
          <w:lang w:bidi="ar-SA"/>
        </w:rPr>
      </w:pPr>
      <w:hyperlink w:anchor="_Toc26534546" w:history="1">
        <w:r w:rsidR="00083581" w:rsidRPr="00B33743">
          <w:rPr>
            <w:rStyle w:val="Hyperlink"/>
            <w:noProof/>
          </w:rPr>
          <w:t>Table 9: number of samples for training, validation, and test used for the AID dataset.</w:t>
        </w:r>
        <w:r w:rsidR="00083581">
          <w:rPr>
            <w:noProof/>
            <w:webHidden/>
          </w:rPr>
          <w:tab/>
        </w:r>
        <w:r w:rsidR="00083581">
          <w:rPr>
            <w:noProof/>
            <w:webHidden/>
          </w:rPr>
          <w:fldChar w:fldCharType="begin"/>
        </w:r>
        <w:r w:rsidR="00083581">
          <w:rPr>
            <w:noProof/>
            <w:webHidden/>
          </w:rPr>
          <w:instrText xml:space="preserve"> PAGEREF _Toc26534546 \h </w:instrText>
        </w:r>
        <w:r w:rsidR="00083581">
          <w:rPr>
            <w:noProof/>
            <w:webHidden/>
          </w:rPr>
        </w:r>
        <w:r w:rsidR="00083581">
          <w:rPr>
            <w:noProof/>
            <w:webHidden/>
          </w:rPr>
          <w:fldChar w:fldCharType="separate"/>
        </w:r>
        <w:r w:rsidR="00083581">
          <w:rPr>
            <w:noProof/>
            <w:webHidden/>
          </w:rPr>
          <w:t>153</w:t>
        </w:r>
        <w:r w:rsidR="00083581">
          <w:rPr>
            <w:noProof/>
            <w:webHidden/>
          </w:rPr>
          <w:fldChar w:fldCharType="end"/>
        </w:r>
      </w:hyperlink>
    </w:p>
    <w:p w14:paraId="2C358148" w14:textId="33B02C68" w:rsidR="00083581" w:rsidRDefault="00CE1F3C">
      <w:pPr>
        <w:pStyle w:val="TableofFigures"/>
        <w:tabs>
          <w:tab w:val="right" w:leader="dot" w:pos="9350"/>
        </w:tabs>
        <w:rPr>
          <w:rFonts w:eastAsiaTheme="minorEastAsia" w:cstheme="minorBidi"/>
          <w:noProof/>
          <w:sz w:val="22"/>
          <w:szCs w:val="22"/>
          <w:lang w:bidi="ar-SA"/>
        </w:rPr>
      </w:pPr>
      <w:hyperlink w:anchor="_Toc26534547" w:history="1">
        <w:r w:rsidR="00083581" w:rsidRPr="00B33743">
          <w:rPr>
            <w:rStyle w:val="Hyperlink"/>
            <w:noProof/>
          </w:rPr>
          <w:t>Table 10: number of samples for training, validation, and test used for the PatternNet dataset.</w:t>
        </w:r>
        <w:r w:rsidR="00083581">
          <w:rPr>
            <w:noProof/>
            <w:webHidden/>
          </w:rPr>
          <w:tab/>
        </w:r>
        <w:r w:rsidR="00083581">
          <w:rPr>
            <w:noProof/>
            <w:webHidden/>
          </w:rPr>
          <w:fldChar w:fldCharType="begin"/>
        </w:r>
        <w:r w:rsidR="00083581">
          <w:rPr>
            <w:noProof/>
            <w:webHidden/>
          </w:rPr>
          <w:instrText xml:space="preserve"> PAGEREF _Toc26534547 \h </w:instrText>
        </w:r>
        <w:r w:rsidR="00083581">
          <w:rPr>
            <w:noProof/>
            <w:webHidden/>
          </w:rPr>
        </w:r>
        <w:r w:rsidR="00083581">
          <w:rPr>
            <w:noProof/>
            <w:webHidden/>
          </w:rPr>
          <w:fldChar w:fldCharType="separate"/>
        </w:r>
        <w:r w:rsidR="00083581">
          <w:rPr>
            <w:noProof/>
            <w:webHidden/>
          </w:rPr>
          <w:t>154</w:t>
        </w:r>
        <w:r w:rsidR="00083581">
          <w:rPr>
            <w:noProof/>
            <w:webHidden/>
          </w:rPr>
          <w:fldChar w:fldCharType="end"/>
        </w:r>
      </w:hyperlink>
    </w:p>
    <w:p w14:paraId="1BAD71B6" w14:textId="089B9DAA" w:rsidR="00083581" w:rsidRDefault="00CE1F3C">
      <w:pPr>
        <w:pStyle w:val="TableofFigures"/>
        <w:tabs>
          <w:tab w:val="right" w:leader="dot" w:pos="9350"/>
        </w:tabs>
        <w:rPr>
          <w:rFonts w:eastAsiaTheme="minorEastAsia" w:cstheme="minorBidi"/>
          <w:noProof/>
          <w:sz w:val="22"/>
          <w:szCs w:val="22"/>
          <w:lang w:bidi="ar-SA"/>
        </w:rPr>
      </w:pPr>
      <w:hyperlink w:anchor="_Toc26534548" w:history="1">
        <w:r w:rsidR="00083581" w:rsidRPr="00B33743">
          <w:rPr>
            <w:rStyle w:val="Hyperlink"/>
            <w:noProof/>
          </w:rPr>
          <w:t>Table 11: Training hyperparameters</w:t>
        </w:r>
        <w:r w:rsidR="00083581">
          <w:rPr>
            <w:noProof/>
            <w:webHidden/>
          </w:rPr>
          <w:tab/>
        </w:r>
        <w:r w:rsidR="00083581">
          <w:rPr>
            <w:noProof/>
            <w:webHidden/>
          </w:rPr>
          <w:fldChar w:fldCharType="begin"/>
        </w:r>
        <w:r w:rsidR="00083581">
          <w:rPr>
            <w:noProof/>
            <w:webHidden/>
          </w:rPr>
          <w:instrText xml:space="preserve"> PAGEREF _Toc26534548 \h </w:instrText>
        </w:r>
        <w:r w:rsidR="00083581">
          <w:rPr>
            <w:noProof/>
            <w:webHidden/>
          </w:rPr>
        </w:r>
        <w:r w:rsidR="00083581">
          <w:rPr>
            <w:noProof/>
            <w:webHidden/>
          </w:rPr>
          <w:fldChar w:fldCharType="separate"/>
        </w:r>
        <w:r w:rsidR="00083581">
          <w:rPr>
            <w:noProof/>
            <w:webHidden/>
          </w:rPr>
          <w:t>156</w:t>
        </w:r>
        <w:r w:rsidR="00083581">
          <w:rPr>
            <w:noProof/>
            <w:webHidden/>
          </w:rPr>
          <w:fldChar w:fldCharType="end"/>
        </w:r>
      </w:hyperlink>
    </w:p>
    <w:p w14:paraId="67F022B0" w14:textId="5F88EE08" w:rsidR="00083581" w:rsidRDefault="00CE1F3C">
      <w:pPr>
        <w:pStyle w:val="TableofFigures"/>
        <w:tabs>
          <w:tab w:val="right" w:leader="dot" w:pos="9350"/>
        </w:tabs>
        <w:rPr>
          <w:rFonts w:eastAsiaTheme="minorEastAsia" w:cstheme="minorBidi"/>
          <w:noProof/>
          <w:sz w:val="22"/>
          <w:szCs w:val="22"/>
          <w:lang w:bidi="ar-SA"/>
        </w:rPr>
      </w:pPr>
      <w:hyperlink w:anchor="_Toc26534549" w:history="1">
        <w:r w:rsidR="00083581" w:rsidRPr="00B33743">
          <w:rPr>
            <w:rStyle w:val="Hyperlink"/>
            <w:noProof/>
          </w:rPr>
          <w:t>Table 12: Naming convention and optimizer details</w:t>
        </w:r>
        <w:r w:rsidR="00083581">
          <w:rPr>
            <w:noProof/>
            <w:webHidden/>
          </w:rPr>
          <w:tab/>
        </w:r>
        <w:r w:rsidR="00083581">
          <w:rPr>
            <w:noProof/>
            <w:webHidden/>
          </w:rPr>
          <w:fldChar w:fldCharType="begin"/>
        </w:r>
        <w:r w:rsidR="00083581">
          <w:rPr>
            <w:noProof/>
            <w:webHidden/>
          </w:rPr>
          <w:instrText xml:space="preserve"> PAGEREF _Toc26534549 \h </w:instrText>
        </w:r>
        <w:r w:rsidR="00083581">
          <w:rPr>
            <w:noProof/>
            <w:webHidden/>
          </w:rPr>
        </w:r>
        <w:r w:rsidR="00083581">
          <w:rPr>
            <w:noProof/>
            <w:webHidden/>
          </w:rPr>
          <w:fldChar w:fldCharType="separate"/>
        </w:r>
        <w:r w:rsidR="00083581">
          <w:rPr>
            <w:noProof/>
            <w:webHidden/>
          </w:rPr>
          <w:t>161</w:t>
        </w:r>
        <w:r w:rsidR="00083581">
          <w:rPr>
            <w:noProof/>
            <w:webHidden/>
          </w:rPr>
          <w:fldChar w:fldCharType="end"/>
        </w:r>
      </w:hyperlink>
    </w:p>
    <w:p w14:paraId="026FB666" w14:textId="656A792F" w:rsidR="00083581" w:rsidRDefault="00CE1F3C">
      <w:pPr>
        <w:pStyle w:val="TableofFigures"/>
        <w:tabs>
          <w:tab w:val="right" w:leader="dot" w:pos="9350"/>
        </w:tabs>
        <w:rPr>
          <w:rFonts w:eastAsiaTheme="minorEastAsia" w:cstheme="minorBidi"/>
          <w:noProof/>
          <w:sz w:val="22"/>
          <w:szCs w:val="22"/>
          <w:lang w:bidi="ar-SA"/>
        </w:rPr>
      </w:pPr>
      <w:hyperlink w:anchor="_Toc26534550" w:history="1">
        <w:r w:rsidR="00083581" w:rsidRPr="00B33743">
          <w:rPr>
            <w:rStyle w:val="Hyperlink"/>
            <w:noProof/>
          </w:rPr>
          <w:t>Table 13: Optimizer performance summary.</w:t>
        </w:r>
        <w:r w:rsidR="00083581">
          <w:rPr>
            <w:noProof/>
            <w:webHidden/>
          </w:rPr>
          <w:tab/>
        </w:r>
        <w:r w:rsidR="00083581">
          <w:rPr>
            <w:noProof/>
            <w:webHidden/>
          </w:rPr>
          <w:fldChar w:fldCharType="begin"/>
        </w:r>
        <w:r w:rsidR="00083581">
          <w:rPr>
            <w:noProof/>
            <w:webHidden/>
          </w:rPr>
          <w:instrText xml:space="preserve"> PAGEREF _Toc26534550 \h </w:instrText>
        </w:r>
        <w:r w:rsidR="00083581">
          <w:rPr>
            <w:noProof/>
            <w:webHidden/>
          </w:rPr>
        </w:r>
        <w:r w:rsidR="00083581">
          <w:rPr>
            <w:noProof/>
            <w:webHidden/>
          </w:rPr>
          <w:fldChar w:fldCharType="separate"/>
        </w:r>
        <w:r w:rsidR="00083581">
          <w:rPr>
            <w:noProof/>
            <w:webHidden/>
          </w:rPr>
          <w:t>161</w:t>
        </w:r>
        <w:r w:rsidR="00083581">
          <w:rPr>
            <w:noProof/>
            <w:webHidden/>
          </w:rPr>
          <w:fldChar w:fldCharType="end"/>
        </w:r>
      </w:hyperlink>
    </w:p>
    <w:p w14:paraId="12B50F38" w14:textId="39435DF9" w:rsidR="00083581" w:rsidRDefault="00CE1F3C">
      <w:pPr>
        <w:pStyle w:val="TableofFigures"/>
        <w:tabs>
          <w:tab w:val="right" w:leader="dot" w:pos="9350"/>
        </w:tabs>
        <w:rPr>
          <w:rFonts w:eastAsiaTheme="minorEastAsia" w:cstheme="minorBidi"/>
          <w:noProof/>
          <w:sz w:val="22"/>
          <w:szCs w:val="22"/>
          <w:lang w:bidi="ar-SA"/>
        </w:rPr>
      </w:pPr>
      <w:hyperlink w:anchor="_Toc26534551" w:history="1">
        <w:r w:rsidR="00083581" w:rsidRPr="00B33743">
          <w:rPr>
            <w:rStyle w:val="Hyperlink"/>
            <w:noProof/>
          </w:rPr>
          <w:t>Table 14: Best test set accuracy for Inception V3 and VGG19 version for each Dataset using SGD (1e-3) momentum 0.9 optimizer.</w:t>
        </w:r>
        <w:r w:rsidR="00083581">
          <w:rPr>
            <w:noProof/>
            <w:webHidden/>
          </w:rPr>
          <w:tab/>
        </w:r>
        <w:r w:rsidR="00083581">
          <w:rPr>
            <w:noProof/>
            <w:webHidden/>
          </w:rPr>
          <w:fldChar w:fldCharType="begin"/>
        </w:r>
        <w:r w:rsidR="00083581">
          <w:rPr>
            <w:noProof/>
            <w:webHidden/>
          </w:rPr>
          <w:instrText xml:space="preserve"> PAGEREF _Toc26534551 \h </w:instrText>
        </w:r>
        <w:r w:rsidR="00083581">
          <w:rPr>
            <w:noProof/>
            <w:webHidden/>
          </w:rPr>
        </w:r>
        <w:r w:rsidR="00083581">
          <w:rPr>
            <w:noProof/>
            <w:webHidden/>
          </w:rPr>
          <w:fldChar w:fldCharType="separate"/>
        </w:r>
        <w:r w:rsidR="00083581">
          <w:rPr>
            <w:noProof/>
            <w:webHidden/>
          </w:rPr>
          <w:t>165</w:t>
        </w:r>
        <w:r w:rsidR="00083581">
          <w:rPr>
            <w:noProof/>
            <w:webHidden/>
          </w:rPr>
          <w:fldChar w:fldCharType="end"/>
        </w:r>
      </w:hyperlink>
    </w:p>
    <w:p w14:paraId="4715989C" w14:textId="774C258E" w:rsidR="00083581" w:rsidRDefault="00CE1F3C">
      <w:pPr>
        <w:pStyle w:val="TableofFigures"/>
        <w:tabs>
          <w:tab w:val="right" w:leader="dot" w:pos="9350"/>
        </w:tabs>
        <w:rPr>
          <w:rFonts w:eastAsiaTheme="minorEastAsia" w:cstheme="minorBidi"/>
          <w:noProof/>
          <w:sz w:val="22"/>
          <w:szCs w:val="22"/>
          <w:lang w:bidi="ar-SA"/>
        </w:rPr>
      </w:pPr>
      <w:hyperlink w:anchor="_Toc26534552" w:history="1">
        <w:r w:rsidR="00083581" w:rsidRPr="00B33743">
          <w:rPr>
            <w:rStyle w:val="Hyperlink"/>
            <w:noProof/>
          </w:rPr>
          <w:t>Table 15: Best test set accuracy for Inception V3 and VGG19 version for each Dataset using SGD (1e-3) momentum 0.9 optimizer to perform transfer learning on models initially trained on PatternNet.</w:t>
        </w:r>
        <w:r w:rsidR="00083581">
          <w:rPr>
            <w:noProof/>
            <w:webHidden/>
          </w:rPr>
          <w:tab/>
        </w:r>
        <w:r w:rsidR="00083581">
          <w:rPr>
            <w:noProof/>
            <w:webHidden/>
          </w:rPr>
          <w:fldChar w:fldCharType="begin"/>
        </w:r>
        <w:r w:rsidR="00083581">
          <w:rPr>
            <w:noProof/>
            <w:webHidden/>
          </w:rPr>
          <w:instrText xml:space="preserve"> PAGEREF _Toc26534552 \h </w:instrText>
        </w:r>
        <w:r w:rsidR="00083581">
          <w:rPr>
            <w:noProof/>
            <w:webHidden/>
          </w:rPr>
        </w:r>
        <w:r w:rsidR="00083581">
          <w:rPr>
            <w:noProof/>
            <w:webHidden/>
          </w:rPr>
          <w:fldChar w:fldCharType="separate"/>
        </w:r>
        <w:r w:rsidR="00083581">
          <w:rPr>
            <w:noProof/>
            <w:webHidden/>
          </w:rPr>
          <w:t>165</w:t>
        </w:r>
        <w:r w:rsidR="00083581">
          <w:rPr>
            <w:noProof/>
            <w:webHidden/>
          </w:rPr>
          <w:fldChar w:fldCharType="end"/>
        </w:r>
      </w:hyperlink>
    </w:p>
    <w:p w14:paraId="228C6B2C" w14:textId="59281313" w:rsidR="00083581" w:rsidRDefault="00CE1F3C">
      <w:pPr>
        <w:pStyle w:val="TableofFigures"/>
        <w:tabs>
          <w:tab w:val="right" w:leader="dot" w:pos="9350"/>
        </w:tabs>
        <w:rPr>
          <w:rFonts w:eastAsiaTheme="minorEastAsia" w:cstheme="minorBidi"/>
          <w:noProof/>
          <w:sz w:val="22"/>
          <w:szCs w:val="22"/>
          <w:lang w:bidi="ar-SA"/>
        </w:rPr>
      </w:pPr>
      <w:hyperlink w:anchor="_Toc26534553" w:history="1">
        <w:r w:rsidR="00083581" w:rsidRPr="00B33743">
          <w:rPr>
            <w:rStyle w:val="Hyperlink"/>
            <w:noProof/>
          </w:rPr>
          <w:t xml:space="preserve">Table 16: Best test set accuracy for Inception V3 and VGG19 version for each Dataset using </w:t>
        </w:r>
        <w:r w:rsidR="00083581" w:rsidRPr="00B33743">
          <w:rPr>
            <w:rStyle w:val="Hyperlink"/>
            <w:rFonts w:ascii="Calibri" w:hAnsi="Calibri"/>
            <w:noProof/>
          </w:rPr>
          <w:t>Adamax (2e-3)</w:t>
        </w:r>
        <w:r w:rsidR="00083581" w:rsidRPr="00B33743">
          <w:rPr>
            <w:rStyle w:val="Hyperlink"/>
            <w:noProof/>
          </w:rPr>
          <w:t xml:space="preserve"> optimizer.</w:t>
        </w:r>
        <w:r w:rsidR="00083581">
          <w:rPr>
            <w:noProof/>
            <w:webHidden/>
          </w:rPr>
          <w:tab/>
        </w:r>
        <w:r w:rsidR="00083581">
          <w:rPr>
            <w:noProof/>
            <w:webHidden/>
          </w:rPr>
          <w:fldChar w:fldCharType="begin"/>
        </w:r>
        <w:r w:rsidR="00083581">
          <w:rPr>
            <w:noProof/>
            <w:webHidden/>
          </w:rPr>
          <w:instrText xml:space="preserve"> PAGEREF _Toc26534553 \h </w:instrText>
        </w:r>
        <w:r w:rsidR="00083581">
          <w:rPr>
            <w:noProof/>
            <w:webHidden/>
          </w:rPr>
        </w:r>
        <w:r w:rsidR="00083581">
          <w:rPr>
            <w:noProof/>
            <w:webHidden/>
          </w:rPr>
          <w:fldChar w:fldCharType="separate"/>
        </w:r>
        <w:r w:rsidR="00083581">
          <w:rPr>
            <w:noProof/>
            <w:webHidden/>
          </w:rPr>
          <w:t>166</w:t>
        </w:r>
        <w:r w:rsidR="00083581">
          <w:rPr>
            <w:noProof/>
            <w:webHidden/>
          </w:rPr>
          <w:fldChar w:fldCharType="end"/>
        </w:r>
      </w:hyperlink>
    </w:p>
    <w:p w14:paraId="7FF829EF" w14:textId="2DA8CC4F" w:rsidR="00083581" w:rsidRDefault="00CE1F3C">
      <w:pPr>
        <w:pStyle w:val="TableofFigures"/>
        <w:tabs>
          <w:tab w:val="right" w:leader="dot" w:pos="9350"/>
        </w:tabs>
        <w:rPr>
          <w:rFonts w:eastAsiaTheme="minorEastAsia" w:cstheme="minorBidi"/>
          <w:noProof/>
          <w:sz w:val="22"/>
          <w:szCs w:val="22"/>
          <w:lang w:bidi="ar-SA"/>
        </w:rPr>
      </w:pPr>
      <w:hyperlink w:anchor="_Toc26534554" w:history="1">
        <w:r w:rsidR="00083581" w:rsidRPr="00B33743">
          <w:rPr>
            <w:rStyle w:val="Hyperlink"/>
            <w:noProof/>
          </w:rPr>
          <w:t>Table 17. Test input parameter combinations for 1-day (25 hours) forecasts. Columns of PE values (averaged for all Lshells) are for training data, validation data, test data, validation and test data together, and all data, respectively. The last column shows PE for validation and test data at GEO only. The 10</w:t>
        </w:r>
        <w:r w:rsidR="00083581" w:rsidRPr="00B33743">
          <w:rPr>
            <w:rStyle w:val="Hyperlink"/>
            <w:noProof/>
            <w:vertAlign w:val="superscript"/>
          </w:rPr>
          <w:t>th</w:t>
        </w:r>
        <w:r w:rsidR="00083581" w:rsidRPr="00B33743">
          <w:rPr>
            <w:rStyle w:val="Hyperlink"/>
            <w:noProof/>
          </w:rPr>
          <w:t xml:space="preserve"> model with the highest PE values is highlighted in red.</w:t>
        </w:r>
        <w:r w:rsidR="00083581">
          <w:rPr>
            <w:noProof/>
            <w:webHidden/>
          </w:rPr>
          <w:tab/>
        </w:r>
        <w:r w:rsidR="00083581">
          <w:rPr>
            <w:noProof/>
            <w:webHidden/>
          </w:rPr>
          <w:fldChar w:fldCharType="begin"/>
        </w:r>
        <w:r w:rsidR="00083581">
          <w:rPr>
            <w:noProof/>
            <w:webHidden/>
          </w:rPr>
          <w:instrText xml:space="preserve"> PAGEREF _Toc26534554 \h </w:instrText>
        </w:r>
        <w:r w:rsidR="00083581">
          <w:rPr>
            <w:noProof/>
            <w:webHidden/>
          </w:rPr>
        </w:r>
        <w:r w:rsidR="00083581">
          <w:rPr>
            <w:noProof/>
            <w:webHidden/>
          </w:rPr>
          <w:fldChar w:fldCharType="separate"/>
        </w:r>
        <w:r w:rsidR="00083581">
          <w:rPr>
            <w:noProof/>
            <w:webHidden/>
          </w:rPr>
          <w:t>216</w:t>
        </w:r>
        <w:r w:rsidR="00083581">
          <w:rPr>
            <w:noProof/>
            <w:webHidden/>
          </w:rPr>
          <w:fldChar w:fldCharType="end"/>
        </w:r>
      </w:hyperlink>
    </w:p>
    <w:p w14:paraId="6E6DA371" w14:textId="40E0BB85" w:rsidR="00083581" w:rsidRDefault="00CE1F3C">
      <w:pPr>
        <w:pStyle w:val="TableofFigures"/>
        <w:tabs>
          <w:tab w:val="right" w:leader="dot" w:pos="9350"/>
        </w:tabs>
        <w:rPr>
          <w:rFonts w:eastAsiaTheme="minorEastAsia" w:cstheme="minorBidi"/>
          <w:noProof/>
          <w:sz w:val="22"/>
          <w:szCs w:val="22"/>
          <w:lang w:bidi="ar-SA"/>
        </w:rPr>
      </w:pPr>
      <w:hyperlink w:anchor="_Toc26534555" w:history="1">
        <w:r w:rsidR="00083581" w:rsidRPr="00B33743">
          <w:rPr>
            <w:rStyle w:val="Hyperlink"/>
            <w:noProof/>
          </w:rPr>
          <w:t>Table 18. Performance of models in four categories for 1-day (25 hours) forecasts. Same format as Table 1. PE values for the top performer of each category are highlighted in red, also the top performers have their model index numbers marked with asterisk. E246 in the input list indicates E2 fluxes at L = 4.6.</w:t>
        </w:r>
        <w:r w:rsidR="00083581">
          <w:rPr>
            <w:noProof/>
            <w:webHidden/>
          </w:rPr>
          <w:tab/>
        </w:r>
        <w:r w:rsidR="00083581">
          <w:rPr>
            <w:noProof/>
            <w:webHidden/>
          </w:rPr>
          <w:fldChar w:fldCharType="begin"/>
        </w:r>
        <w:r w:rsidR="00083581">
          <w:rPr>
            <w:noProof/>
            <w:webHidden/>
          </w:rPr>
          <w:instrText xml:space="preserve"> PAGEREF _Toc26534555 \h </w:instrText>
        </w:r>
        <w:r w:rsidR="00083581">
          <w:rPr>
            <w:noProof/>
            <w:webHidden/>
          </w:rPr>
        </w:r>
        <w:r w:rsidR="00083581">
          <w:rPr>
            <w:noProof/>
            <w:webHidden/>
          </w:rPr>
          <w:fldChar w:fldCharType="separate"/>
        </w:r>
        <w:r w:rsidR="00083581">
          <w:rPr>
            <w:noProof/>
            <w:webHidden/>
          </w:rPr>
          <w:t>217</w:t>
        </w:r>
        <w:r w:rsidR="00083581">
          <w:rPr>
            <w:noProof/>
            <w:webHidden/>
          </w:rPr>
          <w:fldChar w:fldCharType="end"/>
        </w:r>
      </w:hyperlink>
    </w:p>
    <w:p w14:paraId="7F241C5C" w14:textId="5B88B885" w:rsidR="00083581" w:rsidRDefault="00CE1F3C">
      <w:pPr>
        <w:pStyle w:val="TableofFigures"/>
        <w:tabs>
          <w:tab w:val="right" w:leader="dot" w:pos="9350"/>
        </w:tabs>
        <w:rPr>
          <w:rFonts w:eastAsiaTheme="minorEastAsia" w:cstheme="minorBidi"/>
          <w:noProof/>
          <w:sz w:val="22"/>
          <w:szCs w:val="22"/>
          <w:lang w:bidi="ar-SA"/>
        </w:rPr>
      </w:pPr>
      <w:hyperlink w:anchor="_Toc26534556" w:history="1">
        <w:r w:rsidR="00083581" w:rsidRPr="00B33743">
          <w:rPr>
            <w:rStyle w:val="Hyperlink"/>
            <w:noProof/>
          </w:rPr>
          <w:t>Table 19. Performance of models in four categories for 2-day (50 hours) forecasts. Same format as Table 2. Note the PE values for linear 1 and linear2 are for 1-day forecasts instead of 2-day.</w:t>
        </w:r>
        <w:r w:rsidR="00083581">
          <w:rPr>
            <w:noProof/>
            <w:webHidden/>
          </w:rPr>
          <w:tab/>
        </w:r>
        <w:r w:rsidR="00083581">
          <w:rPr>
            <w:noProof/>
            <w:webHidden/>
          </w:rPr>
          <w:fldChar w:fldCharType="begin"/>
        </w:r>
        <w:r w:rsidR="00083581">
          <w:rPr>
            <w:noProof/>
            <w:webHidden/>
          </w:rPr>
          <w:instrText xml:space="preserve"> PAGEREF _Toc26534556 \h </w:instrText>
        </w:r>
        <w:r w:rsidR="00083581">
          <w:rPr>
            <w:noProof/>
            <w:webHidden/>
          </w:rPr>
        </w:r>
        <w:r w:rsidR="00083581">
          <w:rPr>
            <w:noProof/>
            <w:webHidden/>
          </w:rPr>
          <w:fldChar w:fldCharType="separate"/>
        </w:r>
        <w:r w:rsidR="00083581">
          <w:rPr>
            <w:noProof/>
            <w:webHidden/>
          </w:rPr>
          <w:t>218</w:t>
        </w:r>
        <w:r w:rsidR="00083581">
          <w:rPr>
            <w:noProof/>
            <w:webHidden/>
          </w:rPr>
          <w:fldChar w:fldCharType="end"/>
        </w:r>
      </w:hyperlink>
    </w:p>
    <w:p w14:paraId="2F2C56D9" w14:textId="7B41493F" w:rsidR="00DA1971" w:rsidRDefault="00AA4AED" w:rsidP="00C6706E">
      <w:pPr>
        <w:pStyle w:val="Heading1"/>
      </w:pPr>
      <w:r>
        <w:fldChar w:fldCharType="end"/>
      </w:r>
      <w:r w:rsidR="00DA1971">
        <w:br w:type="page"/>
      </w:r>
      <w:bookmarkStart w:id="5" w:name="_Toc310579466"/>
      <w:bookmarkStart w:id="6" w:name="_Toc26534559"/>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5"/>
      <w:bookmarkEnd w:id="6"/>
    </w:p>
    <w:p w14:paraId="530C9EFE" w14:textId="77777777" w:rsidR="009C4FEF" w:rsidRPr="00EE3EDB" w:rsidRDefault="009C4FEF" w:rsidP="009C4FEF">
      <w:pPr>
        <w:pStyle w:val="NoSpacing"/>
      </w:pPr>
    </w:p>
    <w:p w14:paraId="78812997" w14:textId="447BDED1" w:rsidR="00083581" w:rsidRDefault="00AA4AED">
      <w:pPr>
        <w:pStyle w:val="TableofFigures"/>
        <w:tabs>
          <w:tab w:val="right" w:leader="dot" w:pos="9350"/>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w:anchor="_Toc26534487" w:history="1">
        <w:r w:rsidR="00083581" w:rsidRPr="002976C3">
          <w:rPr>
            <w:rStyle w:val="Hyperlink"/>
            <w:noProof/>
          </w:rPr>
          <w:t>Figure 1: Visual representation of a DNN and a CNN showing the main elements of each structure. (a) Cartoon showing a single neuron that applies an activation function to the weighted sum of the inputs and produces an output. We can then organize layers with multiple neurons, each neuron generally applying different weights to the set of inputs and producing different outputs. The output of a neuron can then be passed to the following layer, which can be either the next hidden layer or the final output. H1 and H2 represent the first and second hidden layers in this toy example. (b) Visual representation of a 2D CNN. Starting with the linear component, a convolution is applied to an input and produces an output. Next, an activation is applied to the output. Note that the number of convolutional kernels is equal to the number of input channels. Just like the neurons in (a), convolutional kernels can be organized in layers. Again, H1 and H2 represent respectively the first and second hidden layers in this toy example. For classification and regression tasks, the final layers of CNNs are usually the same as the ones used in DNNs, with layers containing neurons. The final layers of CNNs used for segmentation tasks are usually convolutional layers as well. Note we choose to represent 2D CNNs as they are more common, however the idea is the same for 1D or 3D CNNs as well. Seismic facies classification is usually performed using 3D CNNs.</w:t>
        </w:r>
        <w:r w:rsidR="00083581">
          <w:rPr>
            <w:noProof/>
            <w:webHidden/>
          </w:rPr>
          <w:tab/>
        </w:r>
        <w:r w:rsidR="00083581">
          <w:rPr>
            <w:noProof/>
            <w:webHidden/>
          </w:rPr>
          <w:fldChar w:fldCharType="begin"/>
        </w:r>
        <w:r w:rsidR="00083581">
          <w:rPr>
            <w:noProof/>
            <w:webHidden/>
          </w:rPr>
          <w:instrText xml:space="preserve"> PAGEREF _Toc26534487 \h </w:instrText>
        </w:r>
        <w:r w:rsidR="00083581">
          <w:rPr>
            <w:noProof/>
            <w:webHidden/>
          </w:rPr>
        </w:r>
        <w:r w:rsidR="00083581">
          <w:rPr>
            <w:noProof/>
            <w:webHidden/>
          </w:rPr>
          <w:fldChar w:fldCharType="separate"/>
        </w:r>
        <w:r w:rsidR="00083581">
          <w:rPr>
            <w:noProof/>
            <w:webHidden/>
          </w:rPr>
          <w:t>16</w:t>
        </w:r>
        <w:r w:rsidR="00083581">
          <w:rPr>
            <w:noProof/>
            <w:webHidden/>
          </w:rPr>
          <w:fldChar w:fldCharType="end"/>
        </w:r>
      </w:hyperlink>
    </w:p>
    <w:p w14:paraId="0E259160" w14:textId="20F6E9D9" w:rsidR="00083581" w:rsidRDefault="00CE1F3C">
      <w:pPr>
        <w:pStyle w:val="TableofFigures"/>
        <w:tabs>
          <w:tab w:val="right" w:leader="dot" w:pos="9350"/>
        </w:tabs>
        <w:rPr>
          <w:rFonts w:eastAsiaTheme="minorEastAsia" w:cstheme="minorBidi"/>
          <w:noProof/>
          <w:sz w:val="22"/>
          <w:szCs w:val="22"/>
          <w:lang w:bidi="ar-SA"/>
        </w:rPr>
      </w:pPr>
      <w:hyperlink w:anchor="_Toc26534488" w:history="1">
        <w:r w:rsidR="00083581" w:rsidRPr="002976C3">
          <w:rPr>
            <w:rStyle w:val="Hyperlink"/>
            <w:noProof/>
          </w:rPr>
          <w:t>Figure 2: Decomposition of a RGB image into its red, green, and blue components. For red, green, and blue, low values are white and high values are black. Each one of the color components is referred to as a “channel”. Each channel is composed of 299 x 299 pixels.</w:t>
        </w:r>
        <w:r w:rsidR="00083581">
          <w:rPr>
            <w:noProof/>
            <w:webHidden/>
          </w:rPr>
          <w:tab/>
        </w:r>
        <w:r w:rsidR="00083581">
          <w:rPr>
            <w:noProof/>
            <w:webHidden/>
          </w:rPr>
          <w:fldChar w:fldCharType="begin"/>
        </w:r>
        <w:r w:rsidR="00083581">
          <w:rPr>
            <w:noProof/>
            <w:webHidden/>
          </w:rPr>
          <w:instrText xml:space="preserve"> PAGEREF _Toc26534488 \h </w:instrText>
        </w:r>
        <w:r w:rsidR="00083581">
          <w:rPr>
            <w:noProof/>
            <w:webHidden/>
          </w:rPr>
        </w:r>
        <w:r w:rsidR="00083581">
          <w:rPr>
            <w:noProof/>
            <w:webHidden/>
          </w:rPr>
          <w:fldChar w:fldCharType="separate"/>
        </w:r>
        <w:r w:rsidR="00083581">
          <w:rPr>
            <w:noProof/>
            <w:webHidden/>
          </w:rPr>
          <w:t>17</w:t>
        </w:r>
        <w:r w:rsidR="00083581">
          <w:rPr>
            <w:noProof/>
            <w:webHidden/>
          </w:rPr>
          <w:fldChar w:fldCharType="end"/>
        </w:r>
      </w:hyperlink>
    </w:p>
    <w:p w14:paraId="5246CBBE" w14:textId="30B62728" w:rsidR="00083581" w:rsidRDefault="00CE1F3C">
      <w:pPr>
        <w:pStyle w:val="TableofFigures"/>
        <w:tabs>
          <w:tab w:val="right" w:leader="dot" w:pos="9350"/>
        </w:tabs>
        <w:rPr>
          <w:rFonts w:eastAsiaTheme="minorEastAsia" w:cstheme="minorBidi"/>
          <w:noProof/>
          <w:sz w:val="22"/>
          <w:szCs w:val="22"/>
          <w:lang w:bidi="ar-SA"/>
        </w:rPr>
      </w:pPr>
      <w:hyperlink w:anchor="_Toc26534489" w:history="1">
        <w:r w:rsidR="00083581" w:rsidRPr="002976C3">
          <w:rPr>
            <w:rStyle w:val="Hyperlink"/>
            <w:noProof/>
          </w:rPr>
          <w:t xml:space="preserve">Figure 3: Representative  output of different kernels applied to the three-channel input image shown in the previous figure. Each of the convolutional kernels (top row) needs to be three channels deep. The bottom row shows the result of the original image with each one of the </w:t>
        </w:r>
        <w:r w:rsidR="00083581" w:rsidRPr="002976C3">
          <w:rPr>
            <w:rStyle w:val="Hyperlink"/>
            <w:noProof/>
          </w:rPr>
          <w:lastRenderedPageBreak/>
          <w:t>convolutional kernels displayed on the top row. For the sake of visualization, we keep the outputs of each one of the channels separated; usually CNNs would sum the three channels into a single channel output. Note the images are not to scale – 3 x 3 pixels in the top row are much smaller than 299 x 299 pixels in top and bottom rows. Sobel-Feldman and edge enhance kernels have the same value for the three-different channels, thus we provide the numbers that compose the filters in the image. The red blur kernel weights the red channel by a fraction of its inputs (1/9) while the other channels remain unchanged – the center pixel is 1.0 whereas the outer pixels are zero, thus the cyan color in the center and the almost black color outline. The random kernel is generated with 5 x 5 x 3 random samples extracted from a random distribution, thus the colors are a combination of such random values applied to the three-channels. For visualization, all values are linearly scaled to range from 0-255.</w:t>
        </w:r>
        <w:r w:rsidR="00083581">
          <w:rPr>
            <w:noProof/>
            <w:webHidden/>
          </w:rPr>
          <w:tab/>
        </w:r>
        <w:r w:rsidR="00083581">
          <w:rPr>
            <w:noProof/>
            <w:webHidden/>
          </w:rPr>
          <w:fldChar w:fldCharType="begin"/>
        </w:r>
        <w:r w:rsidR="00083581">
          <w:rPr>
            <w:noProof/>
            <w:webHidden/>
          </w:rPr>
          <w:instrText xml:space="preserve"> PAGEREF _Toc26534489 \h </w:instrText>
        </w:r>
        <w:r w:rsidR="00083581">
          <w:rPr>
            <w:noProof/>
            <w:webHidden/>
          </w:rPr>
        </w:r>
        <w:r w:rsidR="00083581">
          <w:rPr>
            <w:noProof/>
            <w:webHidden/>
          </w:rPr>
          <w:fldChar w:fldCharType="separate"/>
        </w:r>
        <w:r w:rsidR="00083581">
          <w:rPr>
            <w:noProof/>
            <w:webHidden/>
          </w:rPr>
          <w:t>18</w:t>
        </w:r>
        <w:r w:rsidR="00083581">
          <w:rPr>
            <w:noProof/>
            <w:webHidden/>
          </w:rPr>
          <w:fldChar w:fldCharType="end"/>
        </w:r>
      </w:hyperlink>
    </w:p>
    <w:p w14:paraId="010316E3" w14:textId="45E73B4D" w:rsidR="00083581" w:rsidRDefault="00CE1F3C">
      <w:pPr>
        <w:pStyle w:val="TableofFigures"/>
        <w:tabs>
          <w:tab w:val="right" w:leader="dot" w:pos="9350"/>
        </w:tabs>
        <w:rPr>
          <w:rFonts w:eastAsiaTheme="minorEastAsia" w:cstheme="minorBidi"/>
          <w:noProof/>
          <w:sz w:val="22"/>
          <w:szCs w:val="22"/>
          <w:lang w:bidi="ar-SA"/>
        </w:rPr>
      </w:pPr>
      <w:hyperlink w:anchor="_Toc26534490" w:history="1">
        <w:r w:rsidR="00083581" w:rsidRPr="002976C3">
          <w:rPr>
            <w:rStyle w:val="Hyperlink"/>
            <w:noProof/>
          </w:rPr>
          <w:t>Figure 4: A representation of the max and average pooling operation, where the output is simply the maximum value of a subset of the input. Colors are used to facilitate visualization. Different strides and padding techniques can be used with pooling layers, as well as different statistics (minimum, average, median, or other statistical measures). We represent the pooling applied with a 2D input; however, the same technique can be applied to 1D or 3D inputs as well.</w:t>
        </w:r>
        <w:r w:rsidR="00083581">
          <w:rPr>
            <w:noProof/>
            <w:webHidden/>
          </w:rPr>
          <w:tab/>
        </w:r>
        <w:r w:rsidR="00083581">
          <w:rPr>
            <w:noProof/>
            <w:webHidden/>
          </w:rPr>
          <w:fldChar w:fldCharType="begin"/>
        </w:r>
        <w:r w:rsidR="00083581">
          <w:rPr>
            <w:noProof/>
            <w:webHidden/>
          </w:rPr>
          <w:instrText xml:space="preserve"> PAGEREF _Toc26534490 \h </w:instrText>
        </w:r>
        <w:r w:rsidR="00083581">
          <w:rPr>
            <w:noProof/>
            <w:webHidden/>
          </w:rPr>
        </w:r>
        <w:r w:rsidR="00083581">
          <w:rPr>
            <w:noProof/>
            <w:webHidden/>
          </w:rPr>
          <w:fldChar w:fldCharType="separate"/>
        </w:r>
        <w:r w:rsidR="00083581">
          <w:rPr>
            <w:noProof/>
            <w:webHidden/>
          </w:rPr>
          <w:t>19</w:t>
        </w:r>
        <w:r w:rsidR="00083581">
          <w:rPr>
            <w:noProof/>
            <w:webHidden/>
          </w:rPr>
          <w:fldChar w:fldCharType="end"/>
        </w:r>
      </w:hyperlink>
    </w:p>
    <w:p w14:paraId="6E91B44A" w14:textId="0A6DA15C" w:rsidR="00083581" w:rsidRDefault="00CE1F3C">
      <w:pPr>
        <w:pStyle w:val="TableofFigures"/>
        <w:tabs>
          <w:tab w:val="right" w:leader="dot" w:pos="9350"/>
        </w:tabs>
        <w:rPr>
          <w:rFonts w:eastAsiaTheme="minorEastAsia" w:cstheme="minorBidi"/>
          <w:noProof/>
          <w:sz w:val="22"/>
          <w:szCs w:val="22"/>
          <w:lang w:bidi="ar-SA"/>
        </w:rPr>
      </w:pPr>
      <w:hyperlink w:anchor="_Toc26534491" w:history="1">
        <w:r w:rsidR="00083581" w:rsidRPr="002976C3">
          <w:rPr>
            <w:rStyle w:val="Hyperlink"/>
            <w:noProof/>
          </w:rPr>
          <w:t xml:space="preserve">Figure 5: Examples of the toy dataset we use to illustrate CNN models. (a) shows examples of the class “fossil” coming from Waddell's (1966) collection, (b)  shows examples of the class “oil well” coming from Zhou et al.'s (2018) PatternNet, and (c) shows examples of the class “seismic”, coming from the Kora 3D seismic survey. (c) shows color for the leftmost image as that is composed of a time slice whereas the other examples are vertical slices. The seismic data changes more rapidly in the vertical direction, therefore the changes are more visible when composing a three-channel image. Note the vertical slices are in fact colored and composed of </w:t>
        </w:r>
        <w:r w:rsidR="00083581" w:rsidRPr="002976C3">
          <w:rPr>
            <w:rStyle w:val="Hyperlink"/>
            <w:noProof/>
          </w:rPr>
          <w:lastRenderedPageBreak/>
          <w:t>three-channels, but the colors are almost imperceptible as the vertical slices present very similar content in their vicinities.</w:t>
        </w:r>
        <w:r w:rsidR="00083581">
          <w:rPr>
            <w:noProof/>
            <w:webHidden/>
          </w:rPr>
          <w:tab/>
        </w:r>
        <w:r w:rsidR="00083581">
          <w:rPr>
            <w:noProof/>
            <w:webHidden/>
          </w:rPr>
          <w:fldChar w:fldCharType="begin"/>
        </w:r>
        <w:r w:rsidR="00083581">
          <w:rPr>
            <w:noProof/>
            <w:webHidden/>
          </w:rPr>
          <w:instrText xml:space="preserve"> PAGEREF _Toc26534491 \h </w:instrText>
        </w:r>
        <w:r w:rsidR="00083581">
          <w:rPr>
            <w:noProof/>
            <w:webHidden/>
          </w:rPr>
        </w:r>
        <w:r w:rsidR="00083581">
          <w:rPr>
            <w:noProof/>
            <w:webHidden/>
          </w:rPr>
          <w:fldChar w:fldCharType="separate"/>
        </w:r>
        <w:r w:rsidR="00083581">
          <w:rPr>
            <w:noProof/>
            <w:webHidden/>
          </w:rPr>
          <w:t>22</w:t>
        </w:r>
        <w:r w:rsidR="00083581">
          <w:rPr>
            <w:noProof/>
            <w:webHidden/>
          </w:rPr>
          <w:fldChar w:fldCharType="end"/>
        </w:r>
      </w:hyperlink>
    </w:p>
    <w:p w14:paraId="66BE7311" w14:textId="6FEC1F84" w:rsidR="00083581" w:rsidRDefault="00CE1F3C">
      <w:pPr>
        <w:pStyle w:val="TableofFigures"/>
        <w:tabs>
          <w:tab w:val="right" w:leader="dot" w:pos="9350"/>
        </w:tabs>
        <w:rPr>
          <w:rFonts w:eastAsiaTheme="minorEastAsia" w:cstheme="minorBidi"/>
          <w:noProof/>
          <w:sz w:val="22"/>
          <w:szCs w:val="22"/>
          <w:lang w:bidi="ar-SA"/>
        </w:rPr>
      </w:pPr>
      <w:hyperlink w:anchor="_Toc26534492" w:history="1">
        <w:r w:rsidR="00083581" w:rsidRPr="002976C3">
          <w:rPr>
            <w:rStyle w:val="Hyperlink"/>
            <w:noProof/>
          </w:rPr>
          <w:t>Figure 6: A representation of the simple CNN model we use. Numbers on top of the vertical bar indicate the number of channels whereas number on the side indicate the shape of each one of the channels for each particular layer. Pooling layers are operations that reduce the shape of the channel and do not need to be trained. Note in practice we flatten the 10 x 10 x 32 array into a 32,000 x 1 array to be used as input for the final layer.</w:t>
        </w:r>
        <w:r w:rsidR="00083581">
          <w:rPr>
            <w:noProof/>
            <w:webHidden/>
          </w:rPr>
          <w:tab/>
        </w:r>
        <w:r w:rsidR="00083581">
          <w:rPr>
            <w:noProof/>
            <w:webHidden/>
          </w:rPr>
          <w:fldChar w:fldCharType="begin"/>
        </w:r>
        <w:r w:rsidR="00083581">
          <w:rPr>
            <w:noProof/>
            <w:webHidden/>
          </w:rPr>
          <w:instrText xml:space="preserve"> PAGEREF _Toc26534492 \h </w:instrText>
        </w:r>
        <w:r w:rsidR="00083581">
          <w:rPr>
            <w:noProof/>
            <w:webHidden/>
          </w:rPr>
        </w:r>
        <w:r w:rsidR="00083581">
          <w:rPr>
            <w:noProof/>
            <w:webHidden/>
          </w:rPr>
          <w:fldChar w:fldCharType="separate"/>
        </w:r>
        <w:r w:rsidR="00083581">
          <w:rPr>
            <w:noProof/>
            <w:webHidden/>
          </w:rPr>
          <w:t>23</w:t>
        </w:r>
        <w:r w:rsidR="00083581">
          <w:rPr>
            <w:noProof/>
            <w:webHidden/>
          </w:rPr>
          <w:fldChar w:fldCharType="end"/>
        </w:r>
      </w:hyperlink>
    </w:p>
    <w:p w14:paraId="3351460B" w14:textId="3ABEF9F4" w:rsidR="00083581" w:rsidRDefault="00CE1F3C">
      <w:pPr>
        <w:pStyle w:val="TableofFigures"/>
        <w:tabs>
          <w:tab w:val="right" w:leader="dot" w:pos="9350"/>
        </w:tabs>
        <w:rPr>
          <w:rFonts w:eastAsiaTheme="minorEastAsia" w:cstheme="minorBidi"/>
          <w:noProof/>
          <w:sz w:val="22"/>
          <w:szCs w:val="22"/>
          <w:lang w:bidi="ar-SA"/>
        </w:rPr>
      </w:pPr>
      <w:hyperlink w:anchor="_Toc26534493" w:history="1">
        <w:r w:rsidR="00083581" w:rsidRPr="002976C3">
          <w:rPr>
            <w:rStyle w:val="Hyperlink"/>
            <w:noProof/>
          </w:rPr>
          <w:t>Figure 7: Example of how the data a transformed for different layers in our simple CNN model. When the model starts, the weights are randomly generated and the CNN assigns a fairly balanced probability the image can belong to each one of the classes. The image on top shows the input to the CNN. The first row shows the results of the first layer consisting of eight convolved outputs. The second row shows the results of the 16 filters of the second convolutional layer, after the first max pooling layer. The third row shows the results of the 32 filters of the third convolutional layer. The fourth row shows the flattened vector. Finally, the fifth and last row shows the results for each one of the three neurons on the final layer. Images not to scale.  We refer the reader to the online version containing a video showing the evolution of these images for each epoch. Blue is used for small values and yellow for large. Images not to scale. This image shows the output of different filters, not the filters themselves.</w:t>
        </w:r>
        <w:r w:rsidR="00083581">
          <w:rPr>
            <w:noProof/>
            <w:webHidden/>
          </w:rPr>
          <w:tab/>
        </w:r>
        <w:r w:rsidR="00083581">
          <w:rPr>
            <w:noProof/>
            <w:webHidden/>
          </w:rPr>
          <w:fldChar w:fldCharType="begin"/>
        </w:r>
        <w:r w:rsidR="00083581">
          <w:rPr>
            <w:noProof/>
            <w:webHidden/>
          </w:rPr>
          <w:instrText xml:space="preserve"> PAGEREF _Toc26534493 \h </w:instrText>
        </w:r>
        <w:r w:rsidR="00083581">
          <w:rPr>
            <w:noProof/>
            <w:webHidden/>
          </w:rPr>
        </w:r>
        <w:r w:rsidR="00083581">
          <w:rPr>
            <w:noProof/>
            <w:webHidden/>
          </w:rPr>
          <w:fldChar w:fldCharType="separate"/>
        </w:r>
        <w:r w:rsidR="00083581">
          <w:rPr>
            <w:noProof/>
            <w:webHidden/>
          </w:rPr>
          <w:t>25</w:t>
        </w:r>
        <w:r w:rsidR="00083581">
          <w:rPr>
            <w:noProof/>
            <w:webHidden/>
          </w:rPr>
          <w:fldChar w:fldCharType="end"/>
        </w:r>
      </w:hyperlink>
    </w:p>
    <w:p w14:paraId="4FF8D8EE" w14:textId="4A0206C6" w:rsidR="00083581" w:rsidRDefault="00CE1F3C">
      <w:pPr>
        <w:pStyle w:val="TableofFigures"/>
        <w:tabs>
          <w:tab w:val="right" w:leader="dot" w:pos="9350"/>
        </w:tabs>
        <w:rPr>
          <w:rFonts w:eastAsiaTheme="minorEastAsia" w:cstheme="minorBidi"/>
          <w:noProof/>
          <w:sz w:val="22"/>
          <w:szCs w:val="22"/>
          <w:lang w:bidi="ar-SA"/>
        </w:rPr>
      </w:pPr>
      <w:hyperlink w:anchor="_Toc26534494" w:history="1">
        <w:r w:rsidR="00083581" w:rsidRPr="002976C3">
          <w:rPr>
            <w:rStyle w:val="Hyperlink"/>
            <w:noProof/>
          </w:rPr>
          <w:t>Figure 8: Same image as Figure 7 after the model is trained for 25 epochs. We refer the reader to the online version for a video showing the epoch-by-epoch evolution. The model assigns the sample to the correct class with a high probability. Blue is used for small values and yellow for large values. Images not to scale.</w:t>
        </w:r>
        <w:r w:rsidR="00083581">
          <w:rPr>
            <w:noProof/>
            <w:webHidden/>
          </w:rPr>
          <w:tab/>
        </w:r>
        <w:r w:rsidR="00083581">
          <w:rPr>
            <w:noProof/>
            <w:webHidden/>
          </w:rPr>
          <w:fldChar w:fldCharType="begin"/>
        </w:r>
        <w:r w:rsidR="00083581">
          <w:rPr>
            <w:noProof/>
            <w:webHidden/>
          </w:rPr>
          <w:instrText xml:space="preserve"> PAGEREF _Toc26534494 \h </w:instrText>
        </w:r>
        <w:r w:rsidR="00083581">
          <w:rPr>
            <w:noProof/>
            <w:webHidden/>
          </w:rPr>
        </w:r>
        <w:r w:rsidR="00083581">
          <w:rPr>
            <w:noProof/>
            <w:webHidden/>
          </w:rPr>
          <w:fldChar w:fldCharType="separate"/>
        </w:r>
        <w:r w:rsidR="00083581">
          <w:rPr>
            <w:noProof/>
            <w:webHidden/>
          </w:rPr>
          <w:t>26</w:t>
        </w:r>
        <w:r w:rsidR="00083581">
          <w:rPr>
            <w:noProof/>
            <w:webHidden/>
          </w:rPr>
          <w:fldChar w:fldCharType="end"/>
        </w:r>
      </w:hyperlink>
    </w:p>
    <w:p w14:paraId="18A70080" w14:textId="71E44E5D" w:rsidR="00083581" w:rsidRDefault="00CE1F3C">
      <w:pPr>
        <w:pStyle w:val="TableofFigures"/>
        <w:tabs>
          <w:tab w:val="right" w:leader="dot" w:pos="9350"/>
        </w:tabs>
        <w:rPr>
          <w:rFonts w:eastAsiaTheme="minorEastAsia" w:cstheme="minorBidi"/>
          <w:noProof/>
          <w:sz w:val="22"/>
          <w:szCs w:val="22"/>
          <w:lang w:bidi="ar-SA"/>
        </w:rPr>
      </w:pPr>
      <w:hyperlink w:anchor="_Toc26534495" w:history="1">
        <w:r w:rsidR="00083581" w:rsidRPr="002976C3">
          <w:rPr>
            <w:rStyle w:val="Hyperlink"/>
            <w:noProof/>
          </w:rPr>
          <w:t>Figure 9: Samples from our small dataset, saliency map and grad-CAM generated with our simple model. (a), (b), and (c) show original image, saliency map computed with backpropagation, and grad-CAM. Saliency map shows gradient are spread for (a) and (c) and more focused on (b). Grad-CAM for (a) and (b) highlight areas that very clearly dominate the class in the picture. Note how the shadow of the oil well is important for its classification.</w:t>
        </w:r>
        <w:r w:rsidR="00083581">
          <w:rPr>
            <w:noProof/>
            <w:webHidden/>
          </w:rPr>
          <w:tab/>
        </w:r>
        <w:r w:rsidR="00083581">
          <w:rPr>
            <w:noProof/>
            <w:webHidden/>
          </w:rPr>
          <w:fldChar w:fldCharType="begin"/>
        </w:r>
        <w:r w:rsidR="00083581">
          <w:rPr>
            <w:noProof/>
            <w:webHidden/>
          </w:rPr>
          <w:instrText xml:space="preserve"> PAGEREF _Toc26534495 \h </w:instrText>
        </w:r>
        <w:r w:rsidR="00083581">
          <w:rPr>
            <w:noProof/>
            <w:webHidden/>
          </w:rPr>
        </w:r>
        <w:r w:rsidR="00083581">
          <w:rPr>
            <w:noProof/>
            <w:webHidden/>
          </w:rPr>
          <w:fldChar w:fldCharType="separate"/>
        </w:r>
        <w:r w:rsidR="00083581">
          <w:rPr>
            <w:noProof/>
            <w:webHidden/>
          </w:rPr>
          <w:t>28</w:t>
        </w:r>
        <w:r w:rsidR="00083581">
          <w:rPr>
            <w:noProof/>
            <w:webHidden/>
          </w:rPr>
          <w:fldChar w:fldCharType="end"/>
        </w:r>
      </w:hyperlink>
    </w:p>
    <w:p w14:paraId="59CAE067" w14:textId="1645CE57" w:rsidR="00083581" w:rsidRDefault="00CE1F3C">
      <w:pPr>
        <w:pStyle w:val="TableofFigures"/>
        <w:tabs>
          <w:tab w:val="right" w:leader="dot" w:pos="9350"/>
        </w:tabs>
        <w:rPr>
          <w:rFonts w:eastAsiaTheme="minorEastAsia" w:cstheme="minorBidi"/>
          <w:noProof/>
          <w:sz w:val="22"/>
          <w:szCs w:val="22"/>
          <w:lang w:bidi="ar-SA"/>
        </w:rPr>
      </w:pPr>
      <w:hyperlink w:anchor="_Toc26534496" w:history="1">
        <w:r w:rsidR="00083581" w:rsidRPr="002976C3">
          <w:rPr>
            <w:rStyle w:val="Hyperlink"/>
            <w:noProof/>
          </w:rPr>
          <w:t>Figure 10: A picture of a dog, picture of a cat, saliency maps, and grad-CAM generated with VGG16. (a) and (b) show original image, saliency map, and Grad CAM. The original image (a) was classified as a Rhodesian ridgeback (0.21), whereas the second highest class for (a) was a redbone (0.16), two different dog breeds. Note ILSVRC has 1,000 classes and the probability to all classes sums to 1.0. The original image in (b) was classified as a spider monkey (0.69), the second highest class for (b) was a howler monkey (0.08). Saliency maps compute the gradient of the image with respect to the class assigned by the CNN model. We rescale the gradients from 0 to 255 to present them as color images. Grad-CAM is also based on gradients and computes the importance of the output filters towards the final decision. Grad-CAM implements guided backpropagation, in which negative gradients or gradients associated with a negative value of the filter are zeroed, rejecting elements that act negatively towards the decision, thus highlighting the most relevant zones for the model. Although the CNN model focuses on the areas in which the animals are located to provide the final classification, it is incapable of noticing the details of (b). This is very likely due to the fact that ILSVRC contains many pictures of monkeys on trees and few (if any?) pictures of cats on trees.</w:t>
        </w:r>
        <w:r w:rsidR="00083581">
          <w:rPr>
            <w:noProof/>
            <w:webHidden/>
          </w:rPr>
          <w:tab/>
        </w:r>
        <w:r w:rsidR="00083581">
          <w:rPr>
            <w:noProof/>
            <w:webHidden/>
          </w:rPr>
          <w:fldChar w:fldCharType="begin"/>
        </w:r>
        <w:r w:rsidR="00083581">
          <w:rPr>
            <w:noProof/>
            <w:webHidden/>
          </w:rPr>
          <w:instrText xml:space="preserve"> PAGEREF _Toc26534496 \h </w:instrText>
        </w:r>
        <w:r w:rsidR="00083581">
          <w:rPr>
            <w:noProof/>
            <w:webHidden/>
          </w:rPr>
        </w:r>
        <w:r w:rsidR="00083581">
          <w:rPr>
            <w:noProof/>
            <w:webHidden/>
          </w:rPr>
          <w:fldChar w:fldCharType="separate"/>
        </w:r>
        <w:r w:rsidR="00083581">
          <w:rPr>
            <w:noProof/>
            <w:webHidden/>
          </w:rPr>
          <w:t>31</w:t>
        </w:r>
        <w:r w:rsidR="00083581">
          <w:rPr>
            <w:noProof/>
            <w:webHidden/>
          </w:rPr>
          <w:fldChar w:fldCharType="end"/>
        </w:r>
      </w:hyperlink>
    </w:p>
    <w:p w14:paraId="570FA835" w14:textId="66CF3C1A" w:rsidR="00083581" w:rsidRDefault="00CE1F3C">
      <w:pPr>
        <w:pStyle w:val="TableofFigures"/>
        <w:tabs>
          <w:tab w:val="right" w:leader="dot" w:pos="9350"/>
        </w:tabs>
        <w:rPr>
          <w:rFonts w:eastAsiaTheme="minorEastAsia" w:cstheme="minorBidi"/>
          <w:noProof/>
          <w:sz w:val="22"/>
          <w:szCs w:val="22"/>
          <w:lang w:bidi="ar-SA"/>
        </w:rPr>
      </w:pPr>
      <w:hyperlink w:anchor="_Toc26534497" w:history="1">
        <w:r w:rsidR="00083581" w:rsidRPr="002976C3">
          <w:rPr>
            <w:rStyle w:val="Hyperlink"/>
            <w:noProof/>
          </w:rPr>
          <w:t xml:space="preserve">Figure 11: Results of activation maximization for ILSVRC for classes (a) “ourzel” and (b) “trilobite”. The input in this case are random values and the algorithm uses backpropagation to update the input in such a way that the output of a particular neuron is maximized. Note how the </w:t>
        </w:r>
        <w:r w:rsidR="00083581" w:rsidRPr="002976C3">
          <w:rPr>
            <w:rStyle w:val="Hyperlink"/>
            <w:noProof/>
          </w:rPr>
          <w:lastRenderedPageBreak/>
          <w:t>activation maximization of (a) seems to compose beak-like shapes whereas the activation maximization of (b) seems to be composed of “trilobite” textures.</w:t>
        </w:r>
        <w:r w:rsidR="00083581">
          <w:rPr>
            <w:noProof/>
            <w:webHidden/>
          </w:rPr>
          <w:tab/>
        </w:r>
        <w:r w:rsidR="00083581">
          <w:rPr>
            <w:noProof/>
            <w:webHidden/>
          </w:rPr>
          <w:fldChar w:fldCharType="begin"/>
        </w:r>
        <w:r w:rsidR="00083581">
          <w:rPr>
            <w:noProof/>
            <w:webHidden/>
          </w:rPr>
          <w:instrText xml:space="preserve"> PAGEREF _Toc26534497 \h </w:instrText>
        </w:r>
        <w:r w:rsidR="00083581">
          <w:rPr>
            <w:noProof/>
            <w:webHidden/>
          </w:rPr>
        </w:r>
        <w:r w:rsidR="00083581">
          <w:rPr>
            <w:noProof/>
            <w:webHidden/>
          </w:rPr>
          <w:fldChar w:fldCharType="separate"/>
        </w:r>
        <w:r w:rsidR="00083581">
          <w:rPr>
            <w:noProof/>
            <w:webHidden/>
          </w:rPr>
          <w:t>32</w:t>
        </w:r>
        <w:r w:rsidR="00083581">
          <w:rPr>
            <w:noProof/>
            <w:webHidden/>
          </w:rPr>
          <w:fldChar w:fldCharType="end"/>
        </w:r>
      </w:hyperlink>
    </w:p>
    <w:p w14:paraId="0EB4DC76" w14:textId="697ED635" w:rsidR="00083581" w:rsidRDefault="00CE1F3C">
      <w:pPr>
        <w:pStyle w:val="TableofFigures"/>
        <w:tabs>
          <w:tab w:val="right" w:leader="dot" w:pos="9350"/>
        </w:tabs>
        <w:rPr>
          <w:rFonts w:eastAsiaTheme="minorEastAsia" w:cstheme="minorBidi"/>
          <w:noProof/>
          <w:sz w:val="22"/>
          <w:szCs w:val="22"/>
          <w:lang w:bidi="ar-SA"/>
        </w:rPr>
      </w:pPr>
      <w:hyperlink w:anchor="_Toc26534498" w:history="1">
        <w:r w:rsidR="00083581" w:rsidRPr="002976C3">
          <w:rPr>
            <w:rStyle w:val="Hyperlink"/>
            <w:noProof/>
          </w:rPr>
          <w:t>Figure 12: Histogram showing the number of samples for each one of the three target classes: salt, conformal sedimentary layers (CSL), and mass transport deposit (MTD). Note we tried to provide a somewhat balanced number of samples per class.</w:t>
        </w:r>
        <w:r w:rsidR="00083581">
          <w:rPr>
            <w:noProof/>
            <w:webHidden/>
          </w:rPr>
          <w:tab/>
        </w:r>
        <w:r w:rsidR="00083581">
          <w:rPr>
            <w:noProof/>
            <w:webHidden/>
          </w:rPr>
          <w:fldChar w:fldCharType="begin"/>
        </w:r>
        <w:r w:rsidR="00083581">
          <w:rPr>
            <w:noProof/>
            <w:webHidden/>
          </w:rPr>
          <w:instrText xml:space="preserve"> PAGEREF _Toc26534498 \h </w:instrText>
        </w:r>
        <w:r w:rsidR="00083581">
          <w:rPr>
            <w:noProof/>
            <w:webHidden/>
          </w:rPr>
        </w:r>
        <w:r w:rsidR="00083581">
          <w:rPr>
            <w:noProof/>
            <w:webHidden/>
          </w:rPr>
          <w:fldChar w:fldCharType="separate"/>
        </w:r>
        <w:r w:rsidR="00083581">
          <w:rPr>
            <w:noProof/>
            <w:webHidden/>
          </w:rPr>
          <w:t>34</w:t>
        </w:r>
        <w:r w:rsidR="00083581">
          <w:rPr>
            <w:noProof/>
            <w:webHidden/>
          </w:rPr>
          <w:fldChar w:fldCharType="end"/>
        </w:r>
      </w:hyperlink>
    </w:p>
    <w:p w14:paraId="4B7A6139" w14:textId="2EC2A3F6" w:rsidR="00083581" w:rsidRDefault="00CE1F3C">
      <w:pPr>
        <w:pStyle w:val="TableofFigures"/>
        <w:tabs>
          <w:tab w:val="right" w:leader="dot" w:pos="9350"/>
        </w:tabs>
        <w:rPr>
          <w:rFonts w:eastAsiaTheme="minorEastAsia" w:cstheme="minorBidi"/>
          <w:noProof/>
          <w:sz w:val="22"/>
          <w:szCs w:val="22"/>
          <w:lang w:bidi="ar-SA"/>
        </w:rPr>
      </w:pPr>
      <w:hyperlink w:anchor="_Toc26534499" w:history="1">
        <w:r w:rsidR="00083581" w:rsidRPr="002976C3">
          <w:rPr>
            <w:rStyle w:val="Hyperlink"/>
            <w:noProof/>
          </w:rPr>
          <w:t>Figure 13: Model accuracy and loss evolution for 15 epochs of training. Note the accuracy for both training and validation sets reaches 1.0 at epoch four, whereas the loss continues to slowly decrease. The loss is plotted using logarithmic scale.</w:t>
        </w:r>
        <w:r w:rsidR="00083581">
          <w:rPr>
            <w:noProof/>
            <w:webHidden/>
          </w:rPr>
          <w:tab/>
        </w:r>
        <w:r w:rsidR="00083581">
          <w:rPr>
            <w:noProof/>
            <w:webHidden/>
          </w:rPr>
          <w:fldChar w:fldCharType="begin"/>
        </w:r>
        <w:r w:rsidR="00083581">
          <w:rPr>
            <w:noProof/>
            <w:webHidden/>
          </w:rPr>
          <w:instrText xml:space="preserve"> PAGEREF _Toc26534499 \h </w:instrText>
        </w:r>
        <w:r w:rsidR="00083581">
          <w:rPr>
            <w:noProof/>
            <w:webHidden/>
          </w:rPr>
        </w:r>
        <w:r w:rsidR="00083581">
          <w:rPr>
            <w:noProof/>
            <w:webHidden/>
          </w:rPr>
          <w:fldChar w:fldCharType="separate"/>
        </w:r>
        <w:r w:rsidR="00083581">
          <w:rPr>
            <w:noProof/>
            <w:webHidden/>
          </w:rPr>
          <w:t>35</w:t>
        </w:r>
        <w:r w:rsidR="00083581">
          <w:rPr>
            <w:noProof/>
            <w:webHidden/>
          </w:rPr>
          <w:fldChar w:fldCharType="end"/>
        </w:r>
      </w:hyperlink>
    </w:p>
    <w:p w14:paraId="30F0B70D" w14:textId="078363B7" w:rsidR="00083581" w:rsidRDefault="00CE1F3C">
      <w:pPr>
        <w:pStyle w:val="TableofFigures"/>
        <w:tabs>
          <w:tab w:val="right" w:leader="dot" w:pos="9350"/>
        </w:tabs>
        <w:rPr>
          <w:rFonts w:eastAsiaTheme="minorEastAsia" w:cstheme="minorBidi"/>
          <w:noProof/>
          <w:sz w:val="22"/>
          <w:szCs w:val="22"/>
          <w:lang w:bidi="ar-SA"/>
        </w:rPr>
      </w:pPr>
      <w:hyperlink w:anchor="_Toc26534500" w:history="1">
        <w:r w:rsidR="00083581" w:rsidRPr="002976C3">
          <w:rPr>
            <w:rStyle w:val="Hyperlink"/>
            <w:noProof/>
          </w:rPr>
          <w:t>Figure 14: Human interpretation and CNN classification results. (a) shows seismic amplitude and examples of interpretation of conformal sedimentary layers (CSL), salt, and MTD in different inlines. The black polygons show the interpreted seismic facies that will be used to train the CNN; the yellow arrows in each one of the panels show examples of the same seismic facies present in that class not interpreted, therefore not using for training or validation. (b) The resulting interpretation of the trained CNN model away from the training data overlaid on seismic amplitude. Seismic interpreters will quickly notice areas wherein they agree with CNN provided facies, as well as many areas in which they would disagree. Green arrows indicate locations in which the model seems to correctly classify the seismic image as most interpreters would; red arrows indicate locations in which CNN provided facies predictions that needs to be improved. It is evident that the CNN is overpredicting the distributions MTD, very likely due to an insufficient number of training samples.</w:t>
        </w:r>
        <w:r w:rsidR="00083581">
          <w:rPr>
            <w:noProof/>
            <w:webHidden/>
          </w:rPr>
          <w:tab/>
        </w:r>
        <w:r w:rsidR="00083581">
          <w:rPr>
            <w:noProof/>
            <w:webHidden/>
          </w:rPr>
          <w:fldChar w:fldCharType="begin"/>
        </w:r>
        <w:r w:rsidR="00083581">
          <w:rPr>
            <w:noProof/>
            <w:webHidden/>
          </w:rPr>
          <w:instrText xml:space="preserve"> PAGEREF _Toc26534500 \h </w:instrText>
        </w:r>
        <w:r w:rsidR="00083581">
          <w:rPr>
            <w:noProof/>
            <w:webHidden/>
          </w:rPr>
        </w:r>
        <w:r w:rsidR="00083581">
          <w:rPr>
            <w:noProof/>
            <w:webHidden/>
          </w:rPr>
          <w:fldChar w:fldCharType="separate"/>
        </w:r>
        <w:r w:rsidR="00083581">
          <w:rPr>
            <w:noProof/>
            <w:webHidden/>
          </w:rPr>
          <w:t>36</w:t>
        </w:r>
        <w:r w:rsidR="00083581">
          <w:rPr>
            <w:noProof/>
            <w:webHidden/>
          </w:rPr>
          <w:fldChar w:fldCharType="end"/>
        </w:r>
      </w:hyperlink>
    </w:p>
    <w:p w14:paraId="1DAB446B" w14:textId="417E6F5B" w:rsidR="00083581" w:rsidRDefault="00CE1F3C">
      <w:pPr>
        <w:pStyle w:val="TableofFigures"/>
        <w:tabs>
          <w:tab w:val="right" w:leader="dot" w:pos="9350"/>
        </w:tabs>
        <w:rPr>
          <w:rFonts w:eastAsiaTheme="minorEastAsia" w:cstheme="minorBidi"/>
          <w:noProof/>
          <w:sz w:val="22"/>
          <w:szCs w:val="22"/>
          <w:lang w:bidi="ar-SA"/>
        </w:rPr>
      </w:pPr>
      <w:hyperlink w:anchor="_Toc26534501" w:history="1">
        <w:r w:rsidR="00083581" w:rsidRPr="002976C3">
          <w:rPr>
            <w:rStyle w:val="Hyperlink"/>
            <w:noProof/>
          </w:rPr>
          <w:t>Figure 1: Examples of the data used in this study. A) Three of the seven Fusulinids groups (</w:t>
        </w:r>
        <w:r w:rsidR="00083581" w:rsidRPr="002976C3">
          <w:rPr>
            <w:rStyle w:val="Hyperlink"/>
            <w:i/>
            <w:noProof/>
          </w:rPr>
          <w:t>Beedeina</w:t>
        </w:r>
        <w:r w:rsidR="00083581" w:rsidRPr="002976C3">
          <w:rPr>
            <w:rStyle w:val="Hyperlink"/>
            <w:noProof/>
          </w:rPr>
          <w:t xml:space="preserve"> (1), </w:t>
        </w:r>
        <w:r w:rsidR="00083581" w:rsidRPr="002976C3">
          <w:rPr>
            <w:rStyle w:val="Hyperlink"/>
            <w:i/>
            <w:noProof/>
          </w:rPr>
          <w:t>Fusulinella</w:t>
        </w:r>
        <w:r w:rsidR="00083581" w:rsidRPr="002976C3">
          <w:rPr>
            <w:rStyle w:val="Hyperlink"/>
            <w:noProof/>
          </w:rPr>
          <w:t xml:space="preserve"> (2), and </w:t>
        </w:r>
        <w:r w:rsidR="00083581" w:rsidRPr="002976C3">
          <w:rPr>
            <w:rStyle w:val="Hyperlink"/>
            <w:i/>
            <w:noProof/>
          </w:rPr>
          <w:t xml:space="preserve">Parafusulina </w:t>
        </w:r>
        <w:r w:rsidR="00083581" w:rsidRPr="002976C3">
          <w:rPr>
            <w:rStyle w:val="Hyperlink"/>
            <w:noProof/>
          </w:rPr>
          <w:t xml:space="preserve">(3)). B) Three of the five lithofacies (bioturbated mudstone-wackestone (1), chert breccia (2), and shale (3)). C) Reservoir quality </w:t>
        </w:r>
        <w:r w:rsidR="00083581" w:rsidRPr="002976C3">
          <w:rPr>
            <w:rStyle w:val="Hyperlink"/>
            <w:noProof/>
          </w:rPr>
          <w:lastRenderedPageBreak/>
          <w:t>classes (high (1), intermediate (2), and low (3)) D) Three of the six rock sample groups (basalt (1), garnet schist (2), and granite (3)). Samples were interpreted by professionals working with each separate dataset.</w:t>
        </w:r>
        <w:r w:rsidR="00083581">
          <w:rPr>
            <w:noProof/>
            <w:webHidden/>
          </w:rPr>
          <w:tab/>
        </w:r>
        <w:r w:rsidR="00083581">
          <w:rPr>
            <w:noProof/>
            <w:webHidden/>
          </w:rPr>
          <w:fldChar w:fldCharType="begin"/>
        </w:r>
        <w:r w:rsidR="00083581">
          <w:rPr>
            <w:noProof/>
            <w:webHidden/>
          </w:rPr>
          <w:instrText xml:space="preserve"> PAGEREF _Toc26534501 \h </w:instrText>
        </w:r>
        <w:r w:rsidR="00083581">
          <w:rPr>
            <w:noProof/>
            <w:webHidden/>
          </w:rPr>
        </w:r>
        <w:r w:rsidR="00083581">
          <w:rPr>
            <w:noProof/>
            <w:webHidden/>
          </w:rPr>
          <w:fldChar w:fldCharType="separate"/>
        </w:r>
        <w:r w:rsidR="00083581">
          <w:rPr>
            <w:noProof/>
            <w:webHidden/>
          </w:rPr>
          <w:t>52</w:t>
        </w:r>
        <w:r w:rsidR="00083581">
          <w:rPr>
            <w:noProof/>
            <w:webHidden/>
          </w:rPr>
          <w:fldChar w:fldCharType="end"/>
        </w:r>
      </w:hyperlink>
    </w:p>
    <w:p w14:paraId="4E6C766A" w14:textId="056C3A8B" w:rsidR="00083581" w:rsidRDefault="00CE1F3C">
      <w:pPr>
        <w:pStyle w:val="TableofFigures"/>
        <w:tabs>
          <w:tab w:val="right" w:leader="dot" w:pos="9350"/>
        </w:tabs>
        <w:rPr>
          <w:rFonts w:eastAsiaTheme="minorEastAsia" w:cstheme="minorBidi"/>
          <w:noProof/>
          <w:sz w:val="22"/>
          <w:szCs w:val="22"/>
          <w:lang w:bidi="ar-SA"/>
        </w:rPr>
      </w:pPr>
      <w:hyperlink w:anchor="_Toc26534502" w:history="1">
        <w:r w:rsidR="00083581" w:rsidRPr="002976C3">
          <w:rPr>
            <w:rStyle w:val="Hyperlink"/>
            <w:noProof/>
          </w:rPr>
          <w:t>Figure 2: An example of the classification process. In this example, a thin-section image that should fit one of the seven Fusulinid genera is analyzed by the model. The model outputs the probability assigned to each of the possible classes (all probabilities summing to 1.0). The term “classes” here is used in the ML sense rather than the biological one. In the example provided, our model provided a high probability for the same class as the human expert. Note that in the implementation we use the model will classify any image as one of the seven learned classes – even if the image is clearly not a fossil. This highlights the importance of a domain expert intervention.</w:t>
        </w:r>
        <w:r w:rsidR="00083581">
          <w:rPr>
            <w:noProof/>
            <w:webHidden/>
          </w:rPr>
          <w:tab/>
        </w:r>
        <w:r w:rsidR="00083581">
          <w:rPr>
            <w:noProof/>
            <w:webHidden/>
          </w:rPr>
          <w:fldChar w:fldCharType="begin"/>
        </w:r>
        <w:r w:rsidR="00083581">
          <w:rPr>
            <w:noProof/>
            <w:webHidden/>
          </w:rPr>
          <w:instrText xml:space="preserve"> PAGEREF _Toc26534502 \h </w:instrText>
        </w:r>
        <w:r w:rsidR="00083581">
          <w:rPr>
            <w:noProof/>
            <w:webHidden/>
          </w:rPr>
        </w:r>
        <w:r w:rsidR="00083581">
          <w:rPr>
            <w:noProof/>
            <w:webHidden/>
          </w:rPr>
          <w:fldChar w:fldCharType="separate"/>
        </w:r>
        <w:r w:rsidR="00083581">
          <w:rPr>
            <w:noProof/>
            <w:webHidden/>
          </w:rPr>
          <w:t>55</w:t>
        </w:r>
        <w:r w:rsidR="00083581">
          <w:rPr>
            <w:noProof/>
            <w:webHidden/>
          </w:rPr>
          <w:fldChar w:fldCharType="end"/>
        </w:r>
      </w:hyperlink>
    </w:p>
    <w:p w14:paraId="3207AD88" w14:textId="219500A3" w:rsidR="00083581" w:rsidRDefault="00CE1F3C">
      <w:pPr>
        <w:pStyle w:val="TableofFigures"/>
        <w:tabs>
          <w:tab w:val="right" w:leader="dot" w:pos="9350"/>
        </w:tabs>
        <w:rPr>
          <w:rFonts w:eastAsiaTheme="minorEastAsia" w:cstheme="minorBidi"/>
          <w:noProof/>
          <w:sz w:val="22"/>
          <w:szCs w:val="22"/>
          <w:lang w:bidi="ar-SA"/>
        </w:rPr>
      </w:pPr>
      <w:hyperlink w:anchor="_Toc26534503" w:history="1">
        <w:r w:rsidR="00083581" w:rsidRPr="002976C3">
          <w:rPr>
            <w:rStyle w:val="Hyperlink"/>
            <w:noProof/>
          </w:rPr>
          <w:t>Figure 3: Figure showing image augmentation of a photographed core the core using a sliding window of cropped image. This approach provides the CNN with a greater amount of training data. The blue rectangle shows images that were never used during training (the test data). The cropped images crossed were discarded from the datasets (damaged rocks). The green arrow indicates a random image that could have been selected to be part of the test set. When an image like this is selected, the overlapping neighboring images are also removed from the training set. The separation of test data was the same for all classes in this project.</w:t>
        </w:r>
        <w:r w:rsidR="00083581">
          <w:rPr>
            <w:noProof/>
            <w:webHidden/>
          </w:rPr>
          <w:tab/>
        </w:r>
        <w:r w:rsidR="00083581">
          <w:rPr>
            <w:noProof/>
            <w:webHidden/>
          </w:rPr>
          <w:fldChar w:fldCharType="begin"/>
        </w:r>
        <w:r w:rsidR="00083581">
          <w:rPr>
            <w:noProof/>
            <w:webHidden/>
          </w:rPr>
          <w:instrText xml:space="preserve"> PAGEREF _Toc26534503 \h </w:instrText>
        </w:r>
        <w:r w:rsidR="00083581">
          <w:rPr>
            <w:noProof/>
            <w:webHidden/>
          </w:rPr>
        </w:r>
        <w:r w:rsidR="00083581">
          <w:rPr>
            <w:noProof/>
            <w:webHidden/>
          </w:rPr>
          <w:fldChar w:fldCharType="separate"/>
        </w:r>
        <w:r w:rsidR="00083581">
          <w:rPr>
            <w:noProof/>
            <w:webHidden/>
          </w:rPr>
          <w:t>70</w:t>
        </w:r>
        <w:r w:rsidR="00083581">
          <w:rPr>
            <w:noProof/>
            <w:webHidden/>
          </w:rPr>
          <w:fldChar w:fldCharType="end"/>
        </w:r>
      </w:hyperlink>
    </w:p>
    <w:p w14:paraId="6B98F8E5" w14:textId="699AF5D6" w:rsidR="00083581" w:rsidRDefault="00CE1F3C">
      <w:pPr>
        <w:pStyle w:val="TableofFigures"/>
        <w:tabs>
          <w:tab w:val="right" w:leader="dot" w:pos="9350"/>
        </w:tabs>
        <w:rPr>
          <w:rFonts w:eastAsiaTheme="minorEastAsia" w:cstheme="minorBidi"/>
          <w:noProof/>
          <w:sz w:val="22"/>
          <w:szCs w:val="22"/>
          <w:lang w:bidi="ar-SA"/>
        </w:rPr>
      </w:pPr>
      <w:hyperlink w:anchor="_Toc26534504" w:history="1">
        <w:r w:rsidR="00083581" w:rsidRPr="002976C3">
          <w:rPr>
            <w:rStyle w:val="Hyperlink"/>
            <w:noProof/>
          </w:rPr>
          <w:t xml:space="preserve">Figure 4: Flowchart summarizing the workflow used in this paper. We begin with photographic images of the slabbed core, followed by simple image processing and data augmentation to generate our core image database. The CNN models we use as feature extractors were previously trained using millions of images on the ImageNet challenge. We then use transfer learning and </w:t>
        </w:r>
        <w:r w:rsidR="00083581" w:rsidRPr="002976C3">
          <w:rPr>
            <w:rStyle w:val="Hyperlink"/>
            <w:noProof/>
          </w:rPr>
          <w:lastRenderedPageBreak/>
          <w:t>re-use the ImageNet dataset classification CNN weights. Finally, we train the last layer to provide the desired core image classification.</w:t>
        </w:r>
        <w:r w:rsidR="00083581">
          <w:rPr>
            <w:noProof/>
            <w:webHidden/>
          </w:rPr>
          <w:tab/>
        </w:r>
        <w:r w:rsidR="00083581">
          <w:rPr>
            <w:noProof/>
            <w:webHidden/>
          </w:rPr>
          <w:fldChar w:fldCharType="begin"/>
        </w:r>
        <w:r w:rsidR="00083581">
          <w:rPr>
            <w:noProof/>
            <w:webHidden/>
          </w:rPr>
          <w:instrText xml:space="preserve"> PAGEREF _Toc26534504 \h </w:instrText>
        </w:r>
        <w:r w:rsidR="00083581">
          <w:rPr>
            <w:noProof/>
            <w:webHidden/>
          </w:rPr>
        </w:r>
        <w:r w:rsidR="00083581">
          <w:rPr>
            <w:noProof/>
            <w:webHidden/>
          </w:rPr>
          <w:fldChar w:fldCharType="separate"/>
        </w:r>
        <w:r w:rsidR="00083581">
          <w:rPr>
            <w:noProof/>
            <w:webHidden/>
          </w:rPr>
          <w:t>73</w:t>
        </w:r>
        <w:r w:rsidR="00083581">
          <w:rPr>
            <w:noProof/>
            <w:webHidden/>
          </w:rPr>
          <w:fldChar w:fldCharType="end"/>
        </w:r>
      </w:hyperlink>
    </w:p>
    <w:p w14:paraId="669155C3" w14:textId="739D57D5" w:rsidR="00083581" w:rsidRDefault="00CE1F3C">
      <w:pPr>
        <w:pStyle w:val="TableofFigures"/>
        <w:tabs>
          <w:tab w:val="right" w:leader="dot" w:pos="9350"/>
        </w:tabs>
        <w:rPr>
          <w:rFonts w:eastAsiaTheme="minorEastAsia" w:cstheme="minorBidi"/>
          <w:noProof/>
          <w:sz w:val="22"/>
          <w:szCs w:val="22"/>
          <w:lang w:bidi="ar-SA"/>
        </w:rPr>
      </w:pPr>
      <w:hyperlink w:anchor="_Toc26534505" w:history="1">
        <w:r w:rsidR="00083581" w:rsidRPr="002976C3">
          <w:rPr>
            <w:rStyle w:val="Hyperlink"/>
            <w:noProof/>
          </w:rPr>
          <w:t>Figure 5: Validation and training accuracy for the ResNetV2 training. Note that after approximately 1000 iterations the gains are marginal. Because the cost of training the classification layer is inexpensive compared to training the entire model, we can afford to let the model train for many steps.</w:t>
        </w:r>
        <w:r w:rsidR="00083581">
          <w:rPr>
            <w:noProof/>
            <w:webHidden/>
          </w:rPr>
          <w:tab/>
        </w:r>
        <w:r w:rsidR="00083581">
          <w:rPr>
            <w:noProof/>
            <w:webHidden/>
          </w:rPr>
          <w:fldChar w:fldCharType="begin"/>
        </w:r>
        <w:r w:rsidR="00083581">
          <w:rPr>
            <w:noProof/>
            <w:webHidden/>
          </w:rPr>
          <w:instrText xml:space="preserve"> PAGEREF _Toc26534505 \h </w:instrText>
        </w:r>
        <w:r w:rsidR="00083581">
          <w:rPr>
            <w:noProof/>
            <w:webHidden/>
          </w:rPr>
        </w:r>
        <w:r w:rsidR="00083581">
          <w:rPr>
            <w:noProof/>
            <w:webHidden/>
          </w:rPr>
          <w:fldChar w:fldCharType="separate"/>
        </w:r>
        <w:r w:rsidR="00083581">
          <w:rPr>
            <w:noProof/>
            <w:webHidden/>
          </w:rPr>
          <w:t>75</w:t>
        </w:r>
        <w:r w:rsidR="00083581">
          <w:rPr>
            <w:noProof/>
            <w:webHidden/>
          </w:rPr>
          <w:fldChar w:fldCharType="end"/>
        </w:r>
      </w:hyperlink>
    </w:p>
    <w:p w14:paraId="7093FB52" w14:textId="4F3A7917" w:rsidR="00083581" w:rsidRDefault="00CE1F3C">
      <w:pPr>
        <w:pStyle w:val="TableofFigures"/>
        <w:tabs>
          <w:tab w:val="right" w:leader="dot" w:pos="9350"/>
        </w:tabs>
        <w:rPr>
          <w:rFonts w:eastAsiaTheme="minorEastAsia" w:cstheme="minorBidi"/>
          <w:noProof/>
          <w:sz w:val="22"/>
          <w:szCs w:val="22"/>
          <w:lang w:bidi="ar-SA"/>
        </w:rPr>
      </w:pPr>
      <w:hyperlink w:anchor="_Toc26534506" w:history="1">
        <w:r w:rsidR="00083581" w:rsidRPr="002976C3">
          <w:rPr>
            <w:rStyle w:val="Hyperlink"/>
            <w:noProof/>
          </w:rPr>
          <w:t>Figure 6: Examples of the classification performed by the retrained ResNetV2. (a)The CNN very confidently assigned the image to the correct class (class 07, Nodular packstone-grainstone). (b)Again the CNN provides a high level of confidence to assign the image to the correct class (class 10, Bioturbated mudstone-wackestone). (c) The CNN still assigns the image to the correct class, but with lower confidence (class 01, Chert breccia in greenish shale matrix is the correct class). (d) The image shows an example in which the CNN failed to correctly assign the class. The CNN assigned a higher confidence for class 03 (Skeletal mudstone-wackestone, with 0.45 probability) whereas the correct class is actually class 06 (Bedded skeletal peloidal packstone-grainstone, 0.29 probability, yellow arrow in the image). Setting a confidence threshold of 0.50 or greater would identify this classification as “ambiguous”, calling for human intervention.</w:t>
        </w:r>
        <w:r w:rsidR="00083581">
          <w:rPr>
            <w:noProof/>
            <w:webHidden/>
          </w:rPr>
          <w:tab/>
        </w:r>
        <w:r w:rsidR="00083581">
          <w:rPr>
            <w:noProof/>
            <w:webHidden/>
          </w:rPr>
          <w:fldChar w:fldCharType="begin"/>
        </w:r>
        <w:r w:rsidR="00083581">
          <w:rPr>
            <w:noProof/>
            <w:webHidden/>
          </w:rPr>
          <w:instrText xml:space="preserve"> PAGEREF _Toc26534506 \h </w:instrText>
        </w:r>
        <w:r w:rsidR="00083581">
          <w:rPr>
            <w:noProof/>
            <w:webHidden/>
          </w:rPr>
        </w:r>
        <w:r w:rsidR="00083581">
          <w:rPr>
            <w:noProof/>
            <w:webHidden/>
          </w:rPr>
          <w:fldChar w:fldCharType="separate"/>
        </w:r>
        <w:r w:rsidR="00083581">
          <w:rPr>
            <w:noProof/>
            <w:webHidden/>
          </w:rPr>
          <w:t>76</w:t>
        </w:r>
        <w:r w:rsidR="00083581">
          <w:rPr>
            <w:noProof/>
            <w:webHidden/>
          </w:rPr>
          <w:fldChar w:fldCharType="end"/>
        </w:r>
      </w:hyperlink>
    </w:p>
    <w:p w14:paraId="781D5EB0" w14:textId="0533C1BA" w:rsidR="00083581" w:rsidRDefault="00CE1F3C">
      <w:pPr>
        <w:pStyle w:val="TableofFigures"/>
        <w:tabs>
          <w:tab w:val="right" w:leader="dot" w:pos="9350"/>
        </w:tabs>
        <w:rPr>
          <w:rFonts w:eastAsiaTheme="minorEastAsia" w:cstheme="minorBidi"/>
          <w:noProof/>
          <w:sz w:val="22"/>
          <w:szCs w:val="22"/>
          <w:lang w:bidi="ar-SA"/>
        </w:rPr>
      </w:pPr>
      <w:hyperlink w:anchor="_Toc26534507" w:history="1">
        <w:r w:rsidR="00083581" w:rsidRPr="002976C3">
          <w:rPr>
            <w:rStyle w:val="Hyperlink"/>
            <w:noProof/>
          </w:rPr>
          <w:t>Figure 7: Normalized confusion matrix of the retrained ResNetV2 applied to the test set. Refer to Table 2 for class lithofacies and number of images for each class.</w:t>
        </w:r>
        <w:r w:rsidR="00083581">
          <w:rPr>
            <w:noProof/>
            <w:webHidden/>
          </w:rPr>
          <w:tab/>
        </w:r>
        <w:r w:rsidR="00083581">
          <w:rPr>
            <w:noProof/>
            <w:webHidden/>
          </w:rPr>
          <w:fldChar w:fldCharType="begin"/>
        </w:r>
        <w:r w:rsidR="00083581">
          <w:rPr>
            <w:noProof/>
            <w:webHidden/>
          </w:rPr>
          <w:instrText xml:space="preserve"> PAGEREF _Toc26534507 \h </w:instrText>
        </w:r>
        <w:r w:rsidR="00083581">
          <w:rPr>
            <w:noProof/>
            <w:webHidden/>
          </w:rPr>
        </w:r>
        <w:r w:rsidR="00083581">
          <w:rPr>
            <w:noProof/>
            <w:webHidden/>
          </w:rPr>
          <w:fldChar w:fldCharType="separate"/>
        </w:r>
        <w:r w:rsidR="00083581">
          <w:rPr>
            <w:noProof/>
            <w:webHidden/>
          </w:rPr>
          <w:t>77</w:t>
        </w:r>
        <w:r w:rsidR="00083581">
          <w:rPr>
            <w:noProof/>
            <w:webHidden/>
          </w:rPr>
          <w:fldChar w:fldCharType="end"/>
        </w:r>
      </w:hyperlink>
    </w:p>
    <w:p w14:paraId="19C68757" w14:textId="0652D145" w:rsidR="00083581" w:rsidRDefault="00CE1F3C">
      <w:pPr>
        <w:pStyle w:val="TableofFigures"/>
        <w:tabs>
          <w:tab w:val="right" w:leader="dot" w:pos="9350"/>
        </w:tabs>
        <w:rPr>
          <w:rFonts w:eastAsiaTheme="minorEastAsia" w:cstheme="minorBidi"/>
          <w:noProof/>
          <w:sz w:val="22"/>
          <w:szCs w:val="22"/>
          <w:lang w:bidi="ar-SA"/>
        </w:rPr>
      </w:pPr>
      <w:hyperlink w:anchor="_Toc26534508" w:history="1">
        <w:r w:rsidR="00083581" w:rsidRPr="002976C3">
          <w:rPr>
            <w:rStyle w:val="Hyperlink"/>
            <w:noProof/>
          </w:rPr>
          <w:t>Figure 8: (a) A photographic image of a carpet classified by the ResNetV2, and (b) examples of images from the class 4 training dataset. The CNN is 70% confident that the carpet belongs to class 4 - Skeletal grainstone.</w:t>
        </w:r>
        <w:r w:rsidR="00083581">
          <w:rPr>
            <w:noProof/>
            <w:webHidden/>
          </w:rPr>
          <w:tab/>
        </w:r>
        <w:r w:rsidR="00083581">
          <w:rPr>
            <w:noProof/>
            <w:webHidden/>
          </w:rPr>
          <w:fldChar w:fldCharType="begin"/>
        </w:r>
        <w:r w:rsidR="00083581">
          <w:rPr>
            <w:noProof/>
            <w:webHidden/>
          </w:rPr>
          <w:instrText xml:space="preserve"> PAGEREF _Toc26534508 \h </w:instrText>
        </w:r>
        <w:r w:rsidR="00083581">
          <w:rPr>
            <w:noProof/>
            <w:webHidden/>
          </w:rPr>
        </w:r>
        <w:r w:rsidR="00083581">
          <w:rPr>
            <w:noProof/>
            <w:webHidden/>
          </w:rPr>
          <w:fldChar w:fldCharType="separate"/>
        </w:r>
        <w:r w:rsidR="00083581">
          <w:rPr>
            <w:noProof/>
            <w:webHidden/>
          </w:rPr>
          <w:t>81</w:t>
        </w:r>
        <w:r w:rsidR="00083581">
          <w:rPr>
            <w:noProof/>
            <w:webHidden/>
          </w:rPr>
          <w:fldChar w:fldCharType="end"/>
        </w:r>
      </w:hyperlink>
    </w:p>
    <w:p w14:paraId="7042E2C1" w14:textId="1E6AA73B" w:rsidR="00083581" w:rsidRDefault="00CE1F3C">
      <w:pPr>
        <w:pStyle w:val="TableofFigures"/>
        <w:tabs>
          <w:tab w:val="right" w:leader="dot" w:pos="9350"/>
        </w:tabs>
        <w:rPr>
          <w:rFonts w:eastAsiaTheme="minorEastAsia" w:cstheme="minorBidi"/>
          <w:noProof/>
          <w:sz w:val="22"/>
          <w:szCs w:val="22"/>
          <w:lang w:bidi="ar-SA"/>
        </w:rPr>
      </w:pPr>
      <w:hyperlink w:anchor="_Toc26534509" w:history="1">
        <w:r w:rsidR="00083581" w:rsidRPr="002976C3">
          <w:rPr>
            <w:rStyle w:val="Hyperlink"/>
            <w:noProof/>
          </w:rPr>
          <w:t xml:space="preserve">Figure 23: Visual representation of the transfer learning process. A CNN is trained on the primary task, generally containing many (millions) of samples. We generically represent </w:t>
        </w:r>
        <w:r w:rsidR="00083581" w:rsidRPr="002976C3">
          <w:rPr>
            <w:rStyle w:val="Hyperlink"/>
            <w:noProof/>
          </w:rPr>
          <w:lastRenderedPageBreak/>
          <w:t>convolutional and pooling layers with gray and golden rectangles whereas green circles represent densely connected neurons, commonly used in the classification layers. “Primary task” (a.) in this case represents an image from the ImageNet dataset going through a generic CNN model (convolutional layers and classification layers) trained on the same dataset. The CNN model then outputs the probability of the image belonging to one of the thousands of classes of the ImageNet. For “secondary task” we use the weights learned by the convolutional layers on primary task using the blue rectangle to represent weights learned on the primary task. We then train a new classification model.</w:t>
        </w:r>
        <w:r w:rsidR="00083581">
          <w:rPr>
            <w:noProof/>
            <w:webHidden/>
          </w:rPr>
          <w:tab/>
        </w:r>
        <w:r w:rsidR="00083581">
          <w:rPr>
            <w:noProof/>
            <w:webHidden/>
          </w:rPr>
          <w:fldChar w:fldCharType="begin"/>
        </w:r>
        <w:r w:rsidR="00083581">
          <w:rPr>
            <w:noProof/>
            <w:webHidden/>
          </w:rPr>
          <w:instrText xml:space="preserve"> PAGEREF _Toc26534509 \h </w:instrText>
        </w:r>
        <w:r w:rsidR="00083581">
          <w:rPr>
            <w:noProof/>
            <w:webHidden/>
          </w:rPr>
        </w:r>
        <w:r w:rsidR="00083581">
          <w:rPr>
            <w:noProof/>
            <w:webHidden/>
          </w:rPr>
          <w:fldChar w:fldCharType="separate"/>
        </w:r>
        <w:r w:rsidR="00083581">
          <w:rPr>
            <w:noProof/>
            <w:webHidden/>
          </w:rPr>
          <w:t>110</w:t>
        </w:r>
        <w:r w:rsidR="00083581">
          <w:rPr>
            <w:noProof/>
            <w:webHidden/>
          </w:rPr>
          <w:fldChar w:fldCharType="end"/>
        </w:r>
      </w:hyperlink>
    </w:p>
    <w:p w14:paraId="5101F143" w14:textId="3775B3F0" w:rsidR="00083581" w:rsidRDefault="00CE1F3C">
      <w:pPr>
        <w:pStyle w:val="TableofFigures"/>
        <w:tabs>
          <w:tab w:val="right" w:leader="dot" w:pos="9350"/>
        </w:tabs>
        <w:rPr>
          <w:rFonts w:eastAsiaTheme="minorEastAsia" w:cstheme="minorBidi"/>
          <w:noProof/>
          <w:sz w:val="22"/>
          <w:szCs w:val="22"/>
          <w:lang w:bidi="ar-SA"/>
        </w:rPr>
      </w:pPr>
      <w:hyperlink w:anchor="_Toc26534510" w:history="1">
        <w:r w:rsidR="00083581" w:rsidRPr="002976C3">
          <w:rPr>
            <w:rStyle w:val="Hyperlink"/>
            <w:noProof/>
          </w:rPr>
          <w:t xml:space="preserve">Figure 24: Thin-sections with different orientations from the analyzed collection: 1. </w:t>
        </w:r>
        <w:r w:rsidR="00083581" w:rsidRPr="002976C3">
          <w:rPr>
            <w:rStyle w:val="Hyperlink"/>
            <w:i/>
            <w:noProof/>
          </w:rPr>
          <w:t>Beedeina mutabilis</w:t>
        </w:r>
        <w:r w:rsidR="00083581" w:rsidRPr="002976C3">
          <w:rPr>
            <w:rStyle w:val="Hyperlink"/>
            <w:noProof/>
          </w:rPr>
          <w:t xml:space="preserve"> with a longitudinal cut, and 2. </w:t>
        </w:r>
        <w:r w:rsidR="00083581" w:rsidRPr="002976C3">
          <w:rPr>
            <w:rStyle w:val="Hyperlink"/>
            <w:i/>
            <w:noProof/>
          </w:rPr>
          <w:t>B. mutabilis</w:t>
        </w:r>
        <w:r w:rsidR="00083581" w:rsidRPr="002976C3">
          <w:rPr>
            <w:rStyle w:val="Hyperlink"/>
            <w:noProof/>
          </w:rPr>
          <w:t xml:space="preserve"> with a transverse cut.</w:t>
        </w:r>
        <w:r w:rsidR="00083581">
          <w:rPr>
            <w:noProof/>
            <w:webHidden/>
          </w:rPr>
          <w:tab/>
        </w:r>
        <w:r w:rsidR="00083581">
          <w:rPr>
            <w:noProof/>
            <w:webHidden/>
          </w:rPr>
          <w:fldChar w:fldCharType="begin"/>
        </w:r>
        <w:r w:rsidR="00083581">
          <w:rPr>
            <w:noProof/>
            <w:webHidden/>
          </w:rPr>
          <w:instrText xml:space="preserve"> PAGEREF _Toc26534510 \h </w:instrText>
        </w:r>
        <w:r w:rsidR="00083581">
          <w:rPr>
            <w:noProof/>
            <w:webHidden/>
          </w:rPr>
        </w:r>
        <w:r w:rsidR="00083581">
          <w:rPr>
            <w:noProof/>
            <w:webHidden/>
          </w:rPr>
          <w:fldChar w:fldCharType="separate"/>
        </w:r>
        <w:r w:rsidR="00083581">
          <w:rPr>
            <w:noProof/>
            <w:webHidden/>
          </w:rPr>
          <w:t>111</w:t>
        </w:r>
        <w:r w:rsidR="00083581">
          <w:rPr>
            <w:noProof/>
            <w:webHidden/>
          </w:rPr>
          <w:fldChar w:fldCharType="end"/>
        </w:r>
      </w:hyperlink>
    </w:p>
    <w:p w14:paraId="52916796" w14:textId="2EE37186" w:rsidR="00083581" w:rsidRDefault="00CE1F3C">
      <w:pPr>
        <w:pStyle w:val="TableofFigures"/>
        <w:tabs>
          <w:tab w:val="right" w:leader="dot" w:pos="9350"/>
        </w:tabs>
        <w:rPr>
          <w:rFonts w:eastAsiaTheme="minorEastAsia" w:cstheme="minorBidi"/>
          <w:noProof/>
          <w:sz w:val="22"/>
          <w:szCs w:val="22"/>
          <w:lang w:bidi="ar-SA"/>
        </w:rPr>
      </w:pPr>
      <w:hyperlink w:anchor="_Toc26534511" w:history="1">
        <w:r w:rsidR="00083581" w:rsidRPr="002976C3">
          <w:rPr>
            <w:rStyle w:val="Hyperlink"/>
            <w:noProof/>
          </w:rPr>
          <w:t>Figure 25: Loss and accuracy evolution of train and validation set during training InceptionV3 in the fine tune mode.</w:t>
        </w:r>
        <w:r w:rsidR="00083581">
          <w:rPr>
            <w:noProof/>
            <w:webHidden/>
          </w:rPr>
          <w:tab/>
        </w:r>
        <w:r w:rsidR="00083581">
          <w:rPr>
            <w:noProof/>
            <w:webHidden/>
          </w:rPr>
          <w:fldChar w:fldCharType="begin"/>
        </w:r>
        <w:r w:rsidR="00083581">
          <w:rPr>
            <w:noProof/>
            <w:webHidden/>
          </w:rPr>
          <w:instrText xml:space="preserve"> PAGEREF _Toc26534511 \h </w:instrText>
        </w:r>
        <w:r w:rsidR="00083581">
          <w:rPr>
            <w:noProof/>
            <w:webHidden/>
          </w:rPr>
        </w:r>
        <w:r w:rsidR="00083581">
          <w:rPr>
            <w:noProof/>
            <w:webHidden/>
          </w:rPr>
          <w:fldChar w:fldCharType="separate"/>
        </w:r>
        <w:r w:rsidR="00083581">
          <w:rPr>
            <w:noProof/>
            <w:webHidden/>
          </w:rPr>
          <w:t>117</w:t>
        </w:r>
        <w:r w:rsidR="00083581">
          <w:rPr>
            <w:noProof/>
            <w:webHidden/>
          </w:rPr>
          <w:fldChar w:fldCharType="end"/>
        </w:r>
      </w:hyperlink>
    </w:p>
    <w:p w14:paraId="2F3FD3F0" w14:textId="4523C22C" w:rsidR="00083581" w:rsidRDefault="00CE1F3C">
      <w:pPr>
        <w:pStyle w:val="TableofFigures"/>
        <w:tabs>
          <w:tab w:val="right" w:leader="dot" w:pos="9350"/>
        </w:tabs>
        <w:rPr>
          <w:rFonts w:eastAsiaTheme="minorEastAsia" w:cstheme="minorBidi"/>
          <w:noProof/>
          <w:sz w:val="22"/>
          <w:szCs w:val="22"/>
          <w:lang w:bidi="ar-SA"/>
        </w:rPr>
      </w:pPr>
      <w:hyperlink w:anchor="_Toc26534512" w:history="1">
        <w:r w:rsidR="00083581" w:rsidRPr="002976C3">
          <w:rPr>
            <w:rStyle w:val="Hyperlink"/>
            <w:noProof/>
          </w:rPr>
          <w:t>Figure 26: Test set accuracy for the five different models using three different training modes.</w:t>
        </w:r>
        <w:r w:rsidR="00083581">
          <w:rPr>
            <w:noProof/>
            <w:webHidden/>
          </w:rPr>
          <w:tab/>
        </w:r>
        <w:r w:rsidR="00083581">
          <w:rPr>
            <w:noProof/>
            <w:webHidden/>
          </w:rPr>
          <w:fldChar w:fldCharType="begin"/>
        </w:r>
        <w:r w:rsidR="00083581">
          <w:rPr>
            <w:noProof/>
            <w:webHidden/>
          </w:rPr>
          <w:instrText xml:space="preserve"> PAGEREF _Toc26534512 \h </w:instrText>
        </w:r>
        <w:r w:rsidR="00083581">
          <w:rPr>
            <w:noProof/>
            <w:webHidden/>
          </w:rPr>
        </w:r>
        <w:r w:rsidR="00083581">
          <w:rPr>
            <w:noProof/>
            <w:webHidden/>
          </w:rPr>
          <w:fldChar w:fldCharType="separate"/>
        </w:r>
        <w:r w:rsidR="00083581">
          <w:rPr>
            <w:noProof/>
            <w:webHidden/>
          </w:rPr>
          <w:t>118</w:t>
        </w:r>
        <w:r w:rsidR="00083581">
          <w:rPr>
            <w:noProof/>
            <w:webHidden/>
          </w:rPr>
          <w:fldChar w:fldCharType="end"/>
        </w:r>
      </w:hyperlink>
    </w:p>
    <w:p w14:paraId="3EB26DFD" w14:textId="38C94A08" w:rsidR="00083581" w:rsidRDefault="00CE1F3C">
      <w:pPr>
        <w:pStyle w:val="TableofFigures"/>
        <w:tabs>
          <w:tab w:val="right" w:leader="dot" w:pos="9350"/>
        </w:tabs>
        <w:rPr>
          <w:rFonts w:eastAsiaTheme="minorEastAsia" w:cstheme="minorBidi"/>
          <w:noProof/>
          <w:sz w:val="22"/>
          <w:szCs w:val="22"/>
          <w:lang w:bidi="ar-SA"/>
        </w:rPr>
      </w:pPr>
      <w:hyperlink w:anchor="_Toc26534513" w:history="1">
        <w:r w:rsidR="00083581" w:rsidRPr="002976C3">
          <w:rPr>
            <w:rStyle w:val="Hyperlink"/>
            <w:noProof/>
          </w:rPr>
          <w:t>Figure 27: Confusion matrix for InceptionV3 trained in the fine tune mode. The confusion matrix shows the expert provided labels vs the model predicted labels. A perfect agreement between model and expert yields a matrix with values only on the main diagonal. Zero values are omitted.</w:t>
        </w:r>
        <w:r w:rsidR="00083581">
          <w:rPr>
            <w:noProof/>
            <w:webHidden/>
          </w:rPr>
          <w:tab/>
        </w:r>
        <w:r w:rsidR="00083581">
          <w:rPr>
            <w:noProof/>
            <w:webHidden/>
          </w:rPr>
          <w:fldChar w:fldCharType="begin"/>
        </w:r>
        <w:r w:rsidR="00083581">
          <w:rPr>
            <w:noProof/>
            <w:webHidden/>
          </w:rPr>
          <w:instrText xml:space="preserve"> PAGEREF _Toc26534513 \h </w:instrText>
        </w:r>
        <w:r w:rsidR="00083581">
          <w:rPr>
            <w:noProof/>
            <w:webHidden/>
          </w:rPr>
        </w:r>
        <w:r w:rsidR="00083581">
          <w:rPr>
            <w:noProof/>
            <w:webHidden/>
          </w:rPr>
          <w:fldChar w:fldCharType="separate"/>
        </w:r>
        <w:r w:rsidR="00083581">
          <w:rPr>
            <w:noProof/>
            <w:webHidden/>
          </w:rPr>
          <w:t>119</w:t>
        </w:r>
        <w:r w:rsidR="00083581">
          <w:rPr>
            <w:noProof/>
            <w:webHidden/>
          </w:rPr>
          <w:fldChar w:fldCharType="end"/>
        </w:r>
      </w:hyperlink>
    </w:p>
    <w:p w14:paraId="5E32478B" w14:textId="11A6F5BE" w:rsidR="00083581" w:rsidRDefault="00CE1F3C">
      <w:pPr>
        <w:pStyle w:val="TableofFigures"/>
        <w:tabs>
          <w:tab w:val="right" w:leader="dot" w:pos="9350"/>
        </w:tabs>
        <w:rPr>
          <w:rFonts w:eastAsiaTheme="minorEastAsia" w:cstheme="minorBidi"/>
          <w:noProof/>
          <w:sz w:val="22"/>
          <w:szCs w:val="22"/>
          <w:lang w:bidi="ar-SA"/>
        </w:rPr>
      </w:pPr>
      <w:hyperlink w:anchor="_Toc26534514" w:history="1">
        <w:r w:rsidR="00083581" w:rsidRPr="002976C3">
          <w:rPr>
            <w:rStyle w:val="Hyperlink"/>
            <w:noProof/>
          </w:rPr>
          <w:t xml:space="preserve">Figure 28: Examples of images in the test set classified by InceptionV3 trained on the fine tuning mode. The titles of each of the images are the classification provided by the paleontologists in their original publication, while the text boxes inside the thin-section images are the classification provided by the CNN model. The text box is green when the model assigned the </w:t>
        </w:r>
        <w:r w:rsidR="00083581" w:rsidRPr="002976C3">
          <w:rPr>
            <w:rStyle w:val="Hyperlink"/>
            <w:noProof/>
          </w:rPr>
          <w:lastRenderedPageBreak/>
          <w:t>same class (biological genus) as the paleontologist, and red otherwise. The value in the text box shows the probability assigned by the CNN model for that class.</w:t>
        </w:r>
        <w:r w:rsidR="00083581">
          <w:rPr>
            <w:noProof/>
            <w:webHidden/>
          </w:rPr>
          <w:tab/>
        </w:r>
        <w:r w:rsidR="00083581">
          <w:rPr>
            <w:noProof/>
            <w:webHidden/>
          </w:rPr>
          <w:fldChar w:fldCharType="begin"/>
        </w:r>
        <w:r w:rsidR="00083581">
          <w:rPr>
            <w:noProof/>
            <w:webHidden/>
          </w:rPr>
          <w:instrText xml:space="preserve"> PAGEREF _Toc26534514 \h </w:instrText>
        </w:r>
        <w:r w:rsidR="00083581">
          <w:rPr>
            <w:noProof/>
            <w:webHidden/>
          </w:rPr>
        </w:r>
        <w:r w:rsidR="00083581">
          <w:rPr>
            <w:noProof/>
            <w:webHidden/>
          </w:rPr>
          <w:fldChar w:fldCharType="separate"/>
        </w:r>
        <w:r w:rsidR="00083581">
          <w:rPr>
            <w:noProof/>
            <w:webHidden/>
          </w:rPr>
          <w:t>120</w:t>
        </w:r>
        <w:r w:rsidR="00083581">
          <w:rPr>
            <w:noProof/>
            <w:webHidden/>
          </w:rPr>
          <w:fldChar w:fldCharType="end"/>
        </w:r>
      </w:hyperlink>
    </w:p>
    <w:p w14:paraId="49EF8805" w14:textId="4B6BCF4D" w:rsidR="00083581" w:rsidRDefault="00CE1F3C">
      <w:pPr>
        <w:pStyle w:val="TableofFigures"/>
        <w:tabs>
          <w:tab w:val="right" w:leader="dot" w:pos="9350"/>
        </w:tabs>
        <w:rPr>
          <w:rFonts w:eastAsiaTheme="minorEastAsia" w:cstheme="minorBidi"/>
          <w:noProof/>
          <w:sz w:val="22"/>
          <w:szCs w:val="22"/>
          <w:lang w:bidi="ar-SA"/>
        </w:rPr>
      </w:pPr>
      <w:hyperlink w:anchor="_Toc26534515" w:history="1">
        <w:r w:rsidR="00083581" w:rsidRPr="002976C3">
          <w:rPr>
            <w:rStyle w:val="Hyperlink"/>
            <w:noProof/>
          </w:rPr>
          <w:t>Figure 15: Visualization of the models used. (a) shows a sample image from UCMerced, the base model, and the top model. (b) provides more details for the top model. The base model is dependent on the CNN architecture used for transfer learning and it is detailed in Figure 10. Top model is the same for all experiments. Note the pound sign “#” represents the number of classes, which depends on the dataset used.</w:t>
        </w:r>
        <w:r w:rsidR="00083581">
          <w:rPr>
            <w:noProof/>
            <w:webHidden/>
          </w:rPr>
          <w:tab/>
        </w:r>
        <w:r w:rsidR="00083581">
          <w:rPr>
            <w:noProof/>
            <w:webHidden/>
          </w:rPr>
          <w:fldChar w:fldCharType="begin"/>
        </w:r>
        <w:r w:rsidR="00083581">
          <w:rPr>
            <w:noProof/>
            <w:webHidden/>
          </w:rPr>
          <w:instrText xml:space="preserve"> PAGEREF _Toc26534515 \h </w:instrText>
        </w:r>
        <w:r w:rsidR="00083581">
          <w:rPr>
            <w:noProof/>
            <w:webHidden/>
          </w:rPr>
        </w:r>
        <w:r w:rsidR="00083581">
          <w:rPr>
            <w:noProof/>
            <w:webHidden/>
          </w:rPr>
          <w:fldChar w:fldCharType="separate"/>
        </w:r>
        <w:r w:rsidR="00083581">
          <w:rPr>
            <w:noProof/>
            <w:webHidden/>
          </w:rPr>
          <w:t>157</w:t>
        </w:r>
        <w:r w:rsidR="00083581">
          <w:rPr>
            <w:noProof/>
            <w:webHidden/>
          </w:rPr>
          <w:fldChar w:fldCharType="end"/>
        </w:r>
      </w:hyperlink>
    </w:p>
    <w:p w14:paraId="05421092" w14:textId="6F5279A6" w:rsidR="00083581" w:rsidRDefault="00CE1F3C">
      <w:pPr>
        <w:pStyle w:val="TableofFigures"/>
        <w:tabs>
          <w:tab w:val="right" w:leader="dot" w:pos="9350"/>
        </w:tabs>
        <w:rPr>
          <w:rFonts w:eastAsiaTheme="minorEastAsia" w:cstheme="minorBidi"/>
          <w:noProof/>
          <w:sz w:val="22"/>
          <w:szCs w:val="22"/>
          <w:lang w:bidi="ar-SA"/>
        </w:rPr>
      </w:pPr>
      <w:hyperlink w:anchor="_Toc26534516" w:history="1">
        <w:r w:rsidR="00083581" w:rsidRPr="002976C3">
          <w:rPr>
            <w:rStyle w:val="Hyperlink"/>
            <w:noProof/>
          </w:rPr>
          <w:t>Figure 16: Visual representation of the models used. In both panels, data flows from left to right. Both panes use the same color code for layer representation. (a) shows the VGG19 shallow, intermediate, and deep models – based on the naming convention we are using. (b) shows the Inception V3 shallow, intermediate, and deep models. For easier reference, we wrote the layer names (as implemented in Keras) for each one of the layers we used to split the original CNN models. Note for each one of the depth levels (shallow, intermediate, deep), we simple use the model up to the detour and connect it with our top model (e.g., when training VGG19 shallow, the data goes through two convolutional layers, one max pooling layers, and exits into our top model). Please refer to Simonyan and Zisserman (2014) and Szegedy et al. (2015) for details on VGG19 and Inception V3 respectively.</w:t>
        </w:r>
        <w:r w:rsidR="00083581">
          <w:rPr>
            <w:noProof/>
            <w:webHidden/>
          </w:rPr>
          <w:tab/>
        </w:r>
        <w:r w:rsidR="00083581">
          <w:rPr>
            <w:noProof/>
            <w:webHidden/>
          </w:rPr>
          <w:fldChar w:fldCharType="begin"/>
        </w:r>
        <w:r w:rsidR="00083581">
          <w:rPr>
            <w:noProof/>
            <w:webHidden/>
          </w:rPr>
          <w:instrText xml:space="preserve"> PAGEREF _Toc26534516 \h </w:instrText>
        </w:r>
        <w:r w:rsidR="00083581">
          <w:rPr>
            <w:noProof/>
            <w:webHidden/>
          </w:rPr>
        </w:r>
        <w:r w:rsidR="00083581">
          <w:rPr>
            <w:noProof/>
            <w:webHidden/>
          </w:rPr>
          <w:fldChar w:fldCharType="separate"/>
        </w:r>
        <w:r w:rsidR="00083581">
          <w:rPr>
            <w:noProof/>
            <w:webHidden/>
          </w:rPr>
          <w:t>158</w:t>
        </w:r>
        <w:r w:rsidR="00083581">
          <w:rPr>
            <w:noProof/>
            <w:webHidden/>
          </w:rPr>
          <w:fldChar w:fldCharType="end"/>
        </w:r>
      </w:hyperlink>
    </w:p>
    <w:p w14:paraId="528261F7" w14:textId="25DAD956" w:rsidR="00083581" w:rsidRDefault="00CE1F3C">
      <w:pPr>
        <w:pStyle w:val="TableofFigures"/>
        <w:tabs>
          <w:tab w:val="right" w:leader="dot" w:pos="9350"/>
        </w:tabs>
        <w:rPr>
          <w:rFonts w:eastAsiaTheme="minorEastAsia" w:cstheme="minorBidi"/>
          <w:noProof/>
          <w:sz w:val="22"/>
          <w:szCs w:val="22"/>
          <w:lang w:bidi="ar-SA"/>
        </w:rPr>
      </w:pPr>
      <w:hyperlink w:anchor="_Toc26534517" w:history="1">
        <w:r w:rsidR="00083581" w:rsidRPr="002976C3">
          <w:rPr>
            <w:rStyle w:val="Hyperlink"/>
            <w:noProof/>
          </w:rPr>
          <w:t>Figure 17: Accuracy per epoch for training and validation sets for different models and optimizers trained on the UCMerced dataset. The left column shows results for VGG19 models. The right column shows results for Inception V3 models. The first row shows shallow models, center shows intermediate, bottom shows deep models. Different colors represent different optimizers. Different and line style represent different datasets (solid for training, dashed for validation).</w:t>
        </w:r>
        <w:r w:rsidR="00083581">
          <w:rPr>
            <w:noProof/>
            <w:webHidden/>
          </w:rPr>
          <w:tab/>
        </w:r>
        <w:r w:rsidR="00083581">
          <w:rPr>
            <w:noProof/>
            <w:webHidden/>
          </w:rPr>
          <w:fldChar w:fldCharType="begin"/>
        </w:r>
        <w:r w:rsidR="00083581">
          <w:rPr>
            <w:noProof/>
            <w:webHidden/>
          </w:rPr>
          <w:instrText xml:space="preserve"> PAGEREF _Toc26534517 \h </w:instrText>
        </w:r>
        <w:r w:rsidR="00083581">
          <w:rPr>
            <w:noProof/>
            <w:webHidden/>
          </w:rPr>
        </w:r>
        <w:r w:rsidR="00083581">
          <w:rPr>
            <w:noProof/>
            <w:webHidden/>
          </w:rPr>
          <w:fldChar w:fldCharType="separate"/>
        </w:r>
        <w:r w:rsidR="00083581">
          <w:rPr>
            <w:noProof/>
            <w:webHidden/>
          </w:rPr>
          <w:t>162</w:t>
        </w:r>
        <w:r w:rsidR="00083581">
          <w:rPr>
            <w:noProof/>
            <w:webHidden/>
          </w:rPr>
          <w:fldChar w:fldCharType="end"/>
        </w:r>
      </w:hyperlink>
    </w:p>
    <w:p w14:paraId="6EF53205" w14:textId="427AEC33" w:rsidR="00083581" w:rsidRDefault="00CE1F3C">
      <w:pPr>
        <w:pStyle w:val="TableofFigures"/>
        <w:tabs>
          <w:tab w:val="right" w:leader="dot" w:pos="9350"/>
        </w:tabs>
        <w:rPr>
          <w:rFonts w:eastAsiaTheme="minorEastAsia" w:cstheme="minorBidi"/>
          <w:noProof/>
          <w:sz w:val="22"/>
          <w:szCs w:val="22"/>
          <w:lang w:bidi="ar-SA"/>
        </w:rPr>
      </w:pPr>
      <w:hyperlink w:anchor="_Toc26534518" w:history="1">
        <w:r w:rsidR="00083581" w:rsidRPr="002976C3">
          <w:rPr>
            <w:rStyle w:val="Hyperlink"/>
            <w:noProof/>
          </w:rPr>
          <w:t>Figure 18: Test set accuracy obtained by the models using different optimizers training on the same UCMerced dataset. The left panel shows VGG 19 results, right panel shows Inception V3 results.</w:t>
        </w:r>
        <w:r w:rsidR="00083581">
          <w:rPr>
            <w:noProof/>
            <w:webHidden/>
          </w:rPr>
          <w:tab/>
        </w:r>
        <w:r w:rsidR="00083581">
          <w:rPr>
            <w:noProof/>
            <w:webHidden/>
          </w:rPr>
          <w:fldChar w:fldCharType="begin"/>
        </w:r>
        <w:r w:rsidR="00083581">
          <w:rPr>
            <w:noProof/>
            <w:webHidden/>
          </w:rPr>
          <w:instrText xml:space="preserve"> PAGEREF _Toc26534518 \h </w:instrText>
        </w:r>
        <w:r w:rsidR="00083581">
          <w:rPr>
            <w:noProof/>
            <w:webHidden/>
          </w:rPr>
        </w:r>
        <w:r w:rsidR="00083581">
          <w:rPr>
            <w:noProof/>
            <w:webHidden/>
          </w:rPr>
          <w:fldChar w:fldCharType="separate"/>
        </w:r>
        <w:r w:rsidR="00083581">
          <w:rPr>
            <w:noProof/>
            <w:webHidden/>
          </w:rPr>
          <w:t>163</w:t>
        </w:r>
        <w:r w:rsidR="00083581">
          <w:rPr>
            <w:noProof/>
            <w:webHidden/>
          </w:rPr>
          <w:fldChar w:fldCharType="end"/>
        </w:r>
      </w:hyperlink>
    </w:p>
    <w:p w14:paraId="4F8CDC3B" w14:textId="6D58084C" w:rsidR="00083581" w:rsidRDefault="00CE1F3C">
      <w:pPr>
        <w:pStyle w:val="TableofFigures"/>
        <w:tabs>
          <w:tab w:val="right" w:leader="dot" w:pos="9350"/>
        </w:tabs>
        <w:rPr>
          <w:rFonts w:eastAsiaTheme="minorEastAsia" w:cstheme="minorBidi"/>
          <w:noProof/>
          <w:sz w:val="22"/>
          <w:szCs w:val="22"/>
          <w:lang w:bidi="ar-SA"/>
        </w:rPr>
      </w:pPr>
      <w:hyperlink w:anchor="_Toc26534519" w:history="1">
        <w:r w:rsidR="00083581" w:rsidRPr="002976C3">
          <w:rPr>
            <w:rStyle w:val="Hyperlink"/>
            <w:noProof/>
          </w:rPr>
          <w:t>Figure 19: Difference between training set and test set accuracy obtained by the models using different optimizers training on the same UCMerced dataset. The left panel shows VGG 19 results, right panel shows Inception V3 results. Note, as shown in Figure 4, that SGD (1e-2), Adam (1e-2), and Adamax (2e-3) results of theVGG19 intermediate and deep models remained stuck on local minima.</w:t>
        </w:r>
        <w:r w:rsidR="00083581">
          <w:rPr>
            <w:noProof/>
            <w:webHidden/>
          </w:rPr>
          <w:tab/>
        </w:r>
        <w:r w:rsidR="00083581">
          <w:rPr>
            <w:noProof/>
            <w:webHidden/>
          </w:rPr>
          <w:fldChar w:fldCharType="begin"/>
        </w:r>
        <w:r w:rsidR="00083581">
          <w:rPr>
            <w:noProof/>
            <w:webHidden/>
          </w:rPr>
          <w:instrText xml:space="preserve"> PAGEREF _Toc26534519 \h </w:instrText>
        </w:r>
        <w:r w:rsidR="00083581">
          <w:rPr>
            <w:noProof/>
            <w:webHidden/>
          </w:rPr>
        </w:r>
        <w:r w:rsidR="00083581">
          <w:rPr>
            <w:noProof/>
            <w:webHidden/>
          </w:rPr>
          <w:fldChar w:fldCharType="separate"/>
        </w:r>
        <w:r w:rsidR="00083581">
          <w:rPr>
            <w:noProof/>
            <w:webHidden/>
          </w:rPr>
          <w:t>163</w:t>
        </w:r>
        <w:r w:rsidR="00083581">
          <w:rPr>
            <w:noProof/>
            <w:webHidden/>
          </w:rPr>
          <w:fldChar w:fldCharType="end"/>
        </w:r>
      </w:hyperlink>
    </w:p>
    <w:p w14:paraId="69E9AB5B" w14:textId="74A6847B" w:rsidR="00083581" w:rsidRDefault="00CE1F3C">
      <w:pPr>
        <w:pStyle w:val="TableofFigures"/>
        <w:tabs>
          <w:tab w:val="right" w:leader="dot" w:pos="9350"/>
        </w:tabs>
        <w:rPr>
          <w:rFonts w:eastAsiaTheme="minorEastAsia" w:cstheme="minorBidi"/>
          <w:noProof/>
          <w:sz w:val="22"/>
          <w:szCs w:val="22"/>
          <w:lang w:bidi="ar-SA"/>
        </w:rPr>
      </w:pPr>
      <w:hyperlink w:anchor="_Toc26534520" w:history="1">
        <w:r w:rsidR="00083581" w:rsidRPr="002976C3">
          <w:rPr>
            <w:rStyle w:val="Hyperlink"/>
            <w:noProof/>
          </w:rPr>
          <w:t>Figure 20: Train and validation loss and accuracy for the Inception V3 intermediate in the fine tune mode trained on the AID dataset using SGD (1e-3) momentum 0.9.</w:t>
        </w:r>
        <w:r w:rsidR="00083581">
          <w:rPr>
            <w:noProof/>
            <w:webHidden/>
          </w:rPr>
          <w:tab/>
        </w:r>
        <w:r w:rsidR="00083581">
          <w:rPr>
            <w:noProof/>
            <w:webHidden/>
          </w:rPr>
          <w:fldChar w:fldCharType="begin"/>
        </w:r>
        <w:r w:rsidR="00083581">
          <w:rPr>
            <w:noProof/>
            <w:webHidden/>
          </w:rPr>
          <w:instrText xml:space="preserve"> PAGEREF _Toc26534520 \h </w:instrText>
        </w:r>
        <w:r w:rsidR="00083581">
          <w:rPr>
            <w:noProof/>
            <w:webHidden/>
          </w:rPr>
        </w:r>
        <w:r w:rsidR="00083581">
          <w:rPr>
            <w:noProof/>
            <w:webHidden/>
          </w:rPr>
          <w:fldChar w:fldCharType="separate"/>
        </w:r>
        <w:r w:rsidR="00083581">
          <w:rPr>
            <w:noProof/>
            <w:webHidden/>
          </w:rPr>
          <w:t>166</w:t>
        </w:r>
        <w:r w:rsidR="00083581">
          <w:rPr>
            <w:noProof/>
            <w:webHidden/>
          </w:rPr>
          <w:fldChar w:fldCharType="end"/>
        </w:r>
      </w:hyperlink>
    </w:p>
    <w:p w14:paraId="445FBFCA" w14:textId="30B0D263" w:rsidR="00083581" w:rsidRDefault="00CE1F3C">
      <w:pPr>
        <w:pStyle w:val="TableofFigures"/>
        <w:tabs>
          <w:tab w:val="right" w:leader="dot" w:pos="9350"/>
        </w:tabs>
        <w:rPr>
          <w:rFonts w:eastAsiaTheme="minorEastAsia" w:cstheme="minorBidi"/>
          <w:noProof/>
          <w:sz w:val="22"/>
          <w:szCs w:val="22"/>
          <w:lang w:bidi="ar-SA"/>
        </w:rPr>
      </w:pPr>
      <w:hyperlink w:anchor="_Toc26534521" w:history="1">
        <w:r w:rsidR="00083581" w:rsidRPr="002976C3">
          <w:rPr>
            <w:rStyle w:val="Hyperlink"/>
            <w:noProof/>
          </w:rPr>
          <w:t>Figure 21: Confusion matrix for the test set of AID dataset for the Inception V3 intermediate in the fine tune mode using SGD (1e-3) momentum 0.9.</w:t>
        </w:r>
        <w:r w:rsidR="00083581">
          <w:rPr>
            <w:noProof/>
            <w:webHidden/>
          </w:rPr>
          <w:tab/>
        </w:r>
        <w:r w:rsidR="00083581">
          <w:rPr>
            <w:noProof/>
            <w:webHidden/>
          </w:rPr>
          <w:fldChar w:fldCharType="begin"/>
        </w:r>
        <w:r w:rsidR="00083581">
          <w:rPr>
            <w:noProof/>
            <w:webHidden/>
          </w:rPr>
          <w:instrText xml:space="preserve"> PAGEREF _Toc26534521 \h </w:instrText>
        </w:r>
        <w:r w:rsidR="00083581">
          <w:rPr>
            <w:noProof/>
            <w:webHidden/>
          </w:rPr>
        </w:r>
        <w:r w:rsidR="00083581">
          <w:rPr>
            <w:noProof/>
            <w:webHidden/>
          </w:rPr>
          <w:fldChar w:fldCharType="separate"/>
        </w:r>
        <w:r w:rsidR="00083581">
          <w:rPr>
            <w:noProof/>
            <w:webHidden/>
          </w:rPr>
          <w:t>167</w:t>
        </w:r>
        <w:r w:rsidR="00083581">
          <w:rPr>
            <w:noProof/>
            <w:webHidden/>
          </w:rPr>
          <w:fldChar w:fldCharType="end"/>
        </w:r>
      </w:hyperlink>
    </w:p>
    <w:p w14:paraId="284D7A48" w14:textId="022CC02B" w:rsidR="00083581" w:rsidRDefault="00CE1F3C">
      <w:pPr>
        <w:pStyle w:val="TableofFigures"/>
        <w:tabs>
          <w:tab w:val="right" w:leader="dot" w:pos="9350"/>
        </w:tabs>
        <w:rPr>
          <w:rFonts w:eastAsiaTheme="minorEastAsia" w:cstheme="minorBidi"/>
          <w:noProof/>
          <w:sz w:val="22"/>
          <w:szCs w:val="22"/>
          <w:lang w:bidi="ar-SA"/>
        </w:rPr>
      </w:pPr>
      <w:hyperlink w:anchor="_Toc26534522" w:history="1">
        <w:r w:rsidR="00083581" w:rsidRPr="002976C3">
          <w:rPr>
            <w:rStyle w:val="Hyperlink"/>
            <w:noProof/>
          </w:rPr>
          <w:t>Figure 22: Test set accuracy for all VGG19 and Inception V3 versions trained with all datasets using SGD (1e-3) momentum 0.9. Left panel shows VGG 19 results, right panel shows Inception V3 results. Note VGG19 shallow and intermediate feature extraction and fine tune versions were trapped in local minima.</w:t>
        </w:r>
        <w:r w:rsidR="00083581">
          <w:rPr>
            <w:noProof/>
            <w:webHidden/>
          </w:rPr>
          <w:tab/>
        </w:r>
        <w:r w:rsidR="00083581">
          <w:rPr>
            <w:noProof/>
            <w:webHidden/>
          </w:rPr>
          <w:fldChar w:fldCharType="begin"/>
        </w:r>
        <w:r w:rsidR="00083581">
          <w:rPr>
            <w:noProof/>
            <w:webHidden/>
          </w:rPr>
          <w:instrText xml:space="preserve"> PAGEREF _Toc26534522 \h </w:instrText>
        </w:r>
        <w:r w:rsidR="00083581">
          <w:rPr>
            <w:noProof/>
            <w:webHidden/>
          </w:rPr>
        </w:r>
        <w:r w:rsidR="00083581">
          <w:rPr>
            <w:noProof/>
            <w:webHidden/>
          </w:rPr>
          <w:fldChar w:fldCharType="separate"/>
        </w:r>
        <w:r w:rsidR="00083581">
          <w:rPr>
            <w:noProof/>
            <w:webHidden/>
          </w:rPr>
          <w:t>168</w:t>
        </w:r>
        <w:r w:rsidR="00083581">
          <w:rPr>
            <w:noProof/>
            <w:webHidden/>
          </w:rPr>
          <w:fldChar w:fldCharType="end"/>
        </w:r>
      </w:hyperlink>
    </w:p>
    <w:p w14:paraId="3F58E416" w14:textId="18AC62B1" w:rsidR="00083581" w:rsidRDefault="00CE1F3C">
      <w:pPr>
        <w:pStyle w:val="TableofFigures"/>
        <w:tabs>
          <w:tab w:val="right" w:leader="dot" w:pos="9350"/>
        </w:tabs>
        <w:rPr>
          <w:rFonts w:eastAsiaTheme="minorEastAsia" w:cstheme="minorBidi"/>
          <w:noProof/>
          <w:sz w:val="22"/>
          <w:szCs w:val="22"/>
          <w:lang w:bidi="ar-SA"/>
        </w:rPr>
      </w:pPr>
      <w:hyperlink w:anchor="_Toc26534523" w:history="1">
        <w:r w:rsidR="00083581" w:rsidRPr="002976C3">
          <w:rPr>
            <w:rStyle w:val="Hyperlink"/>
            <w:noProof/>
          </w:rPr>
          <w:t>Figure 23: Test set accuracy for all VGG19 and Inception V3 versions trained with all datasets using Adamax (2e-3). Left panel shows VGG 19 results, right panel shows Inception V3 results. Note VGG19 shallow and intermediate feature extraction and fine tuning versions were trapped in local minima.</w:t>
        </w:r>
        <w:r w:rsidR="00083581">
          <w:rPr>
            <w:noProof/>
            <w:webHidden/>
          </w:rPr>
          <w:tab/>
        </w:r>
        <w:r w:rsidR="00083581">
          <w:rPr>
            <w:noProof/>
            <w:webHidden/>
          </w:rPr>
          <w:fldChar w:fldCharType="begin"/>
        </w:r>
        <w:r w:rsidR="00083581">
          <w:rPr>
            <w:noProof/>
            <w:webHidden/>
          </w:rPr>
          <w:instrText xml:space="preserve"> PAGEREF _Toc26534523 \h </w:instrText>
        </w:r>
        <w:r w:rsidR="00083581">
          <w:rPr>
            <w:noProof/>
            <w:webHidden/>
          </w:rPr>
        </w:r>
        <w:r w:rsidR="00083581">
          <w:rPr>
            <w:noProof/>
            <w:webHidden/>
          </w:rPr>
          <w:fldChar w:fldCharType="separate"/>
        </w:r>
        <w:r w:rsidR="00083581">
          <w:rPr>
            <w:noProof/>
            <w:webHidden/>
          </w:rPr>
          <w:t>168</w:t>
        </w:r>
        <w:r w:rsidR="00083581">
          <w:rPr>
            <w:noProof/>
            <w:webHidden/>
          </w:rPr>
          <w:fldChar w:fldCharType="end"/>
        </w:r>
      </w:hyperlink>
    </w:p>
    <w:p w14:paraId="50330837" w14:textId="58C765E4" w:rsidR="00083581" w:rsidRDefault="00CE1F3C">
      <w:pPr>
        <w:pStyle w:val="TableofFigures"/>
        <w:tabs>
          <w:tab w:val="right" w:leader="dot" w:pos="9350"/>
        </w:tabs>
        <w:rPr>
          <w:rFonts w:eastAsiaTheme="minorEastAsia" w:cstheme="minorBidi"/>
          <w:noProof/>
          <w:sz w:val="22"/>
          <w:szCs w:val="22"/>
          <w:lang w:bidi="ar-SA"/>
        </w:rPr>
      </w:pPr>
      <w:hyperlink w:anchor="_Toc26534524" w:history="1">
        <w:r w:rsidR="00083581" w:rsidRPr="002976C3">
          <w:rPr>
            <w:rStyle w:val="Hyperlink"/>
            <w:bCs/>
            <w:iCs/>
            <w:noProof/>
          </w:rPr>
          <w:t>Figure 24</w:t>
        </w:r>
        <w:r w:rsidR="00083581" w:rsidRPr="002976C3">
          <w:rPr>
            <w:rStyle w:val="Hyperlink"/>
            <w:iCs/>
            <w:noProof/>
          </w:rPr>
          <w:t>:</w:t>
        </w:r>
        <w:r w:rsidR="00083581" w:rsidRPr="002976C3">
          <w:rPr>
            <w:rStyle w:val="Hyperlink"/>
            <w:noProof/>
          </w:rPr>
          <w:t xml:space="preserve"> </w:t>
        </w:r>
        <w:r w:rsidR="00083581" w:rsidRPr="002976C3">
          <w:rPr>
            <w:rStyle w:val="Hyperlink"/>
            <w:iCs/>
            <w:noProof/>
          </w:rPr>
          <w:t xml:space="preserve">Overview of electron observations and solar wind speeds used in this study. All panels present for the same 1289-day interval starting from 2013/02/20. Panel A shows the flux distributions of 1 MeV electrons, the variable to be forecasted (i.e., targets). Similarly, </w:t>
        </w:r>
        <w:r w:rsidR="00083581" w:rsidRPr="002976C3">
          <w:rPr>
            <w:rStyle w:val="Hyperlink"/>
            <w:b/>
            <w:iCs/>
            <w:noProof/>
          </w:rPr>
          <w:t>B</w:t>
        </w:r>
        <w:r w:rsidR="00083581" w:rsidRPr="002976C3">
          <w:rPr>
            <w:rStyle w:val="Hyperlink"/>
            <w:iCs/>
            <w:noProof/>
          </w:rPr>
          <w:t xml:space="preserve">, </w:t>
        </w:r>
        <w:r w:rsidR="00083581" w:rsidRPr="002976C3">
          <w:rPr>
            <w:rStyle w:val="Hyperlink"/>
            <w:b/>
            <w:iCs/>
            <w:noProof/>
          </w:rPr>
          <w:t>C</w:t>
        </w:r>
        <w:r w:rsidR="00083581" w:rsidRPr="002976C3">
          <w:rPr>
            <w:rStyle w:val="Hyperlink"/>
            <w:iCs/>
            <w:noProof/>
          </w:rPr>
          <w:t xml:space="preserve">, and </w:t>
        </w:r>
        <w:r w:rsidR="00083581" w:rsidRPr="002976C3">
          <w:rPr>
            <w:rStyle w:val="Hyperlink"/>
            <w:b/>
            <w:iCs/>
            <w:noProof/>
          </w:rPr>
          <w:lastRenderedPageBreak/>
          <w:t>D</w:t>
        </w:r>
        <w:r w:rsidR="00083581" w:rsidRPr="002976C3">
          <w:rPr>
            <w:rStyle w:val="Hyperlink"/>
            <w:iCs/>
            <w:noProof/>
          </w:rPr>
          <w:t xml:space="preserve"> show count rates of precipitating electrons measured by NOAA-15 in a low-Earth-orbit, for E2, E3, and P6 channels respectively. </w:t>
        </w:r>
        <w:r w:rsidR="00083581" w:rsidRPr="002976C3">
          <w:rPr>
            <w:rStyle w:val="Hyperlink"/>
            <w:b/>
            <w:iCs/>
            <w:noProof/>
          </w:rPr>
          <w:t>E</w:t>
        </w:r>
        <w:r w:rsidR="00083581" w:rsidRPr="002976C3">
          <w:rPr>
            <w:rStyle w:val="Hyperlink"/>
            <w:iCs/>
            <w:noProof/>
          </w:rPr>
          <w:t xml:space="preserve"> plots the solar wind speeds upstream of the magnetosphere as in the OMNI data set for the period. Data in Panels B-E are model inputs (i.e., predictors).</w:t>
        </w:r>
        <w:r w:rsidR="00083581">
          <w:rPr>
            <w:noProof/>
            <w:webHidden/>
          </w:rPr>
          <w:tab/>
        </w:r>
        <w:r w:rsidR="00083581">
          <w:rPr>
            <w:noProof/>
            <w:webHidden/>
          </w:rPr>
          <w:fldChar w:fldCharType="begin"/>
        </w:r>
        <w:r w:rsidR="00083581">
          <w:rPr>
            <w:noProof/>
            <w:webHidden/>
          </w:rPr>
          <w:instrText xml:space="preserve"> PAGEREF _Toc26534524 \h </w:instrText>
        </w:r>
        <w:r w:rsidR="00083581">
          <w:rPr>
            <w:noProof/>
            <w:webHidden/>
          </w:rPr>
        </w:r>
        <w:r w:rsidR="00083581">
          <w:rPr>
            <w:noProof/>
            <w:webHidden/>
          </w:rPr>
          <w:fldChar w:fldCharType="separate"/>
        </w:r>
        <w:r w:rsidR="00083581">
          <w:rPr>
            <w:noProof/>
            <w:webHidden/>
          </w:rPr>
          <w:t>202</w:t>
        </w:r>
        <w:r w:rsidR="00083581">
          <w:rPr>
            <w:noProof/>
            <w:webHidden/>
          </w:rPr>
          <w:fldChar w:fldCharType="end"/>
        </w:r>
      </w:hyperlink>
    </w:p>
    <w:p w14:paraId="50CF1938" w14:textId="2F8C1F3B" w:rsidR="00083581" w:rsidRDefault="00CE1F3C">
      <w:pPr>
        <w:pStyle w:val="TableofFigures"/>
        <w:tabs>
          <w:tab w:val="right" w:leader="dot" w:pos="9350"/>
        </w:tabs>
        <w:rPr>
          <w:rFonts w:eastAsiaTheme="minorEastAsia" w:cstheme="minorBidi"/>
          <w:noProof/>
          <w:sz w:val="22"/>
          <w:szCs w:val="22"/>
          <w:lang w:bidi="ar-SA"/>
        </w:rPr>
      </w:pPr>
      <w:hyperlink w:anchor="_Toc26534525" w:history="1">
        <w:r w:rsidR="00083581" w:rsidRPr="002976C3">
          <w:rPr>
            <w:rStyle w:val="Hyperlink"/>
            <w:noProof/>
          </w:rPr>
          <w:t xml:space="preserve">Figure 25: Visual generic representation of a single neuron and an artificial neural network. a) shows a single neuron that can be split into linear and nonlinear components, as well as the input and output data. In the case of a forecasting problem, the inputs can be data representing past times </w:t>
        </w:r>
        <m:oMath>
          <m:r>
            <w:rPr>
              <w:rStyle w:val="Hyperlink"/>
              <w:rFonts w:ascii="Cambria Math" w:hAnsi="Cambria Math"/>
              <w:noProof/>
            </w:rPr>
            <m:t>t-1, t-2, t-3, t-4</m:t>
          </m:r>
        </m:oMath>
        <w:r w:rsidR="00083581" w:rsidRPr="002976C3">
          <w:rPr>
            <w:rStyle w:val="Hyperlink"/>
            <w:noProof/>
          </w:rPr>
          <w:t xml:space="preserve">, and the output is prediction at current time </w:t>
        </w:r>
        <m:oMath>
          <m:r>
            <w:rPr>
              <w:rStyle w:val="Hyperlink"/>
              <w:rFonts w:ascii="Cambria Math" w:hAnsi="Cambria Math"/>
              <w:noProof/>
            </w:rPr>
            <m:t>t0</m:t>
          </m:r>
        </m:oMath>
        <w:r w:rsidR="00083581" w:rsidRPr="002976C3">
          <w:rPr>
            <w:rStyle w:val="Hyperlink"/>
            <w:noProof/>
          </w:rPr>
          <w:t xml:space="preserve"> or even some future time. </w:t>
        </w:r>
        <w:r w:rsidR="00083581" w:rsidRPr="002976C3">
          <w:rPr>
            <w:rStyle w:val="Hyperlink"/>
            <w:b/>
            <w:noProof/>
          </w:rPr>
          <w:t xml:space="preserve">b </w:t>
        </w:r>
        <w:r w:rsidR="00083581" w:rsidRPr="002976C3">
          <w:rPr>
            <w:rStyle w:val="Hyperlink"/>
            <w:noProof/>
          </w:rPr>
          <w:t>shows how a set of neurons constitutes a layer and how the output of a layer can be used as input for the next layer.</w:t>
        </w:r>
        <w:r w:rsidR="00083581">
          <w:rPr>
            <w:noProof/>
            <w:webHidden/>
          </w:rPr>
          <w:tab/>
        </w:r>
        <w:r w:rsidR="00083581">
          <w:rPr>
            <w:noProof/>
            <w:webHidden/>
          </w:rPr>
          <w:fldChar w:fldCharType="begin"/>
        </w:r>
        <w:r w:rsidR="00083581">
          <w:rPr>
            <w:noProof/>
            <w:webHidden/>
          </w:rPr>
          <w:instrText xml:space="preserve"> PAGEREF _Toc26534525 \h </w:instrText>
        </w:r>
        <w:r w:rsidR="00083581">
          <w:rPr>
            <w:noProof/>
            <w:webHidden/>
          </w:rPr>
        </w:r>
        <w:r w:rsidR="00083581">
          <w:rPr>
            <w:noProof/>
            <w:webHidden/>
          </w:rPr>
          <w:fldChar w:fldCharType="separate"/>
        </w:r>
        <w:r w:rsidR="00083581">
          <w:rPr>
            <w:noProof/>
            <w:webHidden/>
          </w:rPr>
          <w:t>203</w:t>
        </w:r>
        <w:r w:rsidR="00083581">
          <w:rPr>
            <w:noProof/>
            <w:webHidden/>
          </w:rPr>
          <w:fldChar w:fldCharType="end"/>
        </w:r>
      </w:hyperlink>
    </w:p>
    <w:p w14:paraId="3407611F" w14:textId="559B84A0" w:rsidR="00083581" w:rsidRDefault="00CE1F3C">
      <w:pPr>
        <w:pStyle w:val="TableofFigures"/>
        <w:tabs>
          <w:tab w:val="right" w:leader="dot" w:pos="9350"/>
        </w:tabs>
        <w:rPr>
          <w:rFonts w:eastAsiaTheme="minorEastAsia" w:cstheme="minorBidi"/>
          <w:noProof/>
          <w:sz w:val="22"/>
          <w:szCs w:val="22"/>
          <w:lang w:bidi="ar-SA"/>
        </w:rPr>
      </w:pPr>
      <w:hyperlink w:anchor="_Toc26534526" w:history="1">
        <w:r w:rsidR="00083581" w:rsidRPr="002976C3">
          <w:rPr>
            <w:rStyle w:val="Hyperlink"/>
            <w:noProof/>
          </w:rPr>
          <w:t xml:space="preserve">Figure 26: Representation of a recurrent neural network. In LSTM models, the basic unit </w:t>
        </w:r>
        <m:oMath>
          <m:r>
            <m:rPr>
              <m:sty m:val="bi"/>
            </m:rPr>
            <w:rPr>
              <w:rStyle w:val="Hyperlink"/>
              <w:rFonts w:ascii="Cambria Math" w:hAnsi="Cambria Math"/>
              <w:noProof/>
            </w:rPr>
            <m:t>h</m:t>
          </m:r>
        </m:oMath>
        <w:r w:rsidR="00083581" w:rsidRPr="002976C3">
          <w:rPr>
            <w:rStyle w:val="Hyperlink"/>
            <w:noProof/>
          </w:rPr>
          <w:t xml:space="preserve"> is also called a memory cell. The input vector </w:t>
        </w:r>
        <m:oMath>
          <m:r>
            <m:rPr>
              <m:sty m:val="bi"/>
            </m:rPr>
            <w:rPr>
              <w:rStyle w:val="Hyperlink"/>
              <w:rFonts w:ascii="Cambria Math" w:hAnsi="Cambria Math"/>
              <w:noProof/>
            </w:rPr>
            <m:t>x</m:t>
          </m:r>
        </m:oMath>
        <w:r w:rsidR="00083581" w:rsidRPr="002976C3">
          <w:rPr>
            <w:rStyle w:val="Hyperlink"/>
            <w:noProof/>
          </w:rPr>
          <w:t xml:space="preserve"> at an arbitrary time </w:t>
        </w:r>
        <m:oMath>
          <m:r>
            <m:rPr>
              <m:sty m:val="bi"/>
            </m:rPr>
            <w:rPr>
              <w:rStyle w:val="Hyperlink"/>
              <w:rFonts w:ascii="Cambria Math" w:hAnsi="Cambria Math"/>
              <w:noProof/>
            </w:rPr>
            <m:t>t</m:t>
          </m:r>
        </m:oMath>
        <w:r w:rsidR="00083581" w:rsidRPr="002976C3">
          <w:rPr>
            <w:rStyle w:val="Hyperlink"/>
            <w:noProof/>
          </w:rPr>
          <w:t xml:space="preserve"> is processed by a memory cell </w:t>
        </w:r>
        <m:oMath>
          <m:r>
            <m:rPr>
              <m:sty m:val="bi"/>
            </m:rPr>
            <w:rPr>
              <w:rStyle w:val="Hyperlink"/>
              <w:rFonts w:ascii="Cambria Math" w:hAnsi="Cambria Math"/>
              <w:noProof/>
            </w:rPr>
            <m:t>h</m:t>
          </m:r>
        </m:oMath>
        <w:r w:rsidR="00083581" w:rsidRPr="002976C3">
          <w:rPr>
            <w:rStyle w:val="Hyperlink"/>
            <w:noProof/>
          </w:rPr>
          <w:t xml:space="preserve"> and produces an output </w:t>
        </w:r>
        <m:oMath>
          <m:r>
            <m:rPr>
              <m:sty m:val="bi"/>
            </m:rPr>
            <w:rPr>
              <w:rStyle w:val="Hyperlink"/>
              <w:rFonts w:ascii="Cambria Math" w:hAnsi="Cambria Math"/>
              <w:noProof/>
            </w:rPr>
            <m:t>f</m:t>
          </m:r>
          <m:r>
            <w:rPr>
              <w:rStyle w:val="Hyperlink"/>
              <w:rFonts w:ascii="Cambria Math" w:hAnsi="Cambria Math"/>
              <w:noProof/>
            </w:rPr>
            <m:t>(</m:t>
          </m:r>
          <m:r>
            <m:rPr>
              <m:sty m:val="bi"/>
            </m:rPr>
            <w:rPr>
              <w:rStyle w:val="Hyperlink"/>
              <w:rFonts w:ascii="Cambria Math" w:hAnsi="Cambria Math"/>
              <w:noProof/>
            </w:rPr>
            <m:t>x</m:t>
          </m:r>
          <m:r>
            <w:rPr>
              <w:rStyle w:val="Hyperlink"/>
              <w:rFonts w:ascii="Cambria Math" w:hAnsi="Cambria Math"/>
              <w:noProof/>
            </w:rPr>
            <m:t>)</m:t>
          </m:r>
        </m:oMath>
        <w:r w:rsidR="00083581" w:rsidRPr="002976C3">
          <w:rPr>
            <w:rStyle w:val="Hyperlink"/>
            <w:noProof/>
          </w:rPr>
          <w:t xml:space="preserve">. The output produced by </w:t>
        </w:r>
        <m:oMath>
          <m:r>
            <m:rPr>
              <m:sty m:val="bi"/>
            </m:rPr>
            <w:rPr>
              <w:rStyle w:val="Hyperlink"/>
              <w:rFonts w:ascii="Cambria Math" w:hAnsi="Cambria Math"/>
              <w:noProof/>
            </w:rPr>
            <m:t>ht</m:t>
          </m:r>
          <m:r>
            <w:rPr>
              <w:rStyle w:val="Hyperlink"/>
              <w:rFonts w:ascii="Cambria Math" w:hAnsi="Cambria Math"/>
              <w:noProof/>
            </w:rPr>
            <m:t>-</m:t>
          </m:r>
          <m:r>
            <m:rPr>
              <m:sty m:val="bi"/>
            </m:rPr>
            <w:rPr>
              <w:rStyle w:val="Hyperlink"/>
              <w:rFonts w:ascii="Cambria Math" w:hAnsi="Cambria Math"/>
              <w:noProof/>
            </w:rPr>
            <m:t>1</m:t>
          </m:r>
        </m:oMath>
        <w:r w:rsidR="00083581" w:rsidRPr="002976C3">
          <w:rPr>
            <w:rStyle w:val="Hyperlink"/>
            <w:noProof/>
          </w:rPr>
          <w:t xml:space="preserve"> is also part of the input for </w:t>
        </w:r>
        <m:oMath>
          <m:r>
            <m:rPr>
              <m:sty m:val="bi"/>
            </m:rPr>
            <w:rPr>
              <w:rStyle w:val="Hyperlink"/>
              <w:rFonts w:ascii="Cambria Math" w:hAnsi="Cambria Math"/>
              <w:noProof/>
            </w:rPr>
            <m:t>ht</m:t>
          </m:r>
        </m:oMath>
        <w:r w:rsidR="00083581" w:rsidRPr="002976C3">
          <w:rPr>
            <w:rStyle w:val="Hyperlink"/>
            <w:noProof/>
          </w:rPr>
          <w:t xml:space="preserve">. Thus, events at time </w:t>
        </w:r>
        <m:oMath>
          <m:r>
            <m:rPr>
              <m:sty m:val="bi"/>
            </m:rPr>
            <w:rPr>
              <w:rStyle w:val="Hyperlink"/>
              <w:rFonts w:ascii="Cambria Math" w:hAnsi="Cambria Math"/>
              <w:noProof/>
            </w:rPr>
            <m:t>t</m:t>
          </m:r>
        </m:oMath>
        <w:r w:rsidR="00083581" w:rsidRPr="002976C3">
          <w:rPr>
            <w:rStyle w:val="Hyperlink"/>
            <w:noProof/>
          </w:rPr>
          <w:t xml:space="preserve"> are processed with information from the previous steps. The output produced by </w:t>
        </w:r>
        <m:oMath>
          <m:r>
            <m:rPr>
              <m:sty m:val="bi"/>
            </m:rPr>
            <w:rPr>
              <w:rStyle w:val="Hyperlink"/>
              <w:rFonts w:ascii="Cambria Math" w:hAnsi="Cambria Math"/>
              <w:noProof/>
            </w:rPr>
            <m:t>h</m:t>
          </m:r>
        </m:oMath>
        <w:r w:rsidR="00083581" w:rsidRPr="002976C3">
          <w:rPr>
            <w:rStyle w:val="Hyperlink"/>
            <w:noProof/>
          </w:rPr>
          <w:t xml:space="preserve"> can be used as input to the next layer just like the described for the previous models.</w:t>
        </w:r>
        <w:r w:rsidR="00083581">
          <w:rPr>
            <w:noProof/>
            <w:webHidden/>
          </w:rPr>
          <w:tab/>
        </w:r>
        <w:r w:rsidR="00083581">
          <w:rPr>
            <w:noProof/>
            <w:webHidden/>
          </w:rPr>
          <w:fldChar w:fldCharType="begin"/>
        </w:r>
        <w:r w:rsidR="00083581">
          <w:rPr>
            <w:noProof/>
            <w:webHidden/>
          </w:rPr>
          <w:instrText xml:space="preserve"> PAGEREF _Toc26534526 \h </w:instrText>
        </w:r>
        <w:r w:rsidR="00083581">
          <w:rPr>
            <w:noProof/>
            <w:webHidden/>
          </w:rPr>
        </w:r>
        <w:r w:rsidR="00083581">
          <w:rPr>
            <w:noProof/>
            <w:webHidden/>
          </w:rPr>
          <w:fldChar w:fldCharType="separate"/>
        </w:r>
        <w:r w:rsidR="00083581">
          <w:rPr>
            <w:noProof/>
            <w:webHidden/>
          </w:rPr>
          <w:t>204</w:t>
        </w:r>
        <w:r w:rsidR="00083581">
          <w:rPr>
            <w:noProof/>
            <w:webHidden/>
          </w:rPr>
          <w:fldChar w:fldCharType="end"/>
        </w:r>
      </w:hyperlink>
    </w:p>
    <w:p w14:paraId="1A25ABB2" w14:textId="485D37AE" w:rsidR="00083581" w:rsidRDefault="00CE1F3C">
      <w:pPr>
        <w:pStyle w:val="TableofFigures"/>
        <w:tabs>
          <w:tab w:val="right" w:leader="dot" w:pos="9350"/>
        </w:tabs>
        <w:rPr>
          <w:rFonts w:eastAsiaTheme="minorEastAsia" w:cstheme="minorBidi"/>
          <w:noProof/>
          <w:sz w:val="22"/>
          <w:szCs w:val="22"/>
          <w:lang w:bidi="ar-SA"/>
        </w:rPr>
      </w:pPr>
      <w:hyperlink w:anchor="_Toc26534527" w:history="1">
        <w:r w:rsidR="00083581" w:rsidRPr="002976C3">
          <w:rPr>
            <w:rStyle w:val="Hyperlink"/>
            <w:noProof/>
          </w:rPr>
          <w:t>Figure 27. Temporal correlation between E2, dE2, and 1 MeV electrons fluxes in the first year of the interval. Note the leading edges of E2 increments (green) and the spikes in dE2 (yellow) generally precede the onsets of MeV electron events with a significant one-to-one temporal relationship.</w:t>
        </w:r>
        <w:r w:rsidR="00083581">
          <w:rPr>
            <w:noProof/>
            <w:webHidden/>
          </w:rPr>
          <w:tab/>
        </w:r>
        <w:r w:rsidR="00083581">
          <w:rPr>
            <w:noProof/>
            <w:webHidden/>
          </w:rPr>
          <w:fldChar w:fldCharType="begin"/>
        </w:r>
        <w:r w:rsidR="00083581">
          <w:rPr>
            <w:noProof/>
            <w:webHidden/>
          </w:rPr>
          <w:instrText xml:space="preserve"> PAGEREF _Toc26534527 \h </w:instrText>
        </w:r>
        <w:r w:rsidR="00083581">
          <w:rPr>
            <w:noProof/>
            <w:webHidden/>
          </w:rPr>
        </w:r>
        <w:r w:rsidR="00083581">
          <w:rPr>
            <w:noProof/>
            <w:webHidden/>
          </w:rPr>
          <w:fldChar w:fldCharType="separate"/>
        </w:r>
        <w:r w:rsidR="00083581">
          <w:rPr>
            <w:noProof/>
            <w:webHidden/>
          </w:rPr>
          <w:t>205</w:t>
        </w:r>
        <w:r w:rsidR="00083581">
          <w:rPr>
            <w:noProof/>
            <w:webHidden/>
          </w:rPr>
          <w:fldChar w:fldCharType="end"/>
        </w:r>
      </w:hyperlink>
    </w:p>
    <w:p w14:paraId="32387F71" w14:textId="502F71B9" w:rsidR="00083581" w:rsidRDefault="00CE1F3C">
      <w:pPr>
        <w:pStyle w:val="TableofFigures"/>
        <w:tabs>
          <w:tab w:val="right" w:leader="dot" w:pos="9350"/>
        </w:tabs>
        <w:rPr>
          <w:rFonts w:eastAsiaTheme="minorEastAsia" w:cstheme="minorBidi"/>
          <w:noProof/>
          <w:sz w:val="22"/>
          <w:szCs w:val="22"/>
          <w:lang w:bidi="ar-SA"/>
        </w:rPr>
      </w:pPr>
      <w:hyperlink w:anchor="_Toc26534528" w:history="1">
        <w:r w:rsidR="00083581" w:rsidRPr="002976C3">
          <w:rPr>
            <w:rStyle w:val="Hyperlink"/>
            <w:noProof/>
          </w:rPr>
          <w:t>Figure 28. PE values for the combined validation and test sets are presented as a function of Lshell for different models and input parameters as in Table 17.</w:t>
        </w:r>
        <w:r w:rsidR="00083581" w:rsidRPr="002976C3">
          <w:rPr>
            <w:rStyle w:val="Hyperlink"/>
            <w:b/>
            <w:noProof/>
          </w:rPr>
          <w:t xml:space="preserve"> A. </w:t>
        </w:r>
        <w:r w:rsidR="00083581" w:rsidRPr="002976C3">
          <w:rPr>
            <w:rStyle w:val="Hyperlink"/>
            <w:noProof/>
          </w:rPr>
          <w:t xml:space="preserve">LinearReg models and </w:t>
        </w:r>
        <w:r w:rsidR="00083581" w:rsidRPr="002976C3">
          <w:rPr>
            <w:rStyle w:val="Hyperlink"/>
            <w:b/>
            <w:noProof/>
          </w:rPr>
          <w:t xml:space="preserve">B. </w:t>
        </w:r>
        <w:r w:rsidR="00083581" w:rsidRPr="002976C3">
          <w:rPr>
            <w:rStyle w:val="Hyperlink"/>
            <w:noProof/>
          </w:rPr>
          <w:lastRenderedPageBreak/>
          <w:t>LSTM models. PE curve for linear2 model (dashed) is plotted for comparison. The model with the best performance—highest overall PE—for each category is highlighted with thick line.</w:t>
        </w:r>
        <w:r w:rsidR="00083581">
          <w:rPr>
            <w:noProof/>
            <w:webHidden/>
          </w:rPr>
          <w:tab/>
        </w:r>
        <w:r w:rsidR="00083581">
          <w:rPr>
            <w:noProof/>
            <w:webHidden/>
          </w:rPr>
          <w:fldChar w:fldCharType="begin"/>
        </w:r>
        <w:r w:rsidR="00083581">
          <w:rPr>
            <w:noProof/>
            <w:webHidden/>
          </w:rPr>
          <w:instrText xml:space="preserve"> PAGEREF _Toc26534528 \h </w:instrText>
        </w:r>
        <w:r w:rsidR="00083581">
          <w:rPr>
            <w:noProof/>
            <w:webHidden/>
          </w:rPr>
        </w:r>
        <w:r w:rsidR="00083581">
          <w:rPr>
            <w:noProof/>
            <w:webHidden/>
          </w:rPr>
          <w:fldChar w:fldCharType="separate"/>
        </w:r>
        <w:r w:rsidR="00083581">
          <w:rPr>
            <w:noProof/>
            <w:webHidden/>
          </w:rPr>
          <w:t>206</w:t>
        </w:r>
        <w:r w:rsidR="00083581">
          <w:rPr>
            <w:noProof/>
            <w:webHidden/>
          </w:rPr>
          <w:fldChar w:fldCharType="end"/>
        </w:r>
      </w:hyperlink>
    </w:p>
    <w:p w14:paraId="3C7DD93C" w14:textId="542D7EBA" w:rsidR="00083581" w:rsidRDefault="00CE1F3C">
      <w:pPr>
        <w:pStyle w:val="TableofFigures"/>
        <w:tabs>
          <w:tab w:val="right" w:leader="dot" w:pos="9350"/>
        </w:tabs>
        <w:rPr>
          <w:rFonts w:eastAsiaTheme="minorEastAsia" w:cstheme="minorBidi"/>
          <w:noProof/>
          <w:sz w:val="22"/>
          <w:szCs w:val="22"/>
          <w:lang w:bidi="ar-SA"/>
        </w:rPr>
      </w:pPr>
      <w:hyperlink w:anchor="_Toc26534529" w:history="1">
        <w:r w:rsidR="00083581" w:rsidRPr="002976C3">
          <w:rPr>
            <w:rStyle w:val="Hyperlink"/>
            <w:bCs/>
            <w:noProof/>
          </w:rPr>
          <w:t xml:space="preserve">Figure 29. Model </w:t>
        </w:r>
        <w:r w:rsidR="00083581" w:rsidRPr="002976C3">
          <w:rPr>
            <w:rStyle w:val="Hyperlink"/>
            <w:noProof/>
          </w:rPr>
          <w:t>PE values over the combined validation and test data sets are presented as a function of Lshell for the top performers in Table 18 and 17. A. Top performer of each category for 1-day forecasts. PE curve of linear 2 for 1-day forecasts is plotted in dashed line for comparison. B. Top performer of each category for 2-day forecasts. Note the dashed line is still linear2 for 1-day forecasts. LinearReg models are highlighted in thick lines in both panels.</w:t>
        </w:r>
        <w:r w:rsidR="00083581">
          <w:rPr>
            <w:noProof/>
            <w:webHidden/>
          </w:rPr>
          <w:tab/>
        </w:r>
        <w:r w:rsidR="00083581">
          <w:rPr>
            <w:noProof/>
            <w:webHidden/>
          </w:rPr>
          <w:fldChar w:fldCharType="begin"/>
        </w:r>
        <w:r w:rsidR="00083581">
          <w:rPr>
            <w:noProof/>
            <w:webHidden/>
          </w:rPr>
          <w:instrText xml:space="preserve"> PAGEREF _Toc26534529 \h </w:instrText>
        </w:r>
        <w:r w:rsidR="00083581">
          <w:rPr>
            <w:noProof/>
            <w:webHidden/>
          </w:rPr>
        </w:r>
        <w:r w:rsidR="00083581">
          <w:rPr>
            <w:noProof/>
            <w:webHidden/>
          </w:rPr>
          <w:fldChar w:fldCharType="separate"/>
        </w:r>
        <w:r w:rsidR="00083581">
          <w:rPr>
            <w:noProof/>
            <w:webHidden/>
          </w:rPr>
          <w:t>207</w:t>
        </w:r>
        <w:r w:rsidR="00083581">
          <w:rPr>
            <w:noProof/>
            <w:webHidden/>
          </w:rPr>
          <w:fldChar w:fldCharType="end"/>
        </w:r>
      </w:hyperlink>
    </w:p>
    <w:p w14:paraId="43039BB4" w14:textId="273F3656" w:rsidR="00083581" w:rsidRDefault="00CE1F3C">
      <w:pPr>
        <w:pStyle w:val="TableofFigures"/>
        <w:tabs>
          <w:tab w:val="right" w:leader="dot" w:pos="9350"/>
        </w:tabs>
        <w:rPr>
          <w:rFonts w:eastAsiaTheme="minorEastAsia" w:cstheme="minorBidi"/>
          <w:noProof/>
          <w:sz w:val="22"/>
          <w:szCs w:val="22"/>
          <w:lang w:bidi="ar-SA"/>
        </w:rPr>
      </w:pPr>
      <w:hyperlink w:anchor="_Toc26534530" w:history="1">
        <w:r w:rsidR="00083581" w:rsidRPr="002976C3">
          <w:rPr>
            <w:rStyle w:val="Hyperlink"/>
            <w:noProof/>
          </w:rPr>
          <w:t>Figure 30. Overview of target and 1-day forecasted fluxes across all Lshells</w:t>
        </w:r>
        <w:r w:rsidR="00083581" w:rsidRPr="002976C3">
          <w:rPr>
            <w:rStyle w:val="Hyperlink"/>
            <w:b/>
            <w:noProof/>
          </w:rPr>
          <w:t>.</w:t>
        </w:r>
        <w:r w:rsidR="00083581" w:rsidRPr="002976C3">
          <w:rPr>
            <w:rStyle w:val="Hyperlink"/>
            <w:noProof/>
          </w:rPr>
          <w:t xml:space="preserve"> </w:t>
        </w:r>
        <w:r w:rsidR="00083581" w:rsidRPr="002976C3">
          <w:rPr>
            <w:rStyle w:val="Hyperlink"/>
            <w:b/>
            <w:noProof/>
          </w:rPr>
          <w:t>A</w:t>
        </w:r>
        <w:r w:rsidR="00083581" w:rsidRPr="002976C3">
          <w:rPr>
            <w:rStyle w:val="Hyperlink"/>
            <w:noProof/>
          </w:rPr>
          <w:t xml:space="preserve"> shows the observed flux distributions to be forecasted for 1 MeV electrons. </w:t>
        </w:r>
        <w:r w:rsidR="00083581" w:rsidRPr="002976C3">
          <w:rPr>
            <w:rStyle w:val="Hyperlink"/>
            <w:b/>
            <w:noProof/>
          </w:rPr>
          <w:t>B, C, D,</w:t>
        </w:r>
        <w:r w:rsidR="00083581" w:rsidRPr="002976C3">
          <w:rPr>
            <w:rStyle w:val="Hyperlink"/>
            <w:noProof/>
          </w:rPr>
          <w:t xml:space="preserve"> and </w:t>
        </w:r>
        <w:r w:rsidR="00083581" w:rsidRPr="002976C3">
          <w:rPr>
            <w:rStyle w:val="Hyperlink"/>
            <w:b/>
            <w:noProof/>
          </w:rPr>
          <w:t>E</w:t>
        </w:r>
        <w:r w:rsidR="00083581" w:rsidRPr="002976C3">
          <w:rPr>
            <w:rStyle w:val="Hyperlink"/>
            <w:noProof/>
          </w:rPr>
          <w:t xml:space="preserve"> show, respectively, predictions from the models with the highest PE including linear regression model, MLP, LSTM, and CNN models.</w:t>
        </w:r>
        <w:r w:rsidR="00083581">
          <w:rPr>
            <w:noProof/>
            <w:webHidden/>
          </w:rPr>
          <w:tab/>
        </w:r>
        <w:r w:rsidR="00083581">
          <w:rPr>
            <w:noProof/>
            <w:webHidden/>
          </w:rPr>
          <w:fldChar w:fldCharType="begin"/>
        </w:r>
        <w:r w:rsidR="00083581">
          <w:rPr>
            <w:noProof/>
            <w:webHidden/>
          </w:rPr>
          <w:instrText xml:space="preserve"> PAGEREF _Toc26534530 \h </w:instrText>
        </w:r>
        <w:r w:rsidR="00083581">
          <w:rPr>
            <w:noProof/>
            <w:webHidden/>
          </w:rPr>
        </w:r>
        <w:r w:rsidR="00083581">
          <w:rPr>
            <w:noProof/>
            <w:webHidden/>
          </w:rPr>
          <w:fldChar w:fldCharType="separate"/>
        </w:r>
        <w:r w:rsidR="00083581">
          <w:rPr>
            <w:noProof/>
            <w:webHidden/>
          </w:rPr>
          <w:t>208</w:t>
        </w:r>
        <w:r w:rsidR="00083581">
          <w:rPr>
            <w:noProof/>
            <w:webHidden/>
          </w:rPr>
          <w:fldChar w:fldCharType="end"/>
        </w:r>
      </w:hyperlink>
    </w:p>
    <w:p w14:paraId="7C79181C" w14:textId="117E5930" w:rsidR="00083581" w:rsidRDefault="00CE1F3C">
      <w:pPr>
        <w:pStyle w:val="TableofFigures"/>
        <w:tabs>
          <w:tab w:val="right" w:leader="dot" w:pos="9350"/>
        </w:tabs>
        <w:rPr>
          <w:rFonts w:eastAsiaTheme="minorEastAsia" w:cstheme="minorBidi"/>
          <w:noProof/>
          <w:sz w:val="22"/>
          <w:szCs w:val="22"/>
          <w:lang w:bidi="ar-SA"/>
        </w:rPr>
      </w:pPr>
      <w:hyperlink w:anchor="_Toc26534531" w:history="1">
        <w:r w:rsidR="00083581" w:rsidRPr="002976C3">
          <w:rPr>
            <w:rStyle w:val="Hyperlink"/>
            <w:noProof/>
          </w:rPr>
          <w:t>Figure 31. Overview of target and 2-day forecasted fluxes across all Lshells. All panels are in the same format as in Figure 24.</w:t>
        </w:r>
        <w:r w:rsidR="00083581">
          <w:rPr>
            <w:noProof/>
            <w:webHidden/>
          </w:rPr>
          <w:tab/>
        </w:r>
        <w:r w:rsidR="00083581">
          <w:rPr>
            <w:noProof/>
            <w:webHidden/>
          </w:rPr>
          <w:fldChar w:fldCharType="begin"/>
        </w:r>
        <w:r w:rsidR="00083581">
          <w:rPr>
            <w:noProof/>
            <w:webHidden/>
          </w:rPr>
          <w:instrText xml:space="preserve"> PAGEREF _Toc26534531 \h </w:instrText>
        </w:r>
        <w:r w:rsidR="00083581">
          <w:rPr>
            <w:noProof/>
            <w:webHidden/>
          </w:rPr>
        </w:r>
        <w:r w:rsidR="00083581">
          <w:rPr>
            <w:noProof/>
            <w:webHidden/>
          </w:rPr>
          <w:fldChar w:fldCharType="separate"/>
        </w:r>
        <w:r w:rsidR="00083581">
          <w:rPr>
            <w:noProof/>
            <w:webHidden/>
          </w:rPr>
          <w:t>209</w:t>
        </w:r>
        <w:r w:rsidR="00083581">
          <w:rPr>
            <w:noProof/>
            <w:webHidden/>
          </w:rPr>
          <w:fldChar w:fldCharType="end"/>
        </w:r>
      </w:hyperlink>
    </w:p>
    <w:p w14:paraId="4C9EF490" w14:textId="65E8FE89" w:rsidR="00083581" w:rsidRDefault="00CE1F3C">
      <w:pPr>
        <w:pStyle w:val="TableofFigures"/>
        <w:tabs>
          <w:tab w:val="right" w:leader="dot" w:pos="9350"/>
        </w:tabs>
        <w:rPr>
          <w:rFonts w:eastAsiaTheme="minorEastAsia" w:cstheme="minorBidi"/>
          <w:noProof/>
          <w:sz w:val="22"/>
          <w:szCs w:val="22"/>
          <w:lang w:bidi="ar-SA"/>
        </w:rPr>
      </w:pPr>
      <w:hyperlink w:anchor="_Toc26534532" w:history="1">
        <w:r w:rsidR="00083581" w:rsidRPr="002976C3">
          <w:rPr>
            <w:rStyle w:val="Hyperlink"/>
            <w:noProof/>
          </w:rPr>
          <w:t>Figure 32. One-day forecasts compared to target fluxes at three selected Lshells over the combined validation and test period. A, B, and C are for Lshells of 3.5, 4.5, and 5.5, respectively.  The measured 1 MeV electrons (black) are compared to predictions from the LinearReg, MLP, LSTM, and CNN models with highest PE in each category (Table 17) as well as linear2 model (yellow).</w:t>
        </w:r>
        <w:r w:rsidR="00083581">
          <w:rPr>
            <w:noProof/>
            <w:webHidden/>
          </w:rPr>
          <w:tab/>
        </w:r>
        <w:r w:rsidR="00083581">
          <w:rPr>
            <w:noProof/>
            <w:webHidden/>
          </w:rPr>
          <w:fldChar w:fldCharType="begin"/>
        </w:r>
        <w:r w:rsidR="00083581">
          <w:rPr>
            <w:noProof/>
            <w:webHidden/>
          </w:rPr>
          <w:instrText xml:space="preserve"> PAGEREF _Toc26534532 \h </w:instrText>
        </w:r>
        <w:r w:rsidR="00083581">
          <w:rPr>
            <w:noProof/>
            <w:webHidden/>
          </w:rPr>
        </w:r>
        <w:r w:rsidR="00083581">
          <w:rPr>
            <w:noProof/>
            <w:webHidden/>
          </w:rPr>
          <w:fldChar w:fldCharType="separate"/>
        </w:r>
        <w:r w:rsidR="00083581">
          <w:rPr>
            <w:noProof/>
            <w:webHidden/>
          </w:rPr>
          <w:t>210</w:t>
        </w:r>
        <w:r w:rsidR="00083581">
          <w:rPr>
            <w:noProof/>
            <w:webHidden/>
          </w:rPr>
          <w:fldChar w:fldCharType="end"/>
        </w:r>
      </w:hyperlink>
    </w:p>
    <w:p w14:paraId="0919250A" w14:textId="4D534B04" w:rsidR="00083581" w:rsidRDefault="00CE1F3C">
      <w:pPr>
        <w:pStyle w:val="TableofFigures"/>
        <w:tabs>
          <w:tab w:val="right" w:leader="dot" w:pos="9350"/>
        </w:tabs>
        <w:rPr>
          <w:rFonts w:eastAsiaTheme="minorEastAsia" w:cstheme="minorBidi"/>
          <w:noProof/>
          <w:sz w:val="22"/>
          <w:szCs w:val="22"/>
          <w:lang w:bidi="ar-SA"/>
        </w:rPr>
      </w:pPr>
      <w:hyperlink w:anchor="_Toc26534533" w:history="1">
        <w:r w:rsidR="00083581" w:rsidRPr="002976C3">
          <w:rPr>
            <w:rStyle w:val="Hyperlink"/>
            <w:noProof/>
          </w:rPr>
          <w:t xml:space="preserve">Figure 33. One-day forecasts are compared to target fluxes at one single Lshell (L=4.5) over the validation and test period. The time period is separated into three panels to show more details. Vertical gray boxes mark out 16 major MeV electron events—the left sides coincide the start of incoming MeV electron events and the width is 25 hours—and are also called prediction windows. A successful (failed, unclear) prediction of sudden MeV electron increment falls </w:t>
        </w:r>
        <w:r w:rsidR="00083581" w:rsidRPr="002976C3">
          <w:rPr>
            <w:rStyle w:val="Hyperlink"/>
            <w:noProof/>
          </w:rPr>
          <w:lastRenderedPageBreak/>
          <w:t>within (outside, on the edge) the prediction window and is marked with a green (red, blue) letter Y (N, ?).</w:t>
        </w:r>
        <w:r w:rsidR="00083581">
          <w:rPr>
            <w:noProof/>
            <w:webHidden/>
          </w:rPr>
          <w:tab/>
        </w:r>
        <w:r w:rsidR="00083581">
          <w:rPr>
            <w:noProof/>
            <w:webHidden/>
          </w:rPr>
          <w:fldChar w:fldCharType="begin"/>
        </w:r>
        <w:r w:rsidR="00083581">
          <w:rPr>
            <w:noProof/>
            <w:webHidden/>
          </w:rPr>
          <w:instrText xml:space="preserve"> PAGEREF _Toc26534533 \h </w:instrText>
        </w:r>
        <w:r w:rsidR="00083581">
          <w:rPr>
            <w:noProof/>
            <w:webHidden/>
          </w:rPr>
        </w:r>
        <w:r w:rsidR="00083581">
          <w:rPr>
            <w:noProof/>
            <w:webHidden/>
          </w:rPr>
          <w:fldChar w:fldCharType="separate"/>
        </w:r>
        <w:r w:rsidR="00083581">
          <w:rPr>
            <w:noProof/>
            <w:webHidden/>
          </w:rPr>
          <w:t>211</w:t>
        </w:r>
        <w:r w:rsidR="00083581">
          <w:rPr>
            <w:noProof/>
            <w:webHidden/>
          </w:rPr>
          <w:fldChar w:fldCharType="end"/>
        </w:r>
      </w:hyperlink>
    </w:p>
    <w:p w14:paraId="24AE9340" w14:textId="340B749F" w:rsidR="00083581" w:rsidRDefault="00CE1F3C">
      <w:pPr>
        <w:pStyle w:val="TableofFigures"/>
        <w:tabs>
          <w:tab w:val="right" w:leader="dot" w:pos="9350"/>
        </w:tabs>
        <w:rPr>
          <w:rFonts w:eastAsiaTheme="minorEastAsia" w:cstheme="minorBidi"/>
          <w:noProof/>
          <w:sz w:val="22"/>
          <w:szCs w:val="22"/>
          <w:lang w:bidi="ar-SA"/>
        </w:rPr>
      </w:pPr>
      <w:hyperlink w:anchor="_Toc26534534" w:history="1">
        <w:r w:rsidR="00083581" w:rsidRPr="002976C3">
          <w:rPr>
            <w:rStyle w:val="Hyperlink"/>
            <w:noProof/>
          </w:rPr>
          <w:t>Figure 34. Two-day forecasts are compared to target fluxes at three selected Lshells over the combined validation and test period. Same format as Figure 32. Note here linear2 is for 1-day forecasts instead of 2-day.</w:t>
        </w:r>
        <w:r w:rsidR="00083581">
          <w:rPr>
            <w:noProof/>
            <w:webHidden/>
          </w:rPr>
          <w:tab/>
        </w:r>
        <w:r w:rsidR="00083581">
          <w:rPr>
            <w:noProof/>
            <w:webHidden/>
          </w:rPr>
          <w:fldChar w:fldCharType="begin"/>
        </w:r>
        <w:r w:rsidR="00083581">
          <w:rPr>
            <w:noProof/>
            <w:webHidden/>
          </w:rPr>
          <w:instrText xml:space="preserve"> PAGEREF _Toc26534534 \h </w:instrText>
        </w:r>
        <w:r w:rsidR="00083581">
          <w:rPr>
            <w:noProof/>
            <w:webHidden/>
          </w:rPr>
        </w:r>
        <w:r w:rsidR="00083581">
          <w:rPr>
            <w:noProof/>
            <w:webHidden/>
          </w:rPr>
          <w:fldChar w:fldCharType="separate"/>
        </w:r>
        <w:r w:rsidR="00083581">
          <w:rPr>
            <w:noProof/>
            <w:webHidden/>
          </w:rPr>
          <w:t>212</w:t>
        </w:r>
        <w:r w:rsidR="00083581">
          <w:rPr>
            <w:noProof/>
            <w:webHidden/>
          </w:rPr>
          <w:fldChar w:fldCharType="end"/>
        </w:r>
      </w:hyperlink>
    </w:p>
    <w:p w14:paraId="5853D4F1" w14:textId="358DE80D" w:rsidR="00083581" w:rsidRDefault="00CE1F3C">
      <w:pPr>
        <w:pStyle w:val="TableofFigures"/>
        <w:tabs>
          <w:tab w:val="right" w:leader="dot" w:pos="9350"/>
        </w:tabs>
        <w:rPr>
          <w:rFonts w:eastAsiaTheme="minorEastAsia" w:cstheme="minorBidi"/>
          <w:noProof/>
          <w:sz w:val="22"/>
          <w:szCs w:val="22"/>
          <w:lang w:bidi="ar-SA"/>
        </w:rPr>
      </w:pPr>
      <w:hyperlink w:anchor="_Toc26534535" w:history="1">
        <w:r w:rsidR="00083581" w:rsidRPr="002976C3">
          <w:rPr>
            <w:rStyle w:val="Hyperlink"/>
            <w:noProof/>
          </w:rPr>
          <w:t>Figure 35. Two-day forecasts are compared to target fluxes at one single Lshell (L=4.5) over the combined validation and test period. Same format as Figure 33. The gray vertical boxes have a prediction window width of 50 hr. Note here linear1 and linear2 are for 1-day forecasts instead of 2-day.</w:t>
        </w:r>
        <w:r w:rsidR="00083581">
          <w:rPr>
            <w:noProof/>
            <w:webHidden/>
          </w:rPr>
          <w:tab/>
        </w:r>
        <w:r w:rsidR="00083581">
          <w:rPr>
            <w:noProof/>
            <w:webHidden/>
          </w:rPr>
          <w:fldChar w:fldCharType="begin"/>
        </w:r>
        <w:r w:rsidR="00083581">
          <w:rPr>
            <w:noProof/>
            <w:webHidden/>
          </w:rPr>
          <w:instrText xml:space="preserve"> PAGEREF _Toc26534535 \h </w:instrText>
        </w:r>
        <w:r w:rsidR="00083581">
          <w:rPr>
            <w:noProof/>
            <w:webHidden/>
          </w:rPr>
        </w:r>
        <w:r w:rsidR="00083581">
          <w:rPr>
            <w:noProof/>
            <w:webHidden/>
          </w:rPr>
          <w:fldChar w:fldCharType="separate"/>
        </w:r>
        <w:r w:rsidR="00083581">
          <w:rPr>
            <w:noProof/>
            <w:webHidden/>
          </w:rPr>
          <w:t>213</w:t>
        </w:r>
        <w:r w:rsidR="00083581">
          <w:rPr>
            <w:noProof/>
            <w:webHidden/>
          </w:rPr>
          <w:fldChar w:fldCharType="end"/>
        </w:r>
      </w:hyperlink>
    </w:p>
    <w:p w14:paraId="231D0176" w14:textId="3A0E9698" w:rsidR="00083581" w:rsidRDefault="00CE1F3C">
      <w:pPr>
        <w:pStyle w:val="TableofFigures"/>
        <w:tabs>
          <w:tab w:val="right" w:leader="dot" w:pos="9350"/>
        </w:tabs>
        <w:rPr>
          <w:rFonts w:eastAsiaTheme="minorEastAsia" w:cstheme="minorBidi"/>
          <w:noProof/>
          <w:sz w:val="22"/>
          <w:szCs w:val="22"/>
          <w:lang w:bidi="ar-SA"/>
        </w:rPr>
      </w:pPr>
      <w:hyperlink w:anchor="_Toc26534536" w:history="1">
        <w:r w:rsidR="00083581" w:rsidRPr="002976C3">
          <w:rPr>
            <w:rStyle w:val="Hyperlink"/>
            <w:noProof/>
          </w:rPr>
          <w:t>Figure 36. One-day forecasts (A, B and C) and 2-day forecasts (D, E, and F) are compared to target fluxes at GEO over the validation and test period. Same format as Figure 34. Here only results from LinearReg and LSTM models are shown for clearness. Note here linear1 and linear2 are all for 1-day forecasts.</w:t>
        </w:r>
        <w:r w:rsidR="00083581">
          <w:rPr>
            <w:noProof/>
            <w:webHidden/>
          </w:rPr>
          <w:tab/>
        </w:r>
        <w:r w:rsidR="00083581">
          <w:rPr>
            <w:noProof/>
            <w:webHidden/>
          </w:rPr>
          <w:fldChar w:fldCharType="begin"/>
        </w:r>
        <w:r w:rsidR="00083581">
          <w:rPr>
            <w:noProof/>
            <w:webHidden/>
          </w:rPr>
          <w:instrText xml:space="preserve"> PAGEREF _Toc26534536 \h </w:instrText>
        </w:r>
        <w:r w:rsidR="00083581">
          <w:rPr>
            <w:noProof/>
            <w:webHidden/>
          </w:rPr>
        </w:r>
        <w:r w:rsidR="00083581">
          <w:rPr>
            <w:noProof/>
            <w:webHidden/>
          </w:rPr>
          <w:fldChar w:fldCharType="separate"/>
        </w:r>
        <w:r w:rsidR="00083581">
          <w:rPr>
            <w:noProof/>
            <w:webHidden/>
          </w:rPr>
          <w:t>214</w:t>
        </w:r>
        <w:r w:rsidR="00083581">
          <w:rPr>
            <w:noProof/>
            <w:webHidden/>
          </w:rPr>
          <w:fldChar w:fldCharType="end"/>
        </w:r>
      </w:hyperlink>
    </w:p>
    <w:p w14:paraId="2ACDD287" w14:textId="51152AAC" w:rsidR="00083581" w:rsidRDefault="00CE1F3C">
      <w:pPr>
        <w:pStyle w:val="TableofFigures"/>
        <w:tabs>
          <w:tab w:val="right" w:leader="dot" w:pos="9350"/>
        </w:tabs>
        <w:rPr>
          <w:rFonts w:eastAsiaTheme="minorEastAsia" w:cstheme="minorBidi"/>
          <w:noProof/>
          <w:sz w:val="22"/>
          <w:szCs w:val="22"/>
          <w:lang w:bidi="ar-SA"/>
        </w:rPr>
      </w:pPr>
      <w:hyperlink w:anchor="_Toc26534537" w:history="1">
        <w:r w:rsidR="00083581" w:rsidRPr="002976C3">
          <w:rPr>
            <w:rStyle w:val="Hyperlink"/>
            <w:noProof/>
          </w:rPr>
          <w:t>Figure 37. Spearman correlation between target and input variables for multiple L-shells. A, B, and C show, respectively, L=4.5, L=5.5, and at GEO the values of the Spearman correlation of E2, E3, P6, and the solar wind speed with the target 1 MeV electrons for different time lags. Each time lag corresponds to 5 hours. The top of each gray area corresponds to correlation value ~0.4.</w:t>
        </w:r>
        <w:r w:rsidR="00083581">
          <w:rPr>
            <w:noProof/>
            <w:webHidden/>
          </w:rPr>
          <w:tab/>
        </w:r>
        <w:r w:rsidR="00083581">
          <w:rPr>
            <w:noProof/>
            <w:webHidden/>
          </w:rPr>
          <w:fldChar w:fldCharType="begin"/>
        </w:r>
        <w:r w:rsidR="00083581">
          <w:rPr>
            <w:noProof/>
            <w:webHidden/>
          </w:rPr>
          <w:instrText xml:space="preserve"> PAGEREF _Toc26534537 \h </w:instrText>
        </w:r>
        <w:r w:rsidR="00083581">
          <w:rPr>
            <w:noProof/>
            <w:webHidden/>
          </w:rPr>
        </w:r>
        <w:r w:rsidR="00083581">
          <w:rPr>
            <w:noProof/>
            <w:webHidden/>
          </w:rPr>
          <w:fldChar w:fldCharType="separate"/>
        </w:r>
        <w:r w:rsidR="00083581">
          <w:rPr>
            <w:noProof/>
            <w:webHidden/>
          </w:rPr>
          <w:t>215</w:t>
        </w:r>
        <w:r w:rsidR="00083581">
          <w:rPr>
            <w:noProof/>
            <w:webHidden/>
          </w:rPr>
          <w:fldChar w:fldCharType="end"/>
        </w:r>
      </w:hyperlink>
    </w:p>
    <w:p w14:paraId="18E925B5" w14:textId="3B63A36C" w:rsidR="00DA1971" w:rsidRDefault="00AA4AED" w:rsidP="00C6706E">
      <w:pPr>
        <w:pStyle w:val="Heading1"/>
      </w:pPr>
      <w:r>
        <w:fldChar w:fldCharType="end"/>
      </w:r>
      <w:r w:rsidR="00DA1971">
        <w:br w:type="page"/>
      </w:r>
      <w:bookmarkStart w:id="7" w:name="_Toc310579467"/>
      <w:bookmarkStart w:id="8" w:name="_Toc26534560"/>
      <w:r w:rsidR="00DA1971">
        <w:lastRenderedPageBreak/>
        <w:t>Abstract</w:t>
      </w:r>
      <w:bookmarkEnd w:id="7"/>
      <w:bookmarkEnd w:id="8"/>
    </w:p>
    <w:p w14:paraId="4358462E" w14:textId="2563D24C" w:rsidR="00DA1971" w:rsidRPr="00720B64" w:rsidRDefault="003A134B" w:rsidP="00720B64">
      <w:pPr>
        <w:ind w:firstLine="720"/>
        <w:sectPr w:rsidR="00DA1971" w:rsidRPr="00720B64" w:rsidSect="00A32BB7">
          <w:footerReference w:type="default" r:id="rId11"/>
          <w:pgSz w:w="12240" w:h="15840" w:code="1"/>
          <w:pgMar w:top="1440" w:right="1440" w:bottom="1440" w:left="1440" w:header="720" w:footer="720" w:gutter="0"/>
          <w:pgNumType w:fmt="lowerRoman" w:start="4"/>
          <w:cols w:space="720"/>
          <w:docGrid w:linePitch="360"/>
        </w:sectPr>
      </w:pPr>
      <w:r>
        <w:t xml:space="preserve">Geoscientists have </w:t>
      </w:r>
      <w:r w:rsidR="00FC06C4">
        <w:t xml:space="preserve">used </w:t>
      </w:r>
      <w:r>
        <w:t xml:space="preserve">machine learning for </w:t>
      </w:r>
      <w:r w:rsidR="00C52A22">
        <w:t>at least three decades</w:t>
      </w:r>
      <w:r>
        <w:t xml:space="preserve"> and the applications spam many fields, from seismic </w:t>
      </w:r>
      <w:r w:rsidR="00C52A22">
        <w:t>processing and interpretation, to remote sensing classification, to analysis of well log data, among many others. More popular in some fields (e.g. seismic interpretation, remote sensing analysis) than others (e.g. paleontology), machine learning tools can leverage research in different areas of geoscience.</w:t>
      </w:r>
      <w:r w:rsidR="00C817BE">
        <w:t xml:space="preserve"> Although machine learning is becoming more popular in different fields of geoscience, some concepts of more modern </w:t>
      </w:r>
      <w:r w:rsidR="00720B64">
        <w:t>applications,</w:t>
      </w:r>
      <w:r w:rsidR="00C817BE">
        <w:t xml:space="preserve"> convolutional neural networks in </w:t>
      </w:r>
      <w:r w:rsidR="00720B64">
        <w:t xml:space="preserve">particular, are still </w:t>
      </w:r>
      <w:r w:rsidR="00720B64" w:rsidRPr="00720B64">
        <w:t>vaguely understood</w:t>
      </w:r>
      <w:r w:rsidR="00720B64">
        <w:t xml:space="preserve"> by non-practitioners. I present some of the key concepts of machine learning </w:t>
      </w:r>
      <w:r w:rsidR="000962BB">
        <w:t xml:space="preserve">with more details on the foundations of convolutional neural networks and some techniques that can help better understand convolutional neural networks behavior. I then present five case studies, mostly using convolutional neural networks and transfer learning. Transfer learning is a methodology that allow us to repurpose filters created by convolutional neural networks </w:t>
      </w:r>
      <w:r w:rsidR="00FC06C4">
        <w:t>on a primary task to perform a secondary task</w:t>
      </w:r>
      <w:r w:rsidR="000962BB">
        <w:t xml:space="preserve">. The five case studies start with a broader application of convolutional neural networks for different </w:t>
      </w:r>
      <w:r w:rsidR="00BD3F15">
        <w:t>geoscience</w:t>
      </w:r>
      <w:r w:rsidR="000962BB">
        <w:t xml:space="preserve"> images, including thin-sections and core photographs.  Then I present a how to perform core classification using convolutional neural networks. Next, how microfossils can be classified by the same methodology. I present a more detailed analysis of transfer learning using different remote sensing datasets. In the final case study, I show applications of supervised learning techniques to help forecast </w:t>
      </w:r>
      <w:r w:rsidR="000962BB" w:rsidRPr="000962BB">
        <w:t xml:space="preserve">Megaelectron-Volt </w:t>
      </w:r>
      <w:r w:rsidR="000962BB">
        <w:t>e</w:t>
      </w:r>
      <w:r w:rsidR="000962BB" w:rsidRPr="000962BB">
        <w:t xml:space="preserve">lectrons inside Earth’s </w:t>
      </w:r>
      <w:r w:rsidR="00BD3F15">
        <w:t>o</w:t>
      </w:r>
      <w:r w:rsidR="000962BB" w:rsidRPr="000962BB">
        <w:t xml:space="preserve">uter </w:t>
      </w:r>
      <w:r w:rsidR="00BD3F15">
        <w:t>r</w:t>
      </w:r>
      <w:r w:rsidR="000962BB" w:rsidRPr="000962BB">
        <w:t xml:space="preserve">adiation </w:t>
      </w:r>
      <w:r w:rsidR="00BD3F15">
        <w:t>b</w:t>
      </w:r>
      <w:r w:rsidR="000962BB" w:rsidRPr="000962BB">
        <w:t>elt</w:t>
      </w:r>
      <w:r w:rsidR="00BD3F15">
        <w:t xml:space="preserve">. I conclude the dissertation with a summary and comments on the expectation of future research. </w:t>
      </w:r>
    </w:p>
    <w:p w14:paraId="2C89253F" w14:textId="77777777" w:rsidR="007A30C4" w:rsidRDefault="007A30C4" w:rsidP="007A30C4">
      <w:pPr>
        <w:pStyle w:val="Chapter"/>
      </w:pPr>
      <w:bookmarkStart w:id="9" w:name="_Toc26534561"/>
      <w:bookmarkStart w:id="10" w:name="_Toc22710165"/>
      <w:r>
        <w:lastRenderedPageBreak/>
        <w:t>Introduction</w:t>
      </w:r>
      <w:bookmarkEnd w:id="9"/>
    </w:p>
    <w:p w14:paraId="2466AB78" w14:textId="77777777" w:rsidR="00136382" w:rsidRDefault="00136382" w:rsidP="00136382">
      <w:pPr>
        <w:ind w:firstLine="720"/>
      </w:pPr>
      <w:r>
        <w:t xml:space="preserve">This dissertation compiles the work I developed during my years as a PhD student at the University of Oklahoma and also includes some of the research I conducted during an internship at the Los Alamos National Laboratory in Los Alamos, NM. This dissertation is organized in different chapters that are independent among themselves, but connected by the machine learning methodologies, used to address different research questions. </w:t>
      </w:r>
      <w:r w:rsidR="00F70314">
        <w:t>The machine learning method used for the great majority of applications I present in this dissertation is convolutional neural network.</w:t>
      </w:r>
      <w:r>
        <w:t xml:space="preserve"> All chapter topics are of interest to some field of geoscience, however the scale changes greatly: from the identification of microfossils</w:t>
      </w:r>
      <w:r w:rsidR="00E77D88">
        <w:t xml:space="preserve"> using thin-section images</w:t>
      </w:r>
      <w:r>
        <w:t xml:space="preserve"> to the forecast of space weather storms, including topics in core analysis and seismic facies classification. During the past few years, I had the grateful opportunity to collaborate with several amazing co-authors. Thus, as the chapters are organized based on journal papers published/submitted, most of the dissertation maintains first person plural. Despite great help from all co-authors, I was responsible for the totality of study design, implementation development, as well as the great majority of writing and figure creation. </w:t>
      </w:r>
    </w:p>
    <w:p w14:paraId="11CCDC4F" w14:textId="77777777" w:rsidR="00136382" w:rsidRDefault="00136382" w:rsidP="00136382">
      <w:pPr>
        <w:ind w:firstLine="720"/>
      </w:pPr>
      <w:r>
        <w:t xml:space="preserve">Chapter 1 serves as an introduction to the topic of machine learning, especially convolutional neural networks, for the field of geosciences. This chapter presents the main terminology used in machine learning as well as the fundamentals of neural networks and convolutional neural networks.  </w:t>
      </w:r>
    </w:p>
    <w:p w14:paraId="7B2C81A3" w14:textId="77777777" w:rsidR="00136382" w:rsidRDefault="00136382" w:rsidP="00136382">
      <w:pPr>
        <w:ind w:firstLine="720"/>
      </w:pPr>
      <w:r>
        <w:t xml:space="preserve">Chapter 2 is presented as it was published in The Sedimentary Record (Pires de Lima et al., 2019a), which itself was based on an EAGE expanded abstract (Pires de Lima et al., 2019e). This chapter shows the results of the application of transfer learning to different sets of geoscience images, without delving into the details and challenges encountered in each one of </w:t>
      </w:r>
      <w:r>
        <w:lastRenderedPageBreak/>
        <w:t xml:space="preserve">the tasks. The application presented in chapter 2 shows the potential of the use of convolutional neural networks for different fields of geosciences. This chapter is also presented in my Data Science and Analytics Master’s Thesis (Pires de Lima, 2019). </w:t>
      </w:r>
    </w:p>
    <w:p w14:paraId="75763A3B" w14:textId="77777777" w:rsidR="00136382" w:rsidRDefault="00136382" w:rsidP="00136382">
      <w:pPr>
        <w:ind w:firstLine="720"/>
      </w:pPr>
      <w:r>
        <w:t xml:space="preserve">Chapter 3 is presented as it was published in Interpretation (Pires de Lima et al., 2019f). A preliminary piece was published in AAPG’s Explorer (Pires de Lima et al., 2018). This chapter shows the results of the application of transfer learning to classify lithofacies from a core from the Mississippian limestone and chert reservoirs in the Anadarko Shelf, Grant County, Oklahoma. </w:t>
      </w:r>
    </w:p>
    <w:p w14:paraId="53A4D88D" w14:textId="77777777" w:rsidR="00136382" w:rsidRDefault="00136382" w:rsidP="00136382">
      <w:pPr>
        <w:ind w:firstLine="720"/>
      </w:pPr>
      <w:r>
        <w:t xml:space="preserve">Chapter 4 chapter was reworked and is presented here as and it was when resubmitted for publication in a sedimentary geology journal. This study was originated by a questioning from Dr. Lynn Soreghan during Murphy Cassel’s Master’s Thesis defense about fossil attributes. High quality thin-sections of Fusulinid specimens are hard to obtain and can provide invaluable information that can be used for dating through biostratigraphy as well as paleoenvironmental conditions, yet access to experts to experts can lead to an overlook of such microfossils. The results presented in this chapter show that convolutional neural networks can be used to classify Fusulinid thin-sections. </w:t>
      </w:r>
    </w:p>
    <w:p w14:paraId="76148172" w14:textId="77777777" w:rsidR="00136382" w:rsidRDefault="00136382" w:rsidP="00136382">
      <w:pPr>
        <w:ind w:firstLine="720"/>
      </w:pPr>
      <w:r>
        <w:t>Chapter 5 presents more details of the use of transfer learning making use of remote sensing data. I use different network structures, optimizers, and datasets to evaluate the performance of transfer learning versus training randomly initialized weights. This chapter will be submitted to a remote sensing journal.</w:t>
      </w:r>
    </w:p>
    <w:p w14:paraId="0BB6E5A8" w14:textId="44591B7F" w:rsidR="00136382" w:rsidRDefault="00136382" w:rsidP="00136382">
      <w:pPr>
        <w:ind w:firstLine="720"/>
      </w:pPr>
      <w:r>
        <w:t xml:space="preserve">Chapter 6 shows some of the research I develop during my internship at the Los Alamos National Laboratory. The work in chapter 6 aims to forecast relativistic electrons inside Earth’s outer radiation belt. Relativistic electrons are high energy and have the potential to destroy </w:t>
      </w:r>
      <w:r>
        <w:lastRenderedPageBreak/>
        <w:t xml:space="preserve">satellite electronics. I use different supervised learning models to forecast the behavior of 1.0 Megaelectron-volt (MeV) trapped inside Earth’s outer Van Allen belt. Interestingly, the results show how linear models are well capable to model most of the 1.0 MeV fluctuation. The work presented in this chapter was submitted to a space weather journal and the preliminary results are published as abstract in Pires de Lima et al. </w:t>
      </w:r>
      <w:r w:rsidR="00B935DC">
        <w:t>(</w:t>
      </w:r>
      <w:r>
        <w:t>2019b). The pre-print version is already available (Pires de Lima et al., 2019c). Unrelated to space weather, the work I developed during my internship at Los Alamos National Laboratory using simulation data for CO2 capture studies was published as two expanded abstracts (Pires de Lima et al., 2019d; Pires de Lima and Lin, 2019).</w:t>
      </w:r>
    </w:p>
    <w:p w14:paraId="02951F99" w14:textId="77777777" w:rsidR="00136382" w:rsidRDefault="00136382" w:rsidP="00136382">
      <w:pPr>
        <w:spacing w:line="240" w:lineRule="auto"/>
      </w:pPr>
    </w:p>
    <w:p w14:paraId="2DE9E196" w14:textId="77777777" w:rsidR="000F0885" w:rsidRDefault="000F0885">
      <w:pPr>
        <w:spacing w:line="240" w:lineRule="auto"/>
        <w:rPr>
          <w:rFonts w:asciiTheme="majorHAnsi" w:hAnsiTheme="majorHAnsi"/>
          <w:b/>
          <w:bCs/>
          <w:sz w:val="28"/>
          <w:szCs w:val="32"/>
        </w:rPr>
      </w:pPr>
      <w:r>
        <w:br w:type="page"/>
      </w:r>
    </w:p>
    <w:p w14:paraId="00800965" w14:textId="77777777" w:rsidR="00136382" w:rsidRDefault="00136382" w:rsidP="00316757">
      <w:pPr>
        <w:pStyle w:val="Heading2"/>
      </w:pPr>
      <w:bookmarkStart w:id="11" w:name="_Toc26534562"/>
      <w:r>
        <w:lastRenderedPageBreak/>
        <w:t>References</w:t>
      </w:r>
      <w:bookmarkEnd w:id="11"/>
    </w:p>
    <w:p w14:paraId="4AF52043" w14:textId="77777777" w:rsidR="00136382" w:rsidRDefault="00136382" w:rsidP="00136382">
      <w:pPr>
        <w:spacing w:line="240" w:lineRule="auto"/>
      </w:pPr>
    </w:p>
    <w:p w14:paraId="38E38980" w14:textId="77777777" w:rsidR="00136382" w:rsidRDefault="00136382" w:rsidP="00136382">
      <w:pPr>
        <w:spacing w:line="240" w:lineRule="auto"/>
        <w:ind w:left="720" w:hanging="720"/>
      </w:pPr>
      <w:r>
        <w:t xml:space="preserve">Pires de Lima, R., 2019. Petrographic analysis with deep convolutional neural networks. </w:t>
      </w:r>
      <w:r w:rsidR="00294AE7" w:rsidRPr="00294AE7">
        <w:t xml:space="preserve"> Master's Thesis.</w:t>
      </w:r>
      <w:r w:rsidR="00294AE7">
        <w:t xml:space="preserve"> </w:t>
      </w:r>
      <w:r>
        <w:t>University of Oklahoma.</w:t>
      </w:r>
    </w:p>
    <w:p w14:paraId="0C1ECCAB" w14:textId="77777777" w:rsidR="00136382" w:rsidRDefault="00136382" w:rsidP="00136382">
      <w:pPr>
        <w:spacing w:line="240" w:lineRule="auto"/>
        <w:ind w:left="720" w:hanging="720"/>
      </w:pPr>
      <w:r>
        <w:t>Pires de Lima, R., Bonar, A., Coronado, D.D., Marfurt, K., Nicholson, C., 2019a. Deep convolutional neural networks as a geological image classification tool. Sediment. Rec. 17, 4–9. https://doi.org/10.210/sedred.2019.2</w:t>
      </w:r>
    </w:p>
    <w:p w14:paraId="149E7572" w14:textId="77777777" w:rsidR="00136382" w:rsidRDefault="00136382" w:rsidP="00136382">
      <w:pPr>
        <w:spacing w:line="240" w:lineRule="auto"/>
        <w:ind w:left="720" w:hanging="720"/>
      </w:pPr>
      <w:r>
        <w:t>Pires de Lima, R., Chen, Y., Lin, Y., 2019b. PreMevE 2.0: Neural Network Based Predictive Model for MeV Electrons in Earth’s Outer Radiation Belt, in: AGU Fall Meeting 2019. American Geophysical Union (AGU).</w:t>
      </w:r>
    </w:p>
    <w:p w14:paraId="1E0C482B" w14:textId="77777777" w:rsidR="00136382" w:rsidRDefault="00136382" w:rsidP="00136382">
      <w:pPr>
        <w:spacing w:line="240" w:lineRule="auto"/>
        <w:ind w:left="720" w:hanging="720"/>
      </w:pPr>
      <w:r>
        <w:t>Pires de Lima, R., Chen, Y., Lin, Y., 2019c. Forecasting Megaelectron-Volt Electrons inside Earth’s Outer Radiation Belt: PreMevE 2.0 Based on Supervised Machine Learning Algorithms.</w:t>
      </w:r>
      <w:r w:rsidR="006200C1">
        <w:t xml:space="preserve"> </w:t>
      </w:r>
      <w:r w:rsidR="007A3960">
        <w:t>ArXiv</w:t>
      </w:r>
      <w:r w:rsidR="006200C1" w:rsidRPr="006200C1">
        <w:t>: physics.space-ph/1911.01315</w:t>
      </w:r>
    </w:p>
    <w:p w14:paraId="58396479" w14:textId="77777777" w:rsidR="00136382" w:rsidRDefault="00136382" w:rsidP="00136382">
      <w:pPr>
        <w:spacing w:line="240" w:lineRule="auto"/>
        <w:ind w:left="720" w:hanging="720"/>
      </w:pPr>
      <w:r>
        <w:t>Pires de Lima, R., Lin, Y., 2019. Geophysical data integration and machine learning for multi-target leakage estimation in geologic carbon sequestration, in: SEG Technical Program Expanded Abstracts 2019. pp. 2333–2337. https://doi.org/10.1190/segam2019-3215405.1</w:t>
      </w:r>
    </w:p>
    <w:p w14:paraId="2CD06168" w14:textId="77777777" w:rsidR="00136382" w:rsidRDefault="00136382" w:rsidP="00136382">
      <w:pPr>
        <w:spacing w:line="240" w:lineRule="auto"/>
        <w:ind w:left="720" w:hanging="720"/>
      </w:pPr>
      <w:r>
        <w:t>Pires de Lima, R., Lin, Y., Marfurt, K.J., 2019d. Transforming seismic data into pseudo-RGB images to predict CO2 leakage using pre-learned convolutional neural networks weights, in: SEG Technical Program Expanded Abstracts 2019. Society of Exploration Geophysicists, pp. 2368–2372. https://doi.org/10.1190/segam2019-3215401.1</w:t>
      </w:r>
    </w:p>
    <w:p w14:paraId="51359864" w14:textId="77777777" w:rsidR="00136382" w:rsidRDefault="00136382" w:rsidP="00136382">
      <w:pPr>
        <w:spacing w:line="240" w:lineRule="auto"/>
        <w:ind w:left="720" w:hanging="720"/>
      </w:pPr>
      <w:r>
        <w:t>Pires de Lima, R., Marfurt, K., Duarte, D., Bonar, A., 2019e. Progress and Challenges in Deep Learning Analysis of Geoscience Images, in: 81st EAGE Conference and Exhibition 2019. EAGE. https://doi.org/10.3997/2214-4609.201901607</w:t>
      </w:r>
    </w:p>
    <w:p w14:paraId="1024045B" w14:textId="77777777" w:rsidR="00136382" w:rsidRDefault="00136382" w:rsidP="00136382">
      <w:pPr>
        <w:spacing w:line="240" w:lineRule="auto"/>
        <w:ind w:left="720" w:hanging="720"/>
      </w:pPr>
      <w:r>
        <w:t xml:space="preserve">Pires de Lima, R., Marfurt, K., Suriamin, F., Pranter, M., Soreghan, G., 2018. </w:t>
      </w:r>
      <w:r w:rsidR="00390019" w:rsidRPr="00390019">
        <w:t>Convolutional Neural Networks - If they can identify an oncoming car, can they identify lithofacies in core?</w:t>
      </w:r>
      <w:r>
        <w:t xml:space="preserve"> AAPG Explor</w:t>
      </w:r>
      <w:r w:rsidR="00E77D88">
        <w:t>er</w:t>
      </w:r>
      <w:r>
        <w:t>.</w:t>
      </w:r>
    </w:p>
    <w:p w14:paraId="50C7CA3C" w14:textId="77777777" w:rsidR="00136382" w:rsidRDefault="00136382" w:rsidP="00136382">
      <w:pPr>
        <w:spacing w:line="240" w:lineRule="auto"/>
        <w:ind w:left="720" w:hanging="720"/>
      </w:pPr>
      <w:r>
        <w:t>Pires de Lima, R., Suriamin, F., Marfurt, K.J., Pranter, M.J., 2019f. Convolutional neural networks as aid in core lithofacies classification. Interpretation 7, SF27–SF40. https://doi.org/10.1190/INT-2018-0245.1</w:t>
      </w:r>
    </w:p>
    <w:p w14:paraId="1BA63BF6" w14:textId="77777777" w:rsidR="007A30C4" w:rsidRDefault="007A30C4" w:rsidP="00136382">
      <w:pPr>
        <w:spacing w:line="240" w:lineRule="auto"/>
      </w:pPr>
      <w:r>
        <w:br w:type="page"/>
      </w:r>
    </w:p>
    <w:p w14:paraId="53570FE0" w14:textId="77777777" w:rsidR="00B26AF9" w:rsidRDefault="00B26AF9" w:rsidP="00B26AF9">
      <w:pPr>
        <w:pStyle w:val="Chapter"/>
      </w:pPr>
      <w:bookmarkStart w:id="12" w:name="_Toc26534563"/>
      <w:r w:rsidRPr="000F56FF">
        <w:lastRenderedPageBreak/>
        <w:t xml:space="preserve">Chapter </w:t>
      </w:r>
      <w:r>
        <w:t>1</w:t>
      </w:r>
      <w:r w:rsidRPr="000F56FF">
        <w:t xml:space="preserve">: </w:t>
      </w:r>
      <w:r w:rsidR="00306A27">
        <w:t>Elements of machine learning and convolutional neural networks for geoscientists and seismic interpreters</w:t>
      </w:r>
      <w:bookmarkEnd w:id="12"/>
    </w:p>
    <w:p w14:paraId="4E08F777" w14:textId="77777777" w:rsidR="00B26AF9" w:rsidRPr="005C205C" w:rsidRDefault="00B26AF9" w:rsidP="00B26AF9">
      <w:r w:rsidRPr="005C205C">
        <w:t>Rafael Pires de Lima</w:t>
      </w:r>
      <w:r w:rsidRPr="005C205C">
        <w:rPr>
          <w:vertAlign w:val="superscript"/>
        </w:rPr>
        <w:t>1,2</w:t>
      </w:r>
      <w:r w:rsidRPr="005C205C">
        <w:t>, Kurt Marfurt</w:t>
      </w:r>
      <w:r w:rsidRPr="005C205C">
        <w:rPr>
          <w:vertAlign w:val="superscript"/>
        </w:rPr>
        <w:t>1</w:t>
      </w:r>
    </w:p>
    <w:p w14:paraId="490A6A12" w14:textId="77777777" w:rsidR="00B26AF9" w:rsidRDefault="00B26AF9" w:rsidP="00B26AF9">
      <w:r w:rsidRPr="005C205C">
        <w:rPr>
          <w:vertAlign w:val="superscript"/>
        </w:rPr>
        <w:t>1</w:t>
      </w:r>
      <w:r w:rsidRPr="005C205C">
        <w:t>School of Geology and Geophysics, The University of Oklahoma, 100 East Boyd Street, RM 710, Norman, Oklahoma, 73019, USA</w:t>
      </w:r>
    </w:p>
    <w:p w14:paraId="2F940636" w14:textId="77777777" w:rsidR="00B26AF9" w:rsidRDefault="00B26AF9" w:rsidP="00B26AF9">
      <w:r w:rsidRPr="005C205C">
        <w:rPr>
          <w:vertAlign w:val="superscript"/>
        </w:rPr>
        <w:t>2</w:t>
      </w:r>
      <w:r w:rsidRPr="005C205C">
        <w:t>The Geological Survey of Brazil – CPRM, 55 Rua Costa, São Paulo, São Paulo, Brazil</w:t>
      </w:r>
    </w:p>
    <w:p w14:paraId="5CBF1F01" w14:textId="2980B4CD" w:rsidR="00B26AF9" w:rsidRDefault="00B26AF9" w:rsidP="00316757">
      <w:pPr>
        <w:pStyle w:val="Heading2"/>
      </w:pPr>
      <w:bookmarkStart w:id="13" w:name="_Toc26534564"/>
      <w:r>
        <w:t>Preface</w:t>
      </w:r>
      <w:bookmarkEnd w:id="13"/>
    </w:p>
    <w:p w14:paraId="2B155DF4" w14:textId="49A4DD5C" w:rsidR="0053410A" w:rsidRDefault="00306A27" w:rsidP="004E1599">
      <w:r>
        <w:t xml:space="preserve">Although geoscientists have been using machine learning for decades, non-practitioners might feel discouraged use machine learning to facilitate their tasks due to a lack of familiarity with the process. In this first chapter I present some fundamental naming convention of machine learning elements as well as how deep neural networks, with details on convolutional neural networks, transform the data. </w:t>
      </w:r>
      <w:r w:rsidR="00B26AF9">
        <w:t xml:space="preserve">This chapter </w:t>
      </w:r>
      <w:r w:rsidR="00B935DC">
        <w:t>will be submitted to a geoscience journal in the near future</w:t>
      </w:r>
      <w:r w:rsidR="00A8771A">
        <w:t xml:space="preserve">. </w:t>
      </w:r>
    </w:p>
    <w:p w14:paraId="6DC22564" w14:textId="77777777" w:rsidR="00B26AF9" w:rsidRDefault="00B26AF9" w:rsidP="00B26AF9"/>
    <w:p w14:paraId="4C215FAB" w14:textId="77777777" w:rsidR="0053410A" w:rsidRDefault="00B26AF9" w:rsidP="004E1599">
      <w:pPr>
        <w:pStyle w:val="Heading2"/>
      </w:pPr>
      <w:r>
        <w:br w:type="page"/>
      </w:r>
      <w:bookmarkStart w:id="14" w:name="_Toc26534565"/>
      <w:r w:rsidR="004E1599">
        <w:lastRenderedPageBreak/>
        <w:t>Abstract</w:t>
      </w:r>
      <w:bookmarkEnd w:id="14"/>
    </w:p>
    <w:p w14:paraId="37600427" w14:textId="208037A5" w:rsidR="0053410A" w:rsidRPr="00A71D34" w:rsidRDefault="0053410A" w:rsidP="0053410A">
      <w:pPr>
        <w:pStyle w:val="SEGBodyText"/>
      </w:pPr>
      <w:r>
        <w:t xml:space="preserve">Although machine learning is being marketed as a new solution to a wide range of problems, geoscientists have </w:t>
      </w:r>
      <w:r w:rsidR="00B935DC">
        <w:t xml:space="preserve">used </w:t>
      </w:r>
      <w:r>
        <w:t xml:space="preserve">use of machine learning for </w:t>
      </w:r>
      <w:r w:rsidR="00B935DC">
        <w:t>over</w:t>
      </w:r>
      <w:r>
        <w:t xml:space="preserve"> three decades. Machine learning has been used to map seismic facies seen in 3D data, to predict missing well logs from those available, and to correlate well log data with seismic data. Driven by the rapid progress in computer vision coupled with the availability of affordable computer graphics processing units, deep neural networks techniques such as convolutional neural network (CNN) algorithms promise to help accelerate seismic interpretation, with applications ranging from semiautomated fault prediction to volumetric mapping of salt diapirs. In part due to its computational complexity,</w:t>
      </w:r>
      <w:r w:rsidR="00B935DC">
        <w:t xml:space="preserve"> and</w:t>
      </w:r>
      <w:r>
        <w:t xml:space="preserve"> in part due to a desire to aggressively market a new technology, CNN has generated perceptions ranging from “black box” to “magic”. Our goal in this paper is lift the veil shrouding CNN and provide a tutorial that explicitly defines the assumptions and implementational details of CNN for the geoscience audience. Indeed, convolution forms the basis of most seismic processing algorithms while the closely related correlation process forms the basis of many well log analysis processes.  We describe how the input geological and geophysical measurements are transformed by CNN to predict a known output for problems ranging from seismic facies analysis to core analysis.  Rather than provide detailed case studies, we provide a broader description of the assumptions made, nonlinear processes used, promises for future applications, and potential pitfalls in CNN analysis. </w:t>
      </w:r>
    </w:p>
    <w:p w14:paraId="798C2E9F" w14:textId="77777777" w:rsidR="0053410A" w:rsidRDefault="0053410A" w:rsidP="0053410A">
      <w:pPr>
        <w:jc w:val="center"/>
        <w:rPr>
          <w:rFonts w:ascii="Times" w:hAnsi="Times"/>
          <w:caps/>
        </w:rPr>
      </w:pPr>
    </w:p>
    <w:p w14:paraId="11E57D87" w14:textId="77777777" w:rsidR="0053410A" w:rsidRPr="002708FD" w:rsidRDefault="0053410A" w:rsidP="004E1599">
      <w:pPr>
        <w:pStyle w:val="Heading2"/>
      </w:pPr>
      <w:bookmarkStart w:id="15" w:name="_Toc26534566"/>
      <w:r w:rsidRPr="002708FD">
        <w:lastRenderedPageBreak/>
        <w:t>Introduction</w:t>
      </w:r>
      <w:bookmarkEnd w:id="15"/>
    </w:p>
    <w:p w14:paraId="2C0D6FF2" w14:textId="77777777" w:rsidR="0053410A" w:rsidRDefault="0053410A" w:rsidP="0053410A">
      <w:pPr>
        <w:pStyle w:val="SEGBodyText"/>
      </w:pPr>
      <w:r>
        <w:t xml:space="preserve">Machine learning (ML) techniques have been used by geoscientists for a variety of tasks. </w:t>
      </w:r>
      <w:r>
        <w:fldChar w:fldCharType="begin" w:fldLock="1"/>
      </w:r>
      <w:r>
        <w:instrText>ADDIN CSL_CITATION {"citationItems":[{"id":"ITEM-1","itemData":{"DOI":"10.1029/JB094iB06p07049","ISSN":"0148-0227","abstract":"Supervised and unsupervised classification procedures are developed and applied to synthetic aperture radar (SAR) polarimetric images in order to identify their various Earth terrain components. For supervised classification processing, the Bayes technique is used to classify fully polarimetric and normalized polarimetric SAR data. Simpler polarimetric discriminates, such as the absolute and normalized magnitude response of the individual receiver channel returns, in addition to the phase difference between the receiver channels, are also considered. Another processing algorithm, based on comparing general properties of the Stokes parameters of the scattered wave to that of simple scattering models, is also discussed. This algorithm, which is an unsupervised technique, classifies terrain elements based on the relationship between the orientation angle and handedness of the transmitting and receiving polarization states. These classification procedures have been applied to San Francisco Bay and Traverse City SAR images, supplied by the Jet Propulsion Laboratory. It is shown that supervised classification yields the best overall performance when accurate classifier training data are used, whereas unsupervised classification is applicable when training data are not available.","author":[{"dropping-particle":"","family":"Lim","given":"H H","non-dropping-particle":"","parse-names":false,"suffix":""},{"dropping-particle":"","family":"Swartz","given":"A A","non-dropping-particle":"","parse-names":false,"suffix":""},{"dropping-particle":"","family":"Yueh","given":"H A","non-dropping-particle":"","parse-names":false,"suffix":""},{"dropping-particle":"","family":"Kong","given":"J A","non-dropping-particle":"","parse-names":false,"suffix":""},{"dropping-particle":"","family":"Shin","given":"R T","non-dropping-particle":"","parse-names":false,"suffix":""},{"dropping-particle":"","family":"Zyl","given":"J J","non-dropping-particle":"van","parse-names":false,"suffix":""}],"container-title":"Journal of Geophysical Research: Solid Earth","id":"ITEM-1","issue":"B6","issued":{"date-parts":[["1989","6","10"]]},"note":"doi: 10.1029/JB094iB06p07049","page":"7049-7057","publisher":"John Wiley &amp; Sons, Ltd","title":"Classification of Earth terrain using polarimetric synthetic aperture radar images","type":"article-journal","volume":"94"},"uris":["http://www.mendeley.com/documents/?uuid=dd525f6f-6f88-43d1-825a-79fef16a8b35"]}],"mendeley":{"formattedCitation":"(Lim et al., 1989)","manualFormatting":"Lim et al. (1989)","plainTextFormattedCitation":"(Lim et al., 1989)","previouslyFormattedCitation":"(Lim et al., 1989)"},"properties":{"noteIndex":0},"schema":"https://github.com/citation-style-language/schema/raw/master/csl-citation.json"}</w:instrText>
      </w:r>
      <w:r>
        <w:fldChar w:fldCharType="separate"/>
      </w:r>
      <w:r w:rsidRPr="00097212">
        <w:rPr>
          <w:noProof/>
        </w:rPr>
        <w:t xml:space="preserve">Lim et al. </w:t>
      </w:r>
      <w:r>
        <w:rPr>
          <w:noProof/>
        </w:rPr>
        <w:t>(</w:t>
      </w:r>
      <w:r w:rsidRPr="00097212">
        <w:rPr>
          <w:noProof/>
        </w:rPr>
        <w:t>1989)</w:t>
      </w:r>
      <w:r>
        <w:fldChar w:fldCharType="end"/>
      </w:r>
      <w:r>
        <w:t xml:space="preserve"> provided an early application applying both supervised and unsupervised machine learning techniques </w:t>
      </w:r>
      <w:r w:rsidRPr="000F1103">
        <w:t xml:space="preserve">to synthetic aperture radar (SAR) </w:t>
      </w:r>
      <w:r>
        <w:t xml:space="preserve">to </w:t>
      </w:r>
      <w:r w:rsidRPr="000F1103">
        <w:t xml:space="preserve">identify </w:t>
      </w:r>
      <w:r>
        <w:t>different</w:t>
      </w:r>
      <w:r w:rsidRPr="000F1103">
        <w:t xml:space="preserve"> Earth terrain components</w:t>
      </w:r>
      <w:r>
        <w:t xml:space="preserve">. </w:t>
      </w:r>
      <w:r>
        <w:fldChar w:fldCharType="begin" w:fldLock="1"/>
      </w:r>
      <w:r>
        <w:instrText>ADDIN CSL_CITATION {"citationItems":[{"id":"ITEM-1","itemData":{"ISSN":"0024-581X","author":[{"dropping-particle":"","family":"Baldwin","given":"Jeffrey L.","non-dropping-particle":"","parse-names":false,"suffix":""},{"dropping-particle":"","family":"Bateman","given":"Richard M.","non-dropping-particle":"","parse-names":false,"suffix":""},{"dropping-particle":"","family":"Wheatley","given":"Chales L.","non-dropping-particle":"","parse-names":false,"suffix":""}],"container-title":"The Log Analyst","id":"ITEM-1","issue":"05","issued":{"date-parts":[["1990","9","1"]]},"publisher":"Society of Professional Well Log Analysts","title":"Application of a neural network to the problem of mineral identification from well logs","type":"book","volume":"31"},"uris":["http://www.mendeley.com/documents/?uuid=36e6f562-56fe-3dca-b48b-81ccb4d0d9e6"]}],"mendeley":{"formattedCitation":"(Baldwin et al., 1990)","manualFormatting":"Baldwin et al. (1990)","plainTextFormattedCitation":"(Baldwin et al., 1990)","previouslyFormattedCitation":"(Baldwin et al., 1990)"},"properties":{"noteIndex":0},"schema":"https://github.com/citation-style-language/schema/raw/master/csl-citation.json"}</w:instrText>
      </w:r>
      <w:r>
        <w:fldChar w:fldCharType="separate"/>
      </w:r>
      <w:r w:rsidRPr="00232CAE">
        <w:rPr>
          <w:noProof/>
        </w:rPr>
        <w:t xml:space="preserve">Baldwin et al. </w:t>
      </w:r>
      <w:r>
        <w:rPr>
          <w:noProof/>
        </w:rPr>
        <w:t>(</w:t>
      </w:r>
      <w:r w:rsidRPr="00232CAE">
        <w:rPr>
          <w:noProof/>
        </w:rPr>
        <w:t>1990)</w:t>
      </w:r>
      <w:r>
        <w:fldChar w:fldCharType="end"/>
      </w:r>
      <w:r>
        <w:t xml:space="preserve"> used neural networks to classify lithofacies from well logs. </w:t>
      </w:r>
      <w:r>
        <w:fldChar w:fldCharType="begin" w:fldLock="1"/>
      </w:r>
      <w:r>
        <w:instrText>ADDIN CSL_CITATION {"citationItems":[{"id":"ITEM-1","itemData":{"DOI":"10.4133/JEEG1.3.179","ISSN":"1083-1363","abstract":"Neural networks were used to develop an interpretation tool that could rapidly detect objects and estimate their depths using electromagnetic and magnetic data gathered during the Dig?face characterization experiments at the Idaho National Engineering Laboratory. Targets of interest included metallic barrels, concrete, wooden boxes, long beams and pipes of various metals and PVC, and more. The neural networks analyzed the data on a point?by?point basis and from profiles, single?sensor heights, and multiple?sensor heights. Data points for twenty?one of 24 targets were identified as being distinct from background. Twenty?one of 24 targets were correctly classified as conductive or resistive.Object depths were estimated, on average, to within 13 cm of the true depth. The neural networks took approximately seven seconds to interpret slightly less than 1,000 data points at a time, each with six components, using a 90 MHz Pentium computer.","author":[{"dropping-particle":"","family":"Brown","given":"Marshall P","non-dropping-particle":"","parse-names":false,"suffix":""},{"dropping-particle":"","family":"Poulton","given":"Mary M","non-dropping-particle":"","parse-names":false,"suffix":""}],"container-title":"Journal of Environmental and Engineering Geophysics","id":"ITEM-1","issue":"3","issued":{"date-parts":[["1996","12","1"]]},"note":"doi: 10.4133/JEEG1.3.179","page":"179-188","publisher":"Environmental &amp; Engineering Geophysical Society","title":"Locating Buried Objects for Environmental Site Investigations Using Neural Networks","type":"article-journal","volume":"1"},"uris":["http://www.mendeley.com/documents/?uuid=f84925a1-1752-4266-a4e6-fa85d34219a6"]}],"mendeley":{"formattedCitation":"(Brown and Poulton, 1996)","manualFormatting":"Brown and Poulton (1996)","plainTextFormattedCitation":"(Brown and Poulton, 1996)","previouslyFormattedCitation":"(Brown and Poulton, 1996)"},"properties":{"noteIndex":0},"schema":"https://github.com/citation-style-language/schema/raw/master/csl-citation.json"}</w:instrText>
      </w:r>
      <w:r>
        <w:fldChar w:fldCharType="separate"/>
      </w:r>
      <w:r w:rsidRPr="00232CAE">
        <w:rPr>
          <w:noProof/>
        </w:rPr>
        <w:t xml:space="preserve">Brown and Poulton </w:t>
      </w:r>
      <w:r>
        <w:rPr>
          <w:noProof/>
        </w:rPr>
        <w:t>(</w:t>
      </w:r>
      <w:r w:rsidRPr="00232CAE">
        <w:rPr>
          <w:noProof/>
        </w:rPr>
        <w:t>1996)</w:t>
      </w:r>
      <w:r>
        <w:fldChar w:fldCharType="end"/>
      </w:r>
      <w:r>
        <w:t xml:space="preserve"> used neural networks to detect objects and estimate their depth using electromagnetic and magnetic data. </w:t>
      </w:r>
      <w:r>
        <w:fldChar w:fldCharType="begin" w:fldLock="1"/>
      </w:r>
      <w:r>
        <w:instrText>ADDIN CSL_CITATION {"citationItems":[{"id":"ITEM-1","itemData":{"DOI":"10.1016/J.CAGEO.2013.10.008","ISSN":"0098-3004","abstract":"Machine learning algorithms (MLAs) are a powerful group of data-driven inference tools that offer an automated means of recognizing patterns in high-dimensional data. Hence, there is much scope for the application of MLAs to the rapidly increasing volumes of remotely sensed geophysical data for geological mapping problems. We carry out a rigorous comparison of five MLAs: Naive Bayes, k-Nearest Neighbors, Random Forests, Support Vector Machines, and Artificial Neural Networks, in the context of a supervised lithology classification task using widely available and spatially constrained remotely sensed geophysical data. We make a further comparison of MLAs based on their sensitivity to variations in the degree of spatial clustering of training data, and their response to the inclusion of explicit spatial information (spatial coordinates). Our work identifies Random Forests as a good first choice algorithm for the supervised classification of lithology using remotely sensed geophysical data. Random Forests is straightforward to train, computationally efficient, highly stable with respect to variations in classification model parameter values, and as accurate as, or substantially more accurate than the other MLAs trialed. The results of our study indicate that as training data becomes increasingly dispersed across the region under investigation, MLA predictive accuracy improves dramatically. The use of explicit spatial information generates accurate lithology predictions but should be used in conjunction with geophysical data in order to generate geologically plausible predictions. MLAs, such as Random Forests, are valuable tools for generating reliable first-pass predictions for practical geological mapping applications that combine widely available geophysical data.","author":[{"dropping-particle":"","family":"Cracknell","given":"Matthew J.","non-dropping-particle":"","parse-names":false,"suffix":""},{"dropping-particle":"","family":"Reading","given":"Anya M.","non-dropping-particle":"","parse-names":false,"suffix":""}],"container-title":"Computers &amp; Geosciences","id":"ITEM-1","issued":{"date-parts":[["2014","2","1"]]},"page":"22-33","publisher":"Pergamon","title":"Geological mapping using remote sensing data: A comparison of five machine learning algorithms, their response to variations in the spatial distribution of training data and the use of explicit spatial information","type":"article-journal","volume":"63"},"uris":["http://www.mendeley.com/documents/?uuid=2d171d32-d73e-36ac-b33b-eac9a2d7ea99"]}],"mendeley":{"formattedCitation":"(Cracknell and Reading, 2014)","manualFormatting":"Cracknell and Reading, (2014)","plainTextFormattedCitation":"(Cracknell and Reading, 2014)","previouslyFormattedCitation":"(Cracknell and Reading, 2014)"},"properties":{"noteIndex":0},"schema":"https://github.com/citation-style-language/schema/raw/master/csl-citation.json"}</w:instrText>
      </w:r>
      <w:r>
        <w:fldChar w:fldCharType="separate"/>
      </w:r>
      <w:r w:rsidRPr="002B3C35">
        <w:rPr>
          <w:noProof/>
        </w:rPr>
        <w:t xml:space="preserve">Cracknell and Reading, </w:t>
      </w:r>
      <w:r>
        <w:rPr>
          <w:noProof/>
        </w:rPr>
        <w:t>(</w:t>
      </w:r>
      <w:r w:rsidRPr="002B3C35">
        <w:rPr>
          <w:noProof/>
        </w:rPr>
        <w:t>2014)</w:t>
      </w:r>
      <w:r>
        <w:fldChar w:fldCharType="end"/>
      </w:r>
      <w:r>
        <w:t xml:space="preserve"> presented a comparison of ML techniques for geological mapping using remote sensing data. The list of applications of ML using seismological data is vast </w:t>
      </w:r>
      <w:r>
        <w:fldChar w:fldCharType="begin" w:fldLock="1"/>
      </w:r>
      <w:r>
        <w:instrText>ADDIN CSL_CITATION {"citationItems":[{"id":"ITEM-1","itemData":{"DOI":"10.1038/s41586-018-0438-y","ISSN":"0028-0836","abstract":"Aftershocks are a response to changes in stress generated by large earthquakes and represent the most common observations of the triggering of earthquakes. The maximum magnitude of aftershocks and their temporal decay are well described by empirical laws (such as Bath’s law1 and Omori’s law2), but explaining and forecasting the spatial distribution of aftershocks is more difficult. Coulomb failure stress change3 is perhaps the most widely used criterion to explain the spatial distributions of aftershocks4–8, but its applicability has been disputed9–11. Here we use a deep-learning approach to identify a static-stress-based criterion that forecasts aftershock locations without prior assumptions about fault orientation. We show that a neural network trained on more than 131,000 mainshock–aftershock pairs can predict the locations of aftershocks in an independent test dataset of more than 30,000 mainshock–aftershock pairs more accurately (area under curve of 0.849) than can classic Coulomb failure stress change (area under curve of 0.583). We find that the learned aftershock pattern is physically interpretable: the maximum change in shear stress, the von Mises yield criterion (a scaled version of the second invariant of the deviatoric stress-change tensor) and the sum of the absolute values of the independent components of the stress-change tensor each explain more than 98 per cent of the variance in the neural-network prediction. This machine-learning-driven insight provides improved forecasts of aftershock locations and identifies physical quantities that may control earthquake triggering during the most active part of the seismic cycle.","author":[{"dropping-particle":"","family":"DeVries","given":"Phoebe M. R.","non-dropping-particle":"","parse-names":false,"suffix":""},{"dropping-particle":"","family":"Viégas","given":"Fernanda","non-dropping-particle":"","parse-names":false,"suffix":""},{"dropping-particle":"","family":"Wattenberg","given":"Martin","non-dropping-particle":"","parse-names":false,"suffix":""},{"dropping-particle":"","family":"Meade","given":"Brendan J.","non-dropping-particle":"","parse-names":false,"suffix":""}],"container-title":"Nature","id":"ITEM-1","issue":"7720","issued":{"date-parts":[["2018","8","29"]]},"page":"632-634","publisher":"Nature Publishing Group","title":"Deep learning of aftershock patterns following large earthquakes","type":"article-journal","volume":"560"},"uris":["http://www.mendeley.com/documents/?uuid=b76ad2eb-042c-3265-97b7-78fe0b46b892"]},{"id":"ITEM-2","itemData":{"DOI":"10.1029/2019GL082706","ISSN":"0094-8276","author":[{"dropping-particle":"","family":"Ren","given":"C. X.","non-dro</w:instrText>
      </w:r>
      <w:r>
        <w:rPr>
          <w:rFonts w:hint="eastAsia"/>
        </w:rPr>
        <w:instrText>pping-particle":"","parse-names":false,"suffix":""},{"dropping-particle":"","family":"Dorostkar","given":"O.","non-dropping-particle":"","parse-names":false,"suffix":""},{"dropping-particle":"","family":"Rouet</w:instrText>
      </w:r>
      <w:r>
        <w:rPr>
          <w:rFonts w:hint="eastAsia"/>
        </w:rPr>
        <w:instrText>‐</w:instrText>
      </w:r>
      <w:r>
        <w:rPr>
          <w:rFonts w:hint="eastAsia"/>
        </w:rPr>
        <w:instrText>Leduc","given":"B.","non-dropping-particle":"</w:instrText>
      </w:r>
      <w:r>
        <w:instrText>","parse-names":false,"suffix":""},{"dropping-particle":"","family":"Hulbert","given":"C.","non-dropping-particle":"","parse-names":false,"suffix":""},{"dropping-particle":"","family":"Strebel","given":"D.","non-dropping-particle":"","parse-names":false,"suffix":""},{"dropping-particle":"","family":"Guyer","given":"R. A.","non-dropping-particle":"","parse-names":false,"suffix":""},{"dropping-particle":"","family":"Johnson","given":"P. A.","non-dropping-particle":"","parse-names":false,"suffix":""},{"dropping-particle":"","family":"Carmeliet","given":"J.","non-dropping-particle":"","parse-names":false,"suffix":""}],"container-title":"Geophysical Research Letters","id":"ITEM-2","issue":"13","issued":{"date-parts":[["2019","7","16"]]},"page":"7395-7403","publisher":"John Wiley &amp; Sons, Ltd","title":"Machine Learning Reveals the State of Intermittent Frictional Dynamics in a Sheared Granular Fault","type":"article-journal","volume":"46"},"uris":["http://www.mendeley.com/documents/?uuid=02014052-2bd6-310d-a6a7-79f6ed358db2"]},{"id":"ITEM-3","itemData":{"DOI":"10.1126/sciadv.1700578","ISSN":"2375-2548","abstract":"The recent evolution of induced seismicity in Central United States calls for exhaustive catalogs to improve seismic hazard assessment. Over the last decades, the volume of seismic data has increased exponentially, creating a need for efficient algorithms to reliably detect and locate earthquakes. Today’s most elaborate methods scan through the plethora of continuous seismic records, searching for repeating seismic signals. We leverage the recent advances in artificial intelligence and present ConvNetQuake, a highly scalable convolutional neural network for earthquake detection and location from a single waveform. We apply our technique to study the induced seismicity in Oklahoma, USA. We detect more than 17 times more earthquakes than previously cataloged by the Oklahoma Geological Survey. Our algorithm is orders of magnitude faster than established methods.","author":[{"dropping-particle":"","family":"Perol","given":"Thibaut","non-dropping-particle":"","parse-names":false,"suffix":""},{"dropping-particle":"","family":"Gharbi","given":"Michaël","non-dropping-particle":"","parse-names":false,"suffix":""},{"dropping-particle":"","family":"Denolle","given":"Marine","non-dropping-particle":"","parse-names":false,"suffix":""}],"container-title":"Science Advances","id":"ITEM-3","issue":"2","issued":{"date-parts":[["2018","2","14"]]},"page":"e1700578","publisher":"American Association for the Advancement of Science","title":"Convolutional neural network for earthquake detection and location","type":"article-journal","volume":"4"},"uris":["http://www.mendeley.com/documents/?uuid=ef294b5d-c8b9-336d-80f2-9ec24d3bc768"]},{"id":"ITEM-4","itemData":{"DOI":"10.15530/urtec-2018-2897507-MS","author":[{"dropping-particle":"","family":"Sinha","given":"Saurabh","non-dropping-particle":"","parse-names":false,"suffix":""},{"dropping-particle":"","family":"Wen","given":"Yunjie","non-dropping-particle":"","parse-names":false,"suffix":""},{"dropping-particle":"","family":"Pires de Lima","given":"Rafael A.","non-dropping-particle":"","parse-names":false,"suffix":""},{"dropping-particle":"","family":"Marfurt","given":"Kurt","non-dropping-particle":"","parse-names":false,"suffix":""}],"id":"ITEM-4","issued":{"date-parts":[["2018","7","23"]]},"publisher":"Unconventional Resources Technology Conference","title":"Statistical controls on induced seismicity","type":"paper-conference"},"uris":["http://www.mendeley.com/documents/?uuid=dffc0ea0-b023-30ff-9d55-d5f0d726d2b3"]}],"mendeley":{"formattedCitation":"(DeVries et al., 2018; Perol et al., 2018; Sinha et al., 2018; Ren et al., 2019)","manualFormatting":"(e.g DeVries et al., 2018; Perol et al., 2018; Sinha et al., 2018; Ren et al., 2019)","plainTextFormattedCitation":"(DeVries et al., 2018; Perol et al., 2018; Sinha et al., 2018; Ren et al., 2019)","previouslyFormattedCitation":"(DeVries et al., 2018; Perol et al., 2018; Sinha et al., 2018; Ren et al., 2019)"},"properties":{"noteIndex":0},"schema":"https://github.com/citation-style-language/schema/raw/master/csl-citation.json"}</w:instrText>
      </w:r>
      <w:r>
        <w:fldChar w:fldCharType="separate"/>
      </w:r>
      <w:r w:rsidRPr="00DC74B3">
        <w:rPr>
          <w:noProof/>
        </w:rPr>
        <w:t>(</w:t>
      </w:r>
      <w:r>
        <w:rPr>
          <w:noProof/>
        </w:rPr>
        <w:t xml:space="preserve">e.g </w:t>
      </w:r>
      <w:r w:rsidRPr="00DC74B3">
        <w:rPr>
          <w:noProof/>
        </w:rPr>
        <w:t>DeVries et al., 2018; Perol et al., 2018; Sinha et al., 2018; Ren et al., 2019)</w:t>
      </w:r>
      <w:r>
        <w:fldChar w:fldCharType="end"/>
      </w:r>
      <w:r>
        <w:t xml:space="preserve">, as is the list of applications using seismic data. Many authors used ML applied to seismic attributes to highlight seismic facies </w:t>
      </w:r>
      <w:r>
        <w:fldChar w:fldCharType="begin" w:fldLock="1"/>
      </w:r>
      <w:r>
        <w:instrText>ADDIN CSL_CITATION {"citationItems":[{"id":"ITEM-1","itemData":{"DOI":"10.1190/INT-2015-0094.1","ISSN":"2324-8858","author":[{"dropping-particle":"","family":"Zhao","given":"Tao","non-dropping-particle":"","parse-names":false,"suffix":""},{"dropping-particle":"","family":"Zhang","given":"Jing","non-dropping-particle":"","parse-names":false,"suffix":""},{"dropping-particle":"","family":"Li","given":"Fangyu","non-dropping-particle":"","parse-names":false,"suffix":""},{"dropping-particle":"","family":"Marfurt","given":"Kurt J.","non-dropping-particle":"","parse-names":false,"suffix":""}],"container-title":"Interpretation","id":"ITEM-1","issue":"1","issued":{"date-parts":[["2016","2","1"]]},"page":"SB79-SB89","publisher":"GeoScienceWorld","title":"Characterizing a turbidite system in Canterbury Basin, New Zealand, using seismic attributes and distance-preserving self-organizing maps","type":"article-journal","volume":"4"},"uris":["http://www.mendeley.com/documents/?uuid=8b674bcc-b70a-3e4a-a825-edf936e97642"]},{"id":"ITEM-2","itemData":{"DOI":"10.1190/geo2017-0192.1","author":[{"dropping-particle":"","family":"Zhao","given":"Tao","non-dropping-particle":"","parse-names":false,"suffix":""},{"dropping-particle":"","family":"Li","given":"Fangyu","non-dropping-particle":"","parse-names":false,"suffix":""},{"dropping-particle":"","family":"Marfurt","given":"Kurt J","non-dropping-particle":"","parse-names":false,"suffix":""}],"container-title":"GEOPHYSICS","id":"ITEM-2","issue":"2","issued":{"date-parts":[["2018","2"]]},"page":"O31--O44","publisher":"Society of Exploration Geophysicists","title":"Seismic attribute selection for unsupervised seismic facies analysis using user-guided data-adaptive weights","type":"article-journal","volume":"83"},"uris":["http://www.mendeley.com/documents/?uuid=b4851938-a4ea-42ed-8cd8-680412e3feb6"]},{"id":"ITEM-3","itemData":{"DOI":"10.1190/int-2018-0109.1","author":[{"dropping-particle":"","family":"Lubo-Robles","given":"David","non-dropping-particle":"","parse-names":false,"suffix":""},{"dropping-particle":"","family":"Marfurt","given":"Kurt J","non-dropping-particle":"","parse-names":false,"suffix":""}],"container-title":"Interpretation","id":"ITEM-3","issued":{"date-parts":[["2019","2"]]},"page":"1-76","publisher":"Society of Exploration Geophysicists","title":"Independent Component Analysis for reservoir geomorphology and unsupervised seismic facies classification in the Taranaki Basin, New Zealand.","type":"article-journal"},"uris":["http://www.mendeley.com/documents/?uuid=80a4fa9a-60b1-4e67-ace2-6e78dcf9db39"]},{"id":"ITEM-4","itemData":{"DOI":"10.1190/geo2010-0150.1","ISSN":"0016-8033","author":[{"dropping-particle":"","family":"Matos","given":"Marcilio Castro","non-dropping-particle":"de","parse-names":false,"suffix":""},{"dropping-particle":"","family":"Yenugu","given":"Malleswar (Moe)","non-dropping-particle":"","parse-names":false,"suffix":""},{"dropping-particle":"","family":"Angelo","given":"Sipuikinene Miguel","non-dropping-particle":"","parse-names":false,"suffix":""},{"dropping-particle":"","family":"Marfurt","given":"Kurt J.","non-dropping-particle":"","parse-names":false,"suffix":""}],"container-title":"Geophysics","id":"ITEM-4","issue":"5","issued":{"date-parts":[["2011","9","1"]]},"page":"P11-P21","publisher":"GeoScienceWorld","title":"Integrated seismic texture segmentation and cluster analysis applied to channel delineation and chert reservoir characterization","type":"article-journal","volume":"76"},"uris":["http://www.mendeley.com/documents/?uuid=dd698223-e74f-389d-b821-789565f34565"]},{"id":"ITEM-5","itemData":{"DOI":"10.1190/1.2392789","ISSN":"0016-8033","abstract":"Unsupervised seismic facies analysis provides an effective way to estimate reservoir properties by combining different seismic attributes through pattern recognition algorithms. However, without consistent geological information, parameters such as the number of facies and even the input seismic attributes are usually chosen in an empirical way. In this context, we propose two new semiautomatic alternative methods. In the first one, we use the clustering of the Kohonen self-organizing maps (SOMs) as a new way to build seismic facies maps and to estimate the number of seismic facies. In the second method, we use wavelet transforms to identify seismic trace singularities in each geologically oriented segment, and then we build the seismic facies map using the clustering of the SOM. We tested both methods using synthetic and real seismic data from the Namorado deepwater giant oilfield in Campos Basin, offshore Brazil. The results confirm that we can estimate the appropriate number of seismic facies through t...","author":[{"dropping-particle":"","family":"Matos","given":"Marcílio Castro","non-dropping-particle":"de","parse-names":false,"suffix":""},{"dropping-particle":"","family":"Osorio","given":"Paulo Léo","non-dropping-particle":"","parse-names":false,"suffix":""},{"dropping-particle":"","family":"Johann","given":"Paulo Roberto","non-dropping-particle":"","parse-names":false,"suffix":""}],"container-title":"Geophysics","id":"ITEM-5","issue":"1","issued":{"date-parts":[["2007","1","13"]]},"page":"P9-P21","publisher":"Society of Exploration Geophysicists","title":"Unsupervised seismic facies analysis using wavelet transform and self-organizing maps","type":"article-journal","volume":"72"},"uris":["http://www.mendeley.com/documents/?uuid=ffcaf9cc-2dd5-35b2-b2f5-47d825e9595a"]},{"id":"ITEM-6","itemData":{"DOI":"10.1190/INT-2015-0098.1","ISSN":"2324-8858","abstract":"AbstractOne of the key components of traditional seismic interpretation is to associate or “label” a specific seismic amplitude package of reflectors with an appropriate seismic or geologic facies. The object of seismic clustering algorithms is to use a computer to accelerate this process, allowing one to generate interpreted facies for large 3D volumes. Determining which attributes best quantify a specific amplitude or morphology component seen by the human interpreter is critical to successful clustering. Unfortunately, many patterns, such as coherence images of salt domes, result in a salt-and-pepper classification. Application of 3D Kuwahara median filters smooths the interior attribute response and sharpens the contrast between neighboring facies, thereby preconditioning the attribute volumes for subsequent clustering. In our workflow, the interpreter manually painted n target facies using traditional interpretation techniques, resulting in attribute training data for each facies. Candidate attribute...","author":[{"dropping-particle":"","family":"Qi","given":"Jie","non-dropping-particle":"","parse-names":false,"suffix":""},{"dropping-particle":"","family":"Lin","given":"Tengfei","non-dropping-particle":"","parse-names":false,"suffix":""},{"dropping-particle":"","family":"Zhao","given":"Tao","non-dropping-particle":"","parse-names":false,"suffix":""},{"dropping-particle":"","family":"Li","given":"Fangyu","non-dropping-particle":"","parse-names":false,"suffix":""},{"dropping-particle":"","family":"Marfurt","given":"Kurt","non-dropping-particle":"","parse-names":false,"suffix":""}],"container-title":"Interpretation","id":"ITEM-6","issue":"1","issued":{"date-parts":[["2016","2","15"]]},"page":"SB91-SB106","publisher":"Society of Exploration Geophysicists and American Association of Petroleum Geologists","title":"Semisupervised multiattribute seismic facies analysis","type":"article-journal","volume":"4"},"uris":["http://www.mendeley.com/documents/?uuid=4f8d605d-1391-3fa5-a71c-54ef5148b211"]},{"id":"ITEM-7","itemData":{"DOI":"10.1190/INT-2015-0037.1","ISSN":"2324-8858","abstract":"AbstractInterpretation of seismic reflection data routinely involves powerful multiple-central-processing-unit computers, advanced visualization techniques, and generation of numerous seismic data types and attributes. Even with these technologies at the disposal of interpreters, there are additional techniques to derive even more useful information from our data. Over the last few years, there have been efforts to distill numerous seismic attributes into volumes that are easily evaluated for their geologic significance and improved seismic interpretation. Seismic attributes are any measurable property of seismic data. Commonly used categories of seismic attributes include instantaneous, geometric, amplitude accentuating, amplitude-variation with offset, spectral decomposition, and inversion. Principal component analysis (PCA), a linear quantitative technique, has proven to be an excellent approach for use in understanding which seismic attributes or combination of seismic attributes has interpretive significance. The PCA reduces a large set of seismic attributes to indicate variations in the data, which often relate to geologic features of interest. PCA, as a tool used in an interpretation workflow, can help to determine meaningful seismic attributes. In turn, these attributes are input to self-organizing-map (SOM) training. The SOM, a form of unsupervised neural networks, has proven to take many of these seismic attributes and produce meaningful and easily interpretable results. SOM analysis reveals the natural clustering and patterns in data and has been beneficial in defining stratigraphy, seismic facies, direct hydrocarbon indicator features, and aspects of shale plays, such as fault/fracture trends and sweet spots. With modern visualization capabilities and the application of 2D color maps, SOM routinely identifies meaningful geologic patterns. Recent work using SOM and PCA has revealed geologic features that were not previously identified or easily interpreted from the seismic data. The ultimate goal in this multiattribute analysis is to enable the geoscientist to produce a more accurate interpretation and reduce exploration and development risk.","author":[{"dropping-particle":"","family":"Roden","given":"Rocky","non-dropping-particle":"","parse-names":false,"suffix":""},{"dropping-particle":"","family":"Smith","given":"Thomas","non-dropping-particle":"","parse-names":false,"suffix":""},{"dropping-particle":"","family":"Sacrey","given":"Deborah","non-dropping-particle":"","parse-names":false,"suffix":""}],"container-title":"Interpretation","id":"ITEM-7","issue":"4","issued":{"date-parts":[["2015","8","14"]]},"note":"doi: 10.1190/INT-2015-0037.1","page":"SAE59-SAE83","publisher":"Society of Exploration Geophysicists","title":"Geologic pattern recognition from seismic attributes: Principal component analysis and self-organizing maps","type":"article-journal","volume":"3"},"uris":["http://www.mendeley.com/documents/?uuid=e4255c08-f2f8-4198-95d0-60c72b856fad"]}],"mendeley":{"formattedCitation":"(de Matos et al., 2007, 2011; Roden et al., 2015; Qi et al., 2016; Zhao et al., 2016, 2018; Lubo-Robles and Marfurt, 2019)","manualFormatting":"(e.g. de Matos et al., 2007, 2011; Roden et al., 2015; Qi et al., 2016; Zhao et al., 2016, 2018; Lubo-Robles and Marfurt, 2019)","plainTextFormattedCitation":"(de Matos et al., 2007, 2011; Roden et al., 2015; Qi et al., 2016; Zhao et al., 2016, 2018; Lubo-Robles and Marfurt, 2019)","previouslyFormattedCitation":"(de Matos et al., 2007, 2011; Roden et al., 2015; Qi et al., 2016; Zhao et al., 2016, 2018; Lubo-Robles and Marfurt, 2019)"},"properties":{"noteIndex":0},"schema":"https://github.com/citation-style-language/schema/raw/master/csl-citation.json"}</w:instrText>
      </w:r>
      <w:r>
        <w:fldChar w:fldCharType="separate"/>
      </w:r>
      <w:r w:rsidRPr="005368FA">
        <w:rPr>
          <w:noProof/>
        </w:rPr>
        <w:t>(</w:t>
      </w:r>
      <w:r>
        <w:rPr>
          <w:noProof/>
        </w:rPr>
        <w:t xml:space="preserve">e.g. </w:t>
      </w:r>
      <w:r w:rsidRPr="005368FA">
        <w:rPr>
          <w:noProof/>
        </w:rPr>
        <w:t>de Matos et al., 2007, 2011; Roden et al., 2015; Qi et al., 2016; Zhao et al., 2016, 2018; Lubo-Robles and Marfurt, 2019)</w:t>
      </w:r>
      <w:r>
        <w:fldChar w:fldCharType="end"/>
      </w:r>
      <w:r>
        <w:t xml:space="preserve"> with a recent increase in the use of DNNs and CNNs to highlight seismic facies, to invert for impedance, to denoise data and others </w:t>
      </w:r>
      <w:r>
        <w:fldChar w:fldCharType="begin" w:fldLock="1"/>
      </w:r>
      <w:r>
        <w:instrText>ADDIN CSL_CITATION {"citationItems":[{"id":"ITEM-1","itemData":{"DOI":"doi:10.1190/segam2018-2981295.1","abstract":"Deep learning, an advance machine learning method, has gained a lot of interest in various fields in recent years. In this paper, deep learning is investigated to suppress pre-stack seismic noise by learning the features of noise in seismic data automatically. First of all, a convolutional neural network (CNN) architecture for ground-roll noise attenuation is designed, then the network is trained by using the scattered ground-roll noise obtained from two shots in advance as labels, and finally, the denoising network is applied to all shots of the field land shot gather. The feasibility of this approach is confirmed by the denoising results, and this approach is shown to be promising in suppressing the scattered ground-roll noise automatically with high computational efficiency.Presentation Date: Tuesday, October 16, 2018Start Time: 1:50:00 PMLocation: 204B (Anaheim Convention Center)Presentation Type: Oral","author":[{"dropping-particle":"","family":"Li","given":"Haishan","non-dropping-particle":"","parse-names":false,"suffix":""},{"dropping-particle":"","family":"Yang","given":"Wuyang","non-dropping-particle":"","parse-names":false,"suffix":""},{"dropping-particle":"","family":"Yong","given":"Xueshan","non-dropping-particle":"","parse-names":false,"suffix":""}],"collection-title":"SEG Technical Program Expanded Abstracts","container-title":"SEG Technical Program Expanded Abstracts 2018","id":"ITEM-1","issued":{"date-parts":[["2018","8","27"]]},"note":"doi:10.1190/segam2018-2981295.1","page":"1981-1985","publisher":"Society of Exploration Geophysicists","title":"Deep learning for ground-roll noise attenuation","type":"chapter"},"uris":["http://www.mendeley.com/documents/?uuid=390c851c-d8e6-41a4-946f-5ab1b2bd9c7d"]},{"id":"ITEM-2","itemData":{"DOI":"doi:10.1190/segam2019-3216840.1","abstract":"In exploration seismology, seismic inversion refers to the process of inferring physical properties of the subsurface from seismic data. Knowledge of physical properties can prove helpful in identifying key structures in the subsurface for hydrocarbon exploration. In this work, we propose a workflow for predicting acoustic impedance (AI) from seismic data using a network architecture based on Temporal Convolutional Network by posing the problem as that of sequence modeling. The proposed workflow overcomes some of the problems that other network architectures usually face, like gradient vanishing in Recurrent Neural Networks, or overfitting in Convolutional Neural Networks. The proposed workflow was used to predict AI on Marmousi 2 dataset with an average r2 coefficient of 91% on a hold-out validation set.Presentation Date: Wednesday, September 18, 2019Session Start Time: 9:20 AMPresentation Time: 9:45 AMLocation: Poster Station 1Presentation Type: Poster","author":[{"dropping-particle":"","family":"Mustafa","given":"Ahmad","non-dropping-particle":"","parse-names":false,"suffix":""},{"dropping-particle":"","family":"Alfarraj","given":"Motaz","non-dropping-particle":"","parse-names":false,"suffix":""},{"dropping-particle":"","family":"AlRegib","given":"Ghassan","non-dropping-particle":"","parse-names":false,"suffix":""}],"collection-title":"SEG Technical Program Expanded Abstracts","container-title":"SEG Technical Program Expanded Abstracts 2019","id":"ITEM-2","issued":{"date-parts":[["2019","8","1"]]},"note":"doi:10.1190/segam2019-3216840.1","page":"2554-2558","publisher":"Society of Exploration Geophysicists","title":"Estimation of acoustic impedance from seismic data using temporal convolutional network","type":"chapter"},"uris":["http://www.mendeley.com/documents/?uuid=49c09e61-ecee-45a0-a9bf-a7ade3f28667"]},{"id":"ITEM-3","itemData":{"DOI":"10.1093/gji/ggz226","ISSN":"0956-540X","abstract":"3-D seismic interpretation is essential for subsurface characterization and exploration. Many existing interpretation techniques have been developed for identifying certain seismic features (e.g. faults and salt domes) that are important for depositional facies and hydrocarbon system analysis, but at the expense of deemphasizing or removing other features. Interpreting all the important seismic patterns simultaneously is a long-time issue, although many authors have attempted with the aid of multiple seismic attributes and classification schemes. To resolve this problem, this study proposes developing a seismic texture network (StNet) for automated pattern recognition, classification, and interpretation from 3-D seismic data. The workflow begins with constructing a preliminary seismic texture data set (StData-12), which tentatively categorizes 12 commonly observed seismic patterns based on their signal texture of important geological features such as faults, salt bodies, gas chimneys, depositional facies and stratigraphic features. Then we build the StNet using the state-of-the-art architecture of fully convolutional neural networks and train it based on the constructed data set StData-12. For the seismic data sets we have tested, the StNet is proven to be capable of automatically recognizing and annotating the 12 defined seismic patterns in real time, which allows interpreters to quickly identify the important seismic features simultaneously from a seismic volume. Moreover, we demonstrate that the StNet can be utilized for deriving more task-oriented networks, such as a fault-detection neural network. It is concluded that the proposed StNet as an automated process for machine cognitive data analysis should have broad applications in geological and environmental sciences, mining and drilling engineering, and hydrocarbon exploration. In-depth seismic texture analysis and interdisciplinary collaboration are expected in the future for both enriching the StData-12 and correspondingly optimizing the StNet.","author":[{"dropping-particle":"","family":"Di","given":"Haibin","non-dropping-particle":"","parse-names":false,"suffix":""},{"dropping-particle":"","family":"Gao","given":"Dengliang","non-dropping-particle":"","parse-names":false,"suffix":""},{"dropping-particle":"","family":"AlRegib","given":"Ghassan","non-dropping-particle":"","parse-names":false,"suffix":""}],"container-title":"Geophysical Journal International","id":"ITEM-3","issue":"2","issued":{"date-parts":[["2019","5","28"]]},"page":"1262-1275","title":"Developing a seismic texture analysis neural network for machine-aided seismic pattern recognition and classification","type":"article-journal","volume":"218"},"uris":["http://www.mendeley.com/documents/?uuid=c1f119c7-3195-4304-bdc1-0d2701834451"]},{"id":"ITEM-4","itemData":{"DOI":"10.1190/INT-2018-0250.1","ISSN":"2324-8858","abstract":"AbstractRecent applications of machine learning algorithms in the seismic domain have shown great potential in different areas such as seismic inversion and interpretation. However, such algorithms rarely enforce geophysical constraints ? the lack of which might lead to undesirable results. To overcome this issue, we have developed a semisupervised sequence modeling framework based on recurrent neural networks for elastic impedance inversion from multiangle seismic data. Specifically, seismic traces and elastic impedance (EI) traces are modeled as a time series. Then, a neural-network-based inversion model comprising convolutional and recurrent neural layers is used to invert seismic data for EI. The proposed workflow uses well-log data to guide the inversion. In addition, it uses seismic forward modeling to regularize the training and to serve as a geophysical constraint for the inversion. The proposed workflow achieves an average correlation of 98% between the estimated and target EI using 10 well logs for training on a synthetic data set.","author":[{"dropping-particle":"","family":"Alfarraj","given":"Motaz","non-dropping-particle":"","parse-names":false,"suffix":""},{"dropping-particle":"","family":"AlRegib","given":"Ghassan","non-dropping-particle":"","parse-names":false,"suffix":""}],"container-title":"Interpretation","id":"ITEM-4","issue":"3","issued":{"date-parts":[["2019","6","4"]]},"note":"doi: 10.1190/INT-2018-0250.1","page":"SE237-SE249","publisher":"Society of Exploration Geophysicists","title":"Semisupervised sequence modeling for elastic impedance inversion","type":"article-journal","volume":"7"},"uris":["http://www.mendeley.com/documents/?uuid=e046c0ab-8956-4551-a0b0-3cf11432b75e"]},{"id":"ITEM-5","itemData":{"DOI":"10.1190/INT-2018-0202.1","ISSN":"2324-8858","abstract":"AbstractWe have developed a method based on an encoder-decoder convolutional neural network for automatic channel detection in 3D seismic volumes. We use two architectures borrowed from computer vision: SegNet for image segmentation together with Bayesian SegNet for uncertainty measurement. We train the network on 3D synthetic volumes and then apply it to field data. We test the proposed approach on a 3D field data set from the Browse Basin, offshore Australia, and a 3D Parihaka seismic data in New Zealand. Applying the weights estimated from training on 3D synthetic volumes to a 3D field data set accurately identifies channel geobodies without the need for any human interpretation on seismic attributes. Our proposed method also produces uncertainty volumes to quantify the trustworthiness of the detection model.","author":[{"dropping-particle":"","family":"Pham","given":"Nam","non-dropping-particle":"","parse-names":false,"suffix":""},{"dropping-particle":"","family":"Fomel","given":"Sergey","non-dropping-particle":"","parse-names":false,"suffix":""},{"dropping-particle":"","family":"Dunlap","given":"Dallas","non-dropping-particle":"","parse-names":false,"suffix":""}],"container-title":"Interpretation","id":"ITEM-5","issue":"3","issued":{"date-parts":[["2019","3","19"]]},"note":"doi: 10.1190/INT-2018-0202.1","page":"SE43-SE50","publisher":"Society of Exploration Geophysicists","title":"Automatic channel detection using deep learning","type":"article-journal","volume":"7"},"uris":["http://www.mendeley.com/documents/?uuid=52734de0-3c59-4296-8cc8-52472a1782ea"]},{"id":"ITEM-6","itemData":{"DOI":"doi:10.1190/segam2018-2997155.1","abstract":"Three-dimensional seismic interpretation plays a key role in robust hydrocarbon exploration and production of subsurface reservoirs. With the dramatic growing size of 3D seismic surveys, however, manually interpreting a seismic volume turns to be even more challenging. In recent years, artificial intelligence and machine learning techniques have been successfully applied in various disciplines, which greatly promotes its applications in the seismic domain for mimicking an experienced interpreter?s intelligence and assisting seismic interpretation in various tasks, including facies analysis and structure detection (e.g., faults and salt domes). In this study, we first apply two most popular neural network frameworks, the multi-layer perceptron (MLP) network and the convolutional neural network (CNN), to the problem of seismic salt-body delineation and compare their performance. Then, we investigate two factors that contribute to the better performance of the CNN framework in understanding seismic signals and identifying the important seismic structures. Specifically, on one hand, the CNN is capable of automatically generating a suite of features from the original seismic images, which reduces the dependency on interpreters for computing and tuning seismic attributes. On the other hand and more importantly, the CNN classification is patch based, in which local seismic reflection patterns are taken into account for defining and learning the features of the target structures. In this way, the random/coherent seismic noise and processing artifacts of distinct patterns can be effectively identified and excluded.Presentation Date: Tuesday, October 16, 2018Start Time: 1:50:00 PMLocation: Poster Station 2Presentation Type: Poster","author":[{"dropping-particle":"","family":"Di","given":"Haibin","non-dropping-particle":"","parse-names":false,"suffix":""},{"dropping-particle":"","family":"Wang","given":"Zhen","non-dropping-particle":"","parse-names":false,"suffix":""},{"dropping-particle":"","family":"AlRegib","given":"Ghassan","non-dropping-particle":"","parse-names":false,"suffix":""}],"collection-title":"SEG Technical Program Expanded Abstracts","container-title":"SEG Technical Program Expanded Abstracts 2018","id":"ITEM-6","issued":{"date-parts":[["2018","8","27"]]},"note":"doi:10.1190/segam2018-2997155.1","page":"2216-2220","publisher":"Society of Exploration Geophysicists","title":"Why using CNN for seismic interpretation? An investigation","type":"chapter"},"uris":["http://www.mendeley.com/documents/?uuid=11078a54-0c04-4cd4-8dc9-31874cd5a77a"]},{"id":"ITEM-7","itemData":{"DOI":"10.1190/tle37070529.1","ISSN":"1070-485X","author":[{"dropping-particle":"","family":"Waldeland","given":"Anders U.","non-dropping-particle":"","parse-names":false,"suffix":""},{"dropping-particle":"","family":"Jensen","given":"Are Charles","non-dropping-particle":"","parse-names":false,"suffix":""},{"dropping-particle":"","family":"Gelius","given":"Leiv-J.","non-dropping-particle":"","parse-names":false,"suffix":""},{"dropping-particle":"","family":"Solberg","given":"Anne H. Schistad","non-dropping-particle":"","parse-names":false,"suffix":""}],"container-title":"The Leading Edge","id":"ITEM-7","issue":"7","issued":{"date-parts":[["2018","7"]]},"page":"529-537","title":"Convolutional neural networks for automated seismic interpretation","type":"article-journal","volume":"37"},"uris":["http://www.mendeley.com/documents/?uuid=29d7c4e9-cc07-3255-b1c8-95336df59141"]},{"id":"ITEM-8","itemData":{"DOI":"10.1109/TGRS.2019.2938836","ISSN":"VO -","author":[{"dropping-particle":"","family":"Zhao","given":"Y","non-dropping-particle":"","parse-names":false,"suffix":""},{"dropping-particle":"","family":"Li","given":"Y","non-dropping-particle":"","parse-names":false,"suffix":""},{"dropping-particle":"","family":"Yang","given":"B","non-dropping-particle":"","parse-names":false,"suffix":""}],"container-title":"IEEE Transactions on Geoscience and Remote Sensing","id":"ITEM-8","issued":{"date-parts":[["2019"]]},"page":"1-16","title":"Low-Frequency Desert Noise Intelligent Suppression in Seismic Data Based on Multiscale Geometric Analysis Convolutional Neural Network","type":"article-journal"},"uris":["http://www.mendeley.com/documents/?uuid=d29faa6c-367e-41f7-917f-f9d4a938f6d2"]}],"mendeley":{"formattedCitation":"(Di et al., 2018; Li et al., 2018; Waldeland et al., 2018; Alfarraj and AlRegib, 2019; Di, Gao, et al., 2019; Mustafa et al., 2019; Pham et al., 2019; Zhao et al., 2019)","manualFormatting":"(e.g. Di et al., 2018; Li et al., 2018; Waldeland et al., 2018; Alfarraj and AlRegib, 2019; Di et al., 2019a; Mustafa et al., 2019; Pham et al., 2019; Zhao et al., 2019)","plainTextFormattedCitation":"(Di et al., 2018; Li et al., 2018; Waldeland et al., 2018; Alfarraj and AlRegib, 2019; Di, Gao, et al., 2019; Mustafa et al., 2019; Pham et al., 2019; Zhao et al., 2019)","previouslyFormattedCitation":"(Di et al., 2018; Li et al., 2018; Waldeland et al., 2018; Alfarraj and AlRegib, 2019; Di, Gao, et al., 2019; Mustafa et al., 2019; Pham et al., 2019; Zhao et al., 2019)"},"properties":{"noteIndex":0},"schema":"https://github.com/citation-style-language/schema/raw/master/csl-citation.json"}</w:instrText>
      </w:r>
      <w:r>
        <w:fldChar w:fldCharType="separate"/>
      </w:r>
      <w:r w:rsidRPr="005368FA">
        <w:rPr>
          <w:noProof/>
        </w:rPr>
        <w:t>(</w:t>
      </w:r>
      <w:r>
        <w:rPr>
          <w:noProof/>
        </w:rPr>
        <w:t xml:space="preserve">e.g. </w:t>
      </w:r>
      <w:r w:rsidRPr="005368FA">
        <w:rPr>
          <w:noProof/>
        </w:rPr>
        <w:t>Di et al., 2018; Li et al., 2018; Waldeland et al., 2018; Alfarraj and AlRegib, 2019; Di et al., 2019</w:t>
      </w:r>
      <w:r>
        <w:rPr>
          <w:noProof/>
        </w:rPr>
        <w:t>a</w:t>
      </w:r>
      <w:r w:rsidRPr="005368FA">
        <w:rPr>
          <w:noProof/>
        </w:rPr>
        <w:t>; Mustafa et al., 2019; Pham et al., 2019; Zhao et al., 2019)</w:t>
      </w:r>
      <w:r>
        <w:fldChar w:fldCharType="end"/>
      </w:r>
      <w:r>
        <w:t xml:space="preserve">. Much like in other fields of science, geoscientists now are witnesses to an increase use of deep neural networks (DNN) and convolutional neural networks (CNN) applications. </w:t>
      </w:r>
    </w:p>
    <w:p w14:paraId="1A8C70D5" w14:textId="77777777" w:rsidR="0053410A" w:rsidRDefault="0053410A" w:rsidP="0053410A">
      <w:pPr>
        <w:pStyle w:val="SEGBodyText"/>
      </w:pPr>
      <w:r>
        <w:fldChar w:fldCharType="begin" w:fldLock="1"/>
      </w:r>
      <w:r>
        <w:instrText>ADDIN CSL_CITATION {"citationItems":[{"id":"ITEM-1","itemData":{"DOI":"10.1038/nature14539","ISSN":"0028-0836","abstract":"Deep learning","author":[{"dropping-particle":"","family":"LeCun","given":"Yann","non-dropping-particle":"","parse-names":false,"suffix":""},{"dropping-particle":"","family":"Bengio","given":"Yoshua","non-dropping-particle":"","parse-names":false,"suffix":""},{"dropping-particle":"","family":"Hinton","given":"Geoffrey","non-dropping-particle":"","parse-names":false,"suffix":""}],"container-title":"Nature","id":"ITEM-1","issue":"7553","issued":{"date-parts":[["2015","5","28"]]},"page":"436-444","publisher":"Nature Publishing Group","title":"Deep learning","type":"article-journal","volume":"521"},"uris":["http://www.mendeley.com/documents/?uuid=0649e55b-84c4-3d3a-a37b-adcdaa740493"]}],"mendeley":{"formattedCitation":"(LeCun et al., 2015)","manualFormatting":"LeCun et al. (2015)","plainTextFormattedCitation":"(LeCun et al., 2015)","previouslyFormattedCitation":"(LeCun et al., 2015)"},"properties":{"noteIndex":0},"schema":"https://github.com/citation-style-language/schema/raw/master/csl-citation.json"}</w:instrText>
      </w:r>
      <w:r>
        <w:fldChar w:fldCharType="separate"/>
      </w:r>
      <w:r w:rsidRPr="00F35CEF">
        <w:rPr>
          <w:noProof/>
        </w:rPr>
        <w:t xml:space="preserve">LeCun et al. </w:t>
      </w:r>
      <w:r>
        <w:rPr>
          <w:noProof/>
        </w:rPr>
        <w:t>(</w:t>
      </w:r>
      <w:r w:rsidRPr="00F35CEF">
        <w:rPr>
          <w:noProof/>
        </w:rPr>
        <w:t>2015)</w:t>
      </w:r>
      <w:r>
        <w:fldChar w:fldCharType="end"/>
      </w:r>
      <w:r>
        <w:t xml:space="preserve"> provided details of DNNs and CNNs. They reported that the work presented by </w:t>
      </w:r>
      <w:r>
        <w:fldChar w:fldCharType="begin" w:fldLock="1"/>
      </w:r>
      <w:r>
        <w:instrText>ADDIN CSL_CITATION {"citationItems":[{"id":"ITEM-1","itemData":{"author":[{"dropping-particle":"","family":"Krizhevsky","given":"Alex","non-dropping-particle":"","parse-names":false,"suffix":""},{"dropping-particle":"","family":"Sutskever","given":"Ilya","non-dropping-particle":"","parse-names":false,"suffix":""},{"dropping-particle":"","family":"Hinton","given":"Geoffrey E","non-dropping-particle":"","parse-names":false,"suffix":""}],"collection-title":"NIPS'12","container-title":"Proceedings of the 25th International Conference on Neural Information Processing Systems - Volume 1","id":"ITEM-1","issued":{"date-parts":[["2012"]]},"page":"1097-1105","publisher":"Curran Associates Inc.","publisher-place":"USA","title":"ImageNet Classification with Deep Convolutional Neural Networks","type":"paper-conference"},"uris":["http://www.mendeley.com/documents/?uuid=d1bdbb5f-bb6d-464f-b23e-e9ad964cafa2"]}],"mendeley":{"formattedCitation":"(Krizhevsky et al., 2012)","manualFormatting":"Krizhevsky et al. (2012)","plainTextFormattedCitation":"(Krizhevsky et al., 2012)","previouslyFormattedCitation":"(Krizhevsky et al., 2012)"},"properties":{"noteIndex":0},"schema":"https://github.com/citation-style-language/schema/raw/master/csl-citation.json"}</w:instrText>
      </w:r>
      <w:r>
        <w:fldChar w:fldCharType="separate"/>
      </w:r>
      <w:r w:rsidRPr="00F35CEF">
        <w:rPr>
          <w:noProof/>
        </w:rPr>
        <w:t xml:space="preserve">Krizhevsky et al. </w:t>
      </w:r>
      <w:r>
        <w:rPr>
          <w:noProof/>
        </w:rPr>
        <w:t>(</w:t>
      </w:r>
      <w:r w:rsidRPr="00F35CEF">
        <w:rPr>
          <w:noProof/>
        </w:rPr>
        <w:t>2012)</w:t>
      </w:r>
      <w:r>
        <w:fldChar w:fldCharType="end"/>
      </w:r>
      <w:r>
        <w:t xml:space="preserve"> was a breakthrough that </w:t>
      </w:r>
      <w:r w:rsidRPr="00F35CEF">
        <w:t xml:space="preserve">caused the rapid embracing of </w:t>
      </w:r>
      <w:r>
        <w:t xml:space="preserve">DNNs and CNNs </w:t>
      </w:r>
      <w:r w:rsidRPr="00F35CEF">
        <w:t xml:space="preserve">by the computer vision community. </w:t>
      </w:r>
      <w:r>
        <w:fldChar w:fldCharType="begin" w:fldLock="1"/>
      </w:r>
      <w:r>
        <w:instrText>ADDIN CSL_CITATION {"citationItems":[{"id":"ITEM-1","itemData":{"author":[{"dropping-particle":"","family":"Krizhevsky","given":"Alex","non-dropping-particle":"","parse-names":false,"suffix":""},{"dropping-particle":"","family":"Sutskever","given":"Ilya","non-dropping-particle":"","parse-names":false,"suffix":""},{"dropping-particle":"","family":"Hinton","given":"Geoffrey E","non-dropping-particle":"","parse-names":false,"suffix":""}],"collection-title":"NIPS'12","container-title":"Proceedings of the 25th International Conference on Neural Information Processing Systems - Volume 1","id":"ITEM-1","issued":{"date-parts":[["2012"]]},"page":"1097-1105","publisher":"Curran Associates Inc.","publisher-place":"USA","title":"ImageNet Classification with Deep Convolutional Neural Networks","type":"paper-conference"},"uris":["http://www.mendeley.com/documents/?uuid=d1bdbb5f-bb6d-464f-b23e-e9ad964cafa2"]}],"mendeley":{"formattedCitation":"(Krizhevsky et al., 2012)","manualFormatting":"Krizhevsky et al. (2012)","plainTextFormattedCitation":"(Krizhevsky et al., 2012)","previouslyFormattedCitation":"(Krizhevsky et al., 2012)"},"properties":{"noteIndex":0},"schema":"https://github.com/citation-style-language/schema/raw/master/csl-citation.json"}</w:instrText>
      </w:r>
      <w:r>
        <w:fldChar w:fldCharType="separate"/>
      </w:r>
      <w:r w:rsidRPr="00F35CEF">
        <w:rPr>
          <w:noProof/>
        </w:rPr>
        <w:t xml:space="preserve">Krizhevsky et al. </w:t>
      </w:r>
      <w:r>
        <w:rPr>
          <w:noProof/>
        </w:rPr>
        <w:t>(</w:t>
      </w:r>
      <w:r w:rsidRPr="00F35CEF">
        <w:rPr>
          <w:noProof/>
        </w:rPr>
        <w:t>2012)</w:t>
      </w:r>
      <w:r>
        <w:fldChar w:fldCharType="end"/>
      </w:r>
      <w:r>
        <w:t xml:space="preserve"> used CNN in a structure commonly referenced to as AlexNet on the ImageNet Large Scale Visual Recognition Challenge (ILSVRC, </w:t>
      </w:r>
      <w:r>
        <w:fldChar w:fldCharType="begin" w:fldLock="1"/>
      </w:r>
      <w:r>
        <w:instrText>ADDIN CSL_CITATION {"citationItems":[{"id":"ITEM-1","itemData":{"DOI":"10.1007/s11263-015-0816-y","ISSN":"0920-5691","author":[{"dropping-particle":"","family":"Russakovsky","given":"Olga","non-dropping-particle":"","parse-names":false,"suffix":""},{"dropping-particle":"","family":"Deng","given":"Jia","non-dropping-particle":"","parse-names":false,"suffix":""},{"dropping-particle":"","family":"Su","given":"Hao","non-dropping-particle":"","parse-names":false,"suffix":""},{"dropping-particle":"","family":"Krause","given":"Jonathan","non-dropping-particle":"","parse-names":false,"suffix":""},{"dropping-particle":"","family":"Satheesh","given":"Sanjeev","non-dropping-particle":"","parse-names":false,"suffix":""},{"dropping-particle":"","family":"Ma","given":"Sean","non-dropping-particle":"","parse-names":false,"suffix":""},{"dropping-particle":"","family":"Huang","given":"Zhiheng","non-dropping-particle":"","parse-names":false,"suffix":""},{"dropping-particle":"","family":"Karpathy","given":"Andrej","non-dropping-particle":"","parse-names":false,"suffix":""},{"dropping-particle":"","family":"Khosla","given":"Aditya","non-dropping-particle":"","parse-names":false,"suffix":""},{"dropping-particle":"","family":"Bernstein","given":"Michael","non-dropping-particle":"","parse-names":false,"suffix":""},{"dropping-particle":"","family":"Berg","given":"Alexander C.","non-dropping-particle":"","parse-names":false,"suffix":""},{"dropping-particle":"","family":"Fei-Fei","given":"Li","non-dropping-particle":"","parse-names":false,"suffix":""}],"container-title":"International Journal of Computer Vision","id":"ITEM-1","issue":"3","issued":{"date-parts":[["2015","12","11"]]},"page":"211-252","publisher":"Springer US","title":"ImageNet Large Scale Visual Recognition Challenge","type":"article-journal","volume":"115"},"uris":["http://www.mendeley.com/documents/?uuid=2c3988eb-b27d-3475-963d-67d67b346a31"]}],"mendeley":{"formattedCitation":"(Russakovsky et al., 2015)","manualFormatting":"Russakovsky et al., 2015)","plainTextFormattedCitation":"(Russakovsky et al., 2015)","previouslyFormattedCitation":"(Russakovsky et al., 2015)"},"properties":{"noteIndex":0},"schema":"https://github.com/citation-style-language/schema/raw/master/csl-citation.json"}</w:instrText>
      </w:r>
      <w:r>
        <w:fldChar w:fldCharType="separate"/>
      </w:r>
      <w:r w:rsidRPr="00F35CEF">
        <w:rPr>
          <w:noProof/>
        </w:rPr>
        <w:t>Russakovsky et al., 2015)</w:t>
      </w:r>
      <w:r>
        <w:fldChar w:fldCharType="end"/>
      </w:r>
      <w:r>
        <w:t xml:space="preserve">, achieving new state-of-the-art accuracy levels. </w:t>
      </w:r>
      <w:r>
        <w:lastRenderedPageBreak/>
        <w:t xml:space="preserve">The advent of DNN, CNN, and backpropagation allowed researchers to use “raw” data instead of features, commonly named attributes when referring to seismic data, as input to ML models. In their earlier work, </w:t>
      </w:r>
      <w:r>
        <w:fldChar w:fldCharType="begin" w:fldLock="1"/>
      </w:r>
      <w:r>
        <w:instrText>ADDIN CSL_CITATION {"citationItems":[{"id":"ITEM-1","itemData":{"DOI":"10.1190/INT-2015-0044.1","ISSN":"2324-8858","author":[{"dropping-particle":"","family":"Zhao","given":"Tao","non-dropping-particle":"","parse-names":false,"suffix":""},{"dropping-particle":"","family":"Jayaram","given":"Vikram","non-dropping-particle":"","parse-names":false,"suffix":""},{"dropping-particle":"","family":"Roy","given":"Atish","non-dropping-particle":"","parse-names":false,"suffix":""},{"dropping-particle":"","family":"Marfurt","given":"Kurt J.","non-dropping-particle":"","parse-names":false,"suffix":""}],"container-title":"Interpretation","id":"ITEM-1","issue":"4","issued":{"date-parts":[["2015","11","1"]]},"page":"SAE29-SAE58","publisher":"GeoScienceWorld","title":"A comparison of classification techniques for seismic facies recognition","type":"article-journal","volume":"3"},"uris":["http://www.mendeley.com/documents/?uuid=b716e36f-6891-3e92-9fcc-446bcb3e0c7a"]}],"mendeley":{"formattedCitation":"(Zhao et al., 2015)","manualFormatting":"Zhao et al., (2015)","plainTextFormattedCitation":"(Zhao et al., 2015)","previouslyFormattedCitation":"(Zhao et al., 2015)"},"properties":{"noteIndex":0},"schema":"https://github.com/citation-style-language/schema/raw/master/csl-citation.json"}</w:instrText>
      </w:r>
      <w:r>
        <w:fldChar w:fldCharType="separate"/>
      </w:r>
      <w:r w:rsidRPr="00EB521D">
        <w:rPr>
          <w:noProof/>
        </w:rPr>
        <w:t xml:space="preserve">Zhao et al., </w:t>
      </w:r>
      <w:r>
        <w:rPr>
          <w:noProof/>
        </w:rPr>
        <w:t>(</w:t>
      </w:r>
      <w:r w:rsidRPr="00EB521D">
        <w:rPr>
          <w:noProof/>
        </w:rPr>
        <w:t>2015)</w:t>
      </w:r>
      <w:r>
        <w:fldChar w:fldCharType="end"/>
      </w:r>
      <w:r>
        <w:t xml:space="preserve"> used seismic attributes to help recognize seismic facies in 3D seismic data volume acquired over the Canterbury Basin, offshore New Zealand. More recently,  </w:t>
      </w:r>
      <w:r>
        <w:fldChar w:fldCharType="begin" w:fldLock="1"/>
      </w:r>
      <w:r>
        <w:instrText>ADDIN CSL_CITATION {"citationItems":[{"id":"ITEM-1","itemData":{"DOI":"10.1190/segam2018-2997085.1","author":[{"dropping-particle":"","family":"Zhao","given":"Tao","non-dropping-particle":"","parse-names":false,"suffix":""}],"container-title":"SEG Technical Program Expanded Abstracts 2018","id":"ITEM-1","issued":{"date-parts":[["2018","8","27"]]},"page":"2046-2050","publisher":"Society of Exploration Geophysicists","title":"Seismic facies classification using different deep convolutional neural networks","type":"paper-conference"},"uris":["http://www.mendeley.com/documents/?uuid=667d31d6-ac1b-37ad-bac2-ccc81f9f01be"]}],"mendeley":{"formattedCitation":"(Zhao, 2018)","manualFormatting":"Zhao (2018)","plainTextFormattedCitation":"(Zhao, 2018)","previouslyFormattedCitation":"(Zhao, 2018)"},"properties":{"noteIndex":0},"schema":"https://github.com/citation-style-language/schema/raw/master/csl-citation.json"}</w:instrText>
      </w:r>
      <w:r>
        <w:fldChar w:fldCharType="separate"/>
      </w:r>
      <w:r w:rsidRPr="00ED4A6C">
        <w:rPr>
          <w:noProof/>
        </w:rPr>
        <w:t xml:space="preserve">Zhao </w:t>
      </w:r>
      <w:r>
        <w:rPr>
          <w:noProof/>
        </w:rPr>
        <w:t>(</w:t>
      </w:r>
      <w:r w:rsidRPr="00ED4A6C">
        <w:rPr>
          <w:noProof/>
        </w:rPr>
        <w:t>2018)</w:t>
      </w:r>
      <w:r>
        <w:fldChar w:fldCharType="end"/>
      </w:r>
      <w:r>
        <w:t xml:space="preserve"> applied CNN directly to the seismic amplitude volume to define seismic facies in the </w:t>
      </w:r>
      <w:r w:rsidRPr="00ED4A6C">
        <w:t>F3 seismic survey acquired in the North Sea, offshore Netherlands</w:t>
      </w:r>
      <w:r>
        <w:t xml:space="preserve">. </w:t>
      </w:r>
      <w:r>
        <w:fldChar w:fldCharType="begin" w:fldLock="1"/>
      </w:r>
      <w:r>
        <w:instrText>ADDIN CSL_CITATION {"citationItems":[{"id":"ITEM-1","itemData":{"DOI":"10.1190/geo2016-0473.1","author":[{"dropping-particle":"","family":"Wu","given":"Xinming","non-dropping-particle":"","parse-names":false,"suffix":""}],"container-title":"GEOPHYSICS","id":"ITEM-1","issue":"2","issued":{"date-parts":[["2017","3"]]},"page":"A13--A17","publisher":"Society of Exploration Geophysicists","title":"Directional structure-tensor-based coherence to detect seismic faults and channels","type":"article-journal","volume":"82"},"uris":["http://www.mendeley.com/documents/?uuid=ffb9ff3b-9c6b-41f4-82d4-346734f825a7"]}],"mendeley":{"formattedCitation":"(Wu, 2017)","manualFormatting":"Wu (2017)","plainTextFormattedCitation":"(Wu, 2017)","previouslyFormattedCitation":"(Wu, 2017)"},"properties":{"noteIndex":0},"schema":"https://github.com/citation-style-language/schema/raw/master/csl-citation.json"}</w:instrText>
      </w:r>
      <w:r>
        <w:fldChar w:fldCharType="separate"/>
      </w:r>
      <w:r w:rsidRPr="00ED4A6C">
        <w:rPr>
          <w:noProof/>
        </w:rPr>
        <w:t xml:space="preserve">Wu </w:t>
      </w:r>
      <w:r>
        <w:rPr>
          <w:noProof/>
        </w:rPr>
        <w:t>(</w:t>
      </w:r>
      <w:r w:rsidRPr="00ED4A6C">
        <w:rPr>
          <w:noProof/>
        </w:rPr>
        <w:t>2017)</w:t>
      </w:r>
      <w:r>
        <w:fldChar w:fldCharType="end"/>
      </w:r>
      <w:r>
        <w:t xml:space="preserve"> developed a d</w:t>
      </w:r>
      <w:r w:rsidRPr="00ED4A6C">
        <w:t>irectional structure-tensor-based coherence</w:t>
      </w:r>
      <w:r>
        <w:t xml:space="preserve"> algorithm to highlight faults and channels in seismic data; whereas </w:t>
      </w:r>
      <w:r>
        <w:fldChar w:fldCharType="begin" w:fldLock="1"/>
      </w:r>
      <w:r>
        <w:instrText>ADDIN CSL_CITATION {"citationItems":[{"id":"ITEM-1","itemData":{"DOI":"10.1190/geo2018-0646.1","author":[{"dropping-particle":"","family":"Wu","given":"Xinming","non-dropping-particle":"","parse-names":false,"suffix":""},{"dropping-particle":"","family":"Liang","given":"Luming","non-dropping-particle":"","parse-names":false,"suffix":""},{"dropping-particle":"","family":"Shi","given":"Yunzhi","non-dropping-particle":"","parse-names":false,"suffix":""},{"dropping-particle":"","family":"Fomel","given":"Sergey","non-dropping-particle":"","parse-names":false,"suffix":""}],"container-title":"GEOPHYSICS","id":"ITEM-1","issued":{"date-parts":[["2019","2"]]},"page":"1-36","publisher":"Society of Exploration Geophysicists","title":"FaultSeg3D: using synthetic datasets to train an end-to-end convolutional neural network for 3D seismic fault segmentation","type":"article-journal"},"uris":["http://www.mendeley.com/documents/?uuid=5128ffac-8dde-4ddf-8a80-1f0aaf031465"]}],"mendeley":{"formattedCitation":"(Wu et al., 2019)","manualFormatting":"Wu et al. (2019)","plainTextFormattedCitation":"(Wu et al., 2019)","previouslyFormattedCitation":"(Wu et al., 2019)"},"properties":{"noteIndex":0},"schema":"https://github.com/citation-style-language/schema/raw/master/csl-citation.json"}</w:instrText>
      </w:r>
      <w:r>
        <w:fldChar w:fldCharType="separate"/>
      </w:r>
      <w:r w:rsidRPr="00ED4A6C">
        <w:rPr>
          <w:noProof/>
        </w:rPr>
        <w:t xml:space="preserve">Wu et al. </w:t>
      </w:r>
      <w:r>
        <w:rPr>
          <w:noProof/>
        </w:rPr>
        <w:t>(</w:t>
      </w:r>
      <w:r w:rsidRPr="00ED4A6C">
        <w:rPr>
          <w:noProof/>
        </w:rPr>
        <w:t>2019)</w:t>
      </w:r>
      <w:r>
        <w:fldChar w:fldCharType="end"/>
      </w:r>
      <w:r>
        <w:t xml:space="preserve"> used a 3D CNN model to identify faults. Other examples of the use of DNN or CNN for seismic data include </w:t>
      </w:r>
      <w:r>
        <w:fldChar w:fldCharType="begin" w:fldLock="1"/>
      </w:r>
      <w:r>
        <w:instrText>ADDIN CSL_CITATION {"citationItems":[{"id":"ITEM-1","itemData":{"DOI":"doi/10.1190/tle36030208.1","author":[{"dropping-particle":"","family":"Araya-Polo","given":"M","non-dropping-particle":"","parse-names":false,"suffix":""},{"dropping-particle":"","family":"Dahlke1","given":"T","non-dropping-particle":"","parse-names":false,"suffix":""},{"dropping-particle":"","family":"Frogner","given":"C","non-dropping-particle":"","parse-names":false,"suffix":""},{"dropping-particle":"","family":"Zhang","given":"C","non-dropping-particle":"","parse-names":false,"suffix":""},{"dropping-particle":"","family":"Poggio","given":"T","non-dropping-particle":"","parse-names":false,"suffix":""},{"dropping-particle":"","family":"Hohl","given":"D","non-dropping-particle":"","parse-names":false,"suffix":""}],"container-title":"The Leading Edge","id":"ITEM-1","issue":"3","issued":{"date-parts":[["2017"]]},"page":"208-214","title":"Automated fault detection without seismic processing","type":"article-journal","volume":"36"},"uris":["http://www.mendeley.com/documents/?uuid=ea1ba5c6-8424-4728-a905-424b66f17c57"]}],"mendeley":{"formattedCitation":"(Araya-Polo et al., 2017)","manualFormatting":"Araya-Polo et al. (2017)","plainTextFormattedCitation":"(Araya-Polo et al., 2017)","previouslyFormattedCitation":"(Araya-Polo et al., 2017)"},"properties":{"noteIndex":0},"schema":"https://github.com/citation-style-language/schema/raw/master/csl-citation.json"}</w:instrText>
      </w:r>
      <w:r>
        <w:fldChar w:fldCharType="separate"/>
      </w:r>
      <w:r w:rsidRPr="00AB7823">
        <w:rPr>
          <w:noProof/>
        </w:rPr>
        <w:t xml:space="preserve">Araya-Polo et al. </w:t>
      </w:r>
      <w:r>
        <w:rPr>
          <w:noProof/>
        </w:rPr>
        <w:t>(</w:t>
      </w:r>
      <w:r w:rsidRPr="00AB7823">
        <w:rPr>
          <w:noProof/>
        </w:rPr>
        <w:t>2017)</w:t>
      </w:r>
      <w:r>
        <w:fldChar w:fldCharType="end"/>
      </w:r>
      <w:r>
        <w:t xml:space="preserve"> who used DNN to </w:t>
      </w:r>
      <w:r w:rsidRPr="00AB7823">
        <w:t xml:space="preserve">learn a mapping relationship between the </w:t>
      </w:r>
      <w:r>
        <w:t xml:space="preserve">synthetic seismic shots input and </w:t>
      </w:r>
      <w:r w:rsidRPr="00AB7823">
        <w:t>the spatial points indicating fault presence</w:t>
      </w:r>
      <w:r>
        <w:t xml:space="preserve">. </w:t>
      </w:r>
      <w:r>
        <w:fldChar w:fldCharType="begin" w:fldLock="1"/>
      </w:r>
      <w:r>
        <w:instrText>ADDIN CSL_CITATION {"citationItems":[{"id":"ITEM-1","itemData":{"DOI":"10.1190/tle37070529.1","ISSN":"1070-485X","author":[{"dropping-particle":"","family":"Waldeland","given":"Anders U.","non-dropping-particle":"","parse-names":false,"suffix":""},{"dropping-particle":"","family":"Jensen","given":"Are Charles","non-dropping-particle":"","parse-names":false,"suffix":""},{"dropping-particle":"","family":"Gelius","given":"Leiv-J.","non-dropping-particle":"","parse-names":false,"suffix":""},{"dropping-particle":"","family":"Solberg","given":"Anne H. Schistad","non-dropping-particle":"","parse-names":false,"suffix":""}],"container-title":"The Leading Edge","id":"ITEM-1","issue":"7","issued":{"date-parts":[["2018","7"]]},"page":"529-537","title":"Convolutional neural networks for automated seismic interpretation","type":"article-journal","volume":"37"},"uris":["http://www.mendeley.com/documents/?uuid=29d7c4e9-cc07-3255-b1c8-95336df59141"]}],"mendeley":{"formattedCitation":"(Waldeland et al., 2018)","manualFormatting":"Waldeland et al. (2018)","plainTextFormattedCitation":"(Waldeland et al., 2018)","previouslyFormattedCitation":"(Waldeland et al., 2018)"},"properties":{"noteIndex":0},"schema":"https://github.com/citation-style-language/schema/raw/master/csl-citation.json"}</w:instrText>
      </w:r>
      <w:r>
        <w:fldChar w:fldCharType="separate"/>
      </w:r>
      <w:r w:rsidRPr="00AB7823">
        <w:rPr>
          <w:noProof/>
        </w:rPr>
        <w:t xml:space="preserve">Waldeland et al. </w:t>
      </w:r>
      <w:r>
        <w:rPr>
          <w:noProof/>
        </w:rPr>
        <w:t>(</w:t>
      </w:r>
      <w:r w:rsidRPr="00AB7823">
        <w:rPr>
          <w:noProof/>
        </w:rPr>
        <w:t>2018)</w:t>
      </w:r>
      <w:r>
        <w:fldChar w:fldCharType="end"/>
      </w:r>
      <w:r>
        <w:t xml:space="preserve"> used a 3D CNN model to map salt bodies. </w:t>
      </w:r>
      <w:r>
        <w:fldChar w:fldCharType="begin" w:fldLock="1"/>
      </w:r>
      <w:r>
        <w:instrText>ADDIN CSL_CITATION {"citationItems":[{"id":"ITEM-1","itemData":{"DOI":"10.1190/geo2017-0495.1","ISSN":"0016-8033","abstract":"ABSTRACTSeismic data interpolation is a longstanding issue. Most current methods are only suitable for randomly missing cases. To deal with regularly missing cases, an antialiasing strategy should be included. However, seismic survey design using a random distribution of shots and receivers is always operationally challenging and impractical. We have used deep-learning-based approaches for seismic data antialiasing interpolation, which could extract deeper features of the training data in a nonlinear way by self-learning. It can also avoid linear events, sparsity, and low-rank assumptions of the traditional interpolation methods. Based on convolutional neural networks, eight-layers residual learning networks (ResNets) with a better back-propagation property for deep layers is designed for interpolation. Detailed training analysis is also performed. A set of simulated data is used to train the designed ResNets. The performance is assessed with several synthetic and field data. Numerical examples indicate t...","author":[{"dropping-particle":"","family":"Wang","given":"Benfeng","non-dropping-particle":"","parse-names":false,"suffix":""},{"dropping-particle":"","family":"Zhang","given":"Ning","non-dropping-particle":"","parse-names":false,"suffix":""},{"dropping-particle":"","family":"Lu","given":"Wenkai","non-dropping-particle":"","parse-names":false,"suffix":""},{"dropping-particle":"","family":"Wang","given":"Jialin","non-dropping-particle":"","parse-names":false,"suffix":""}],"container-title":"GEOPHYSICS","id":"ITEM-1","issue":"1","issued":{"date-parts":[["2019","1","23"]]},"page":"V11-V20","publisher":"Society of Exploration Geophysicists","title":"Deep-learning-based seismic data interpolation: A preliminary result","type":"article-journal","volume":"84"},"uris":["http://www.mendeley.com/documents/?uuid=3971d887-9714-3265-bc99-cc807ddd8627"]}],"mendeley":{"formattedCitation":"(Wang et al., 2019)","manualFormatting":"Wang et al. (2019)","plainTextFormattedCitation":"(Wang et al., 2019)","previouslyFormattedCitation":"(Wang et al., 2019)"},"properties":{"noteIndex":0},"schema":"https://github.com/citation-style-language/schema/raw/master/csl-citation.json"}</w:instrText>
      </w:r>
      <w:r>
        <w:fldChar w:fldCharType="separate"/>
      </w:r>
      <w:r w:rsidRPr="00351140">
        <w:rPr>
          <w:noProof/>
        </w:rPr>
        <w:t xml:space="preserve">Wang et al. </w:t>
      </w:r>
      <w:r>
        <w:rPr>
          <w:noProof/>
        </w:rPr>
        <w:t>(</w:t>
      </w:r>
      <w:r w:rsidRPr="00351140">
        <w:rPr>
          <w:noProof/>
        </w:rPr>
        <w:t>2019)</w:t>
      </w:r>
      <w:r>
        <w:fldChar w:fldCharType="end"/>
      </w:r>
      <w:r>
        <w:t xml:space="preserve"> used CNN for seismic data interpolation. </w:t>
      </w:r>
      <w:r>
        <w:fldChar w:fldCharType="begin" w:fldLock="1"/>
      </w:r>
      <w:r>
        <w:instrText>ADDIN CSL_CITATION {"citationItems":[{"id":"ITEM-1","itemData":{"DOI":"10.1190/geo2018-0249.1","ISSN":"0016-8033","abstract":"ABSTRACTSeismic velocity is one of the most important parameters used in seismic exploration. Accurate velocity models are the key prerequisites for reverse time migration and other high-resolution seismic imaging techniques. Such velocity information has traditionally been derived by tomography or full-waveform inversion (FWI), which are time consuming and computationally expensive, and they rely heavily on human interaction and quality control. We have investigated a novel method based on the supervised deep fully convolutional neural network for velocity-model building directly from raw seismograms. Unlike the conventional inversion method based on physical models, supervised deep-learning methods are based on big-data training rather than prior-knowledge assumptions. During the training stage, the network establishes a nonlinear projection from the multishot seismic data to the corresponding velocity models. During the prediction stage, the trained network can be used to estimate the velocity models from the new input seismic data. One key characteristic of the deep-learning method is that it can automatically extract multilayer useful features without the need for human-curated activities and an initial velocity setup. The data-driven method usually requires more time during the training stage, and actual predictions take less time, with only seconds needed. Therefore, the computational time of geophysical inversions, including real-time inversions, can be dramatically reduced once a good generalized network is built. By using numerical experiments on synthetic models, the promising performance of our proposed method is shown in comparison with conventional FWI even when the input data are in more realistic scenarios. We have also evaluated deep-learning methods, the training data set, the lack of low frequencies, and the advantages and disadvantages of our method.","author":[{"dropping-particle":"","family":"Yang","given":"Fangshu","non-dropping-particle":"","parse-names":false,"suffix":""},{"dropping-particle":"","family":"Ma","given":"Jianwei","non-dropping-particle":"","parse-names":false,"suffix":""}],"container-title":"GEOPHYSICS","id":"ITEM-1","issue":"4","issued":{"date-parts":[["2019","4","5"]]},"note":"doi: 10.1190/geo2018-0249.1","page":"R583-R599","publisher":"Society of Exploration Geophysicists","title":"Deep-learning inversion: A next-generation seismic velocity model building method","type":"article-journal","volume":"84"},"uris":["http://www.mendeley.com/documents/?uuid=b8b22a95-c95b-4e0a-a36a-10890150730f"]}],"mendeley":{"formattedCitation":"(Yang and Ma, 2019)","manualFormatting":"Yang and Ma (2019)","plainTextFormattedCitation":"(Yang and Ma, 2019)","previouslyFormattedCitation":"(Yang and Ma, 2019)"},"properties":{"noteIndex":0},"schema":"https://github.com/citation-style-language/schema/raw/master/csl-citation.json"}</w:instrText>
      </w:r>
      <w:r>
        <w:fldChar w:fldCharType="separate"/>
      </w:r>
      <w:r w:rsidRPr="00351140">
        <w:rPr>
          <w:noProof/>
        </w:rPr>
        <w:t xml:space="preserve">Yang and Ma </w:t>
      </w:r>
      <w:r>
        <w:rPr>
          <w:noProof/>
        </w:rPr>
        <w:t>(</w:t>
      </w:r>
      <w:r w:rsidRPr="00351140">
        <w:rPr>
          <w:noProof/>
        </w:rPr>
        <w:t>2019)</w:t>
      </w:r>
      <w:r>
        <w:fldChar w:fldCharType="end"/>
      </w:r>
      <w:r>
        <w:t xml:space="preserve"> used CNN to invert pre-stack seismic data for velocity. </w:t>
      </w:r>
    </w:p>
    <w:p w14:paraId="18D14DA9" w14:textId="77777777" w:rsidR="0053410A" w:rsidRDefault="0053410A" w:rsidP="0053410A">
      <w:pPr>
        <w:pStyle w:val="SEGBodyText"/>
      </w:pPr>
      <w:r>
        <w:t xml:space="preserve">DNN and CNN has increased in geoscience applications beyond seismic interpretation. </w:t>
      </w:r>
      <w:r>
        <w:fldChar w:fldCharType="begin" w:fldLock="1"/>
      </w:r>
      <w:r>
        <w:instrText>ADDIN CSL_CITATION {"citationItems":[{"id":"ITEM-1","itemData":{"DOI":"10.1007/s11004-018-9743-0","ISSN":"1874-8953","abstract":"The three-dimensional high-resolution imaging of rock samples is the basis for pore-scale characterization of reservoirs. Micro X-ray computed tomography ({\\textmu}-CT) is considered the most direct means of obtaining the three-dimensional inner structure of porous media without deconstruction. The micrometer resolution of {\\textmu}-CT, however, limits its application in the detection of small structures such as nanochannels, which are critical for fluid transportation. An effective strategy for solving this problem is applying numerical reconstruction methods to improve the resolution of the {\\textmu}-CT images. In this paper, a convolutional neural network reconstruction method is introduced to reconstruct high-resolution porous structures based on low-resolution {\\textmu}-CT images and high-resolution scanning electron microscope (SEM) images. The proposed method involves four steps. First, a three-dimensional low-resolution tomographic image of a rock sample is obtained by {\\textmu}-CT scanning. Next, one or more sections in the rock sample are selected for scanning by SEM to obtain high-resolution two-dimensional images. The high-resolution segmented SEM images and their corresponding low-resolution {\\textmu}-CT slices are then applied to train a convolutional neural network (CNN) model. Finally, the trained CNN model is used to reconstruct the entire low-resolution three-dimensional {\\textmu}-CT image. Because the SEM images are segmented and have a higher resolution than the {\\textmu}-CT image, this algorithm integrates the super-resolution and segmentation processes. The input data are low-resolution {\\textmu}-CT images, and the output data are high-resolution segmented porous structures. The experimental results show that the proposed method can achieve state-of-the-art performance.","author":[{"dropping-particle":"","family":"Wang","given":"Yuzhu","non-dropping-particle":"","parse-names":false,"suffix":""},{"dropping-particle":"","family":"Arns","given":"Christoph H","non-dropping-particle":"","parse-names":false,"suffix":""},{"dropping-particle":"","family":"Rahman","given":"Sheik S","non-dropping-particle":"","parse-names":false,"suffix":""},{"dropping-particle":"","family":"Arns","given":"Ji-Youn","non-dropping-particle":"","parse-names":false,"suffix":""}],"container-title":"Mathematical Geosciences","id":"ITEM-1","issue":"7","issued":{"date-parts":[["2018","10"]]},"page":"781-799","title":"Porous Structure Reconstruction Using Convolutional Neural Networks","type":"article-journal","volume":"50"},"uris":["http://www.mendeley.com/documents/?uuid=0b285b1e-36cb-4cd4-b71a-4d5a5d43ce75"]}],"mendeley":{"formattedCitation":"(Wang et al., 2018)","manualFormatting":"Wang et al. (2018)","plainTextFormattedCitation":"(Wang et al., 2018)","previouslyFormattedCitation":"(Wang et al., 2018)"},"properties":{"noteIndex":0},"schema":"https://github.com/citation-style-language/schema/raw/master/csl-citation.json"}</w:instrText>
      </w:r>
      <w:r>
        <w:fldChar w:fldCharType="separate"/>
      </w:r>
      <w:r w:rsidRPr="008A1444">
        <w:rPr>
          <w:noProof/>
        </w:rPr>
        <w:t xml:space="preserve">Wang et al. </w:t>
      </w:r>
      <w:r>
        <w:rPr>
          <w:noProof/>
        </w:rPr>
        <w:t>(</w:t>
      </w:r>
      <w:r w:rsidRPr="008A1444">
        <w:rPr>
          <w:noProof/>
        </w:rPr>
        <w:t>2018)</w:t>
      </w:r>
      <w:r>
        <w:fldChar w:fldCharType="end"/>
      </w:r>
      <w:r>
        <w:t xml:space="preserve"> used </w:t>
      </w:r>
      <w:r w:rsidRPr="002F5D43">
        <w:t>a</w:t>
      </w:r>
      <w:r>
        <w:t xml:space="preserve"> CNN to </w:t>
      </w:r>
      <w:r w:rsidRPr="002F5D43">
        <w:t xml:space="preserve">reconstruct high-resolution porous structures based on low-resolution </w:t>
      </w:r>
      <w:r>
        <w:t xml:space="preserve">micro X-ray computed tomography </w:t>
      </w:r>
      <w:r w:rsidRPr="002F5D43">
        <w:t>images and high-resolution scanning electron microscope (SEM) images.</w:t>
      </w:r>
      <w:r>
        <w:t xml:space="preserve"> </w:t>
      </w:r>
      <w:r>
        <w:fldChar w:fldCharType="begin" w:fldLock="1"/>
      </w:r>
      <w:r>
        <w:instrText>ADDIN CSL_CITATION {"citationItems":[{"id":"ITEM-1","itemData":{"DOI":"10.1190/INT-2018-0245.1","ISSN":"2324-8858","abstract":"&lt;p&gt;Artificial intelligence methods have a very wide range of applications. From speech recognition to self-driving cars, the development of modern deep-learning architectures is helping researchers to achieve new levels of accuracy in different fields. Although deep convolutional neural networks (CNNs) (a kind of deep-learning technique) have reached or surpassed human-level performance in image recognition tasks, little has been done to transport this new image classification technology to geoscientific problems. We have developed what we believe to be the first use of CNNs to identify lithofacies in cores. We use highly accurate models (trained with millions of images) and transfer learning to classify images of cored carbonate rocks. We found that different modern CNN architectures can achieve high levels of lithologic image classification accuracy (approximately 90%) and can aid in the core description task. This core image classification technique has the potential to greatly standardize and accelerate the description process. We also provide the community with a new set of labeled data that can be used for further geologic/data science studies.&lt;/p&gt;","author":[{"dropping-particle":"","family":"Pires de Lima","given":"Rafael","non-dropping-particle":"","parse-names":false,"suffix":""},{"dropping-particle":"","family":"Suriamin","given":"Fnu","non-dropping-particle":"","parse-names":false,"suffix":""},{"dropping-particle":"","family":"Marfurt","given":"Kurt J.","non-dropping-particle":"","parse-names":false,"suffix":""},{"dropping-particle":"","family":"Pranter","given":"Matthew J.","non-dropping-particle":"","parse-names":false,"suffix":""}],"container-title":"Interpretation","id":"ITEM-1","issue":"3","issued":{"date-parts":[["2019","8","28"]]},"page":"SF27-SF40","title":"Convolutional neural networks as aid in core lithofacies classification","type":"article-journal","volume":"7"},"uris":["http://www.mendeley.com/documents/?uuid=8d140131-3e03-3708-8dc4-2dbfd71b8ad8"]}],"mendeley":{"formattedCitation":"(Pires de Lima, Suriamin, et al., 2019)","manualFormatting":"Pires de Lima et al.(2019a)","plainTextFormattedCitation":"(Pires de Lima, Suriamin, et al., 2019)","previouslyFormattedCitation":"(Pires de Lima, Suriamin, et al., 2019)"},"properties":{"noteIndex":0},"schema":"https://github.com/citation-style-language/schema/raw/master/csl-citation.json"}</w:instrText>
      </w:r>
      <w:r>
        <w:fldChar w:fldCharType="separate"/>
      </w:r>
      <w:r w:rsidRPr="00CD2183">
        <w:rPr>
          <w:noProof/>
        </w:rPr>
        <w:t>Pires de Lima</w:t>
      </w:r>
      <w:r>
        <w:rPr>
          <w:noProof/>
        </w:rPr>
        <w:t xml:space="preserve"> </w:t>
      </w:r>
      <w:r w:rsidRPr="00CD2183">
        <w:rPr>
          <w:noProof/>
        </w:rPr>
        <w:t>et al.</w:t>
      </w:r>
      <w:r>
        <w:rPr>
          <w:noProof/>
        </w:rPr>
        <w:t>(</w:t>
      </w:r>
      <w:r w:rsidRPr="00CD2183">
        <w:rPr>
          <w:noProof/>
        </w:rPr>
        <w:t>2019</w:t>
      </w:r>
      <w:r>
        <w:rPr>
          <w:noProof/>
        </w:rPr>
        <w:t>a</w:t>
      </w:r>
      <w:r w:rsidRPr="00CD2183">
        <w:rPr>
          <w:noProof/>
        </w:rPr>
        <w:t>)</w:t>
      </w:r>
      <w:r>
        <w:fldChar w:fldCharType="end"/>
      </w:r>
      <w:r>
        <w:t xml:space="preserve"> used CNN to classify images of core data. </w:t>
      </w:r>
      <w:r>
        <w:fldChar w:fldCharType="begin" w:fldLock="1"/>
      </w:r>
      <w:r>
        <w:instrText>ADDIN CSL_CITATION {"citationItems":[{"id":"ITEM-1","itemData":{"DOI":"10.1016/J.PETROL.2019.04.030","ISSN":"0920-4105","abstract":"Field characterization in oil industry is a challenging task which aims to determine or estimate some of the petrophysical properties of a reservoir. These properties are expected to be later used in a non-deterministic workflow (which might depend on subjective interpretations carried out by each petrophysicist) whose aim is to answer questions such as whether exploiting the reservoir is feasible or not, how much hydrocarbon can be extracted from it and whether the geology of the reservoir will stand the stresses of exploitation without collapsing. Three properties stand-out amongst all the rest, as they are closely correlated to the amount of hydrocarbon present in the reservoir and also to the feasibility of its exploitation: permeability, porosity, and lithology. Obtaining reliable and robust measurements of these properties requires extracting core samples from the reservoir, which is, however, a very resource-consuming task. Hence, it is common to use other tools (such as wirelogging tools or borehole imagers) to extract several other properties from the reservoir, in an attempt to obtain information that might help experts to estimate these properties on those intervals at which no core sample could be extracted. In this context, estimating lithofacies helps petrophysicists to automatize the process of identifying the lithology of the reservoir. Previous work (Basu et al., 2002; Chai et al., 2009; Linek et al., 2007; Newberry et al., 2004; Hall et al., 1996) used a considerable amount of wirelog data and borehole image logs to induce the lithology of the reservoir. In the work presented in this paper, we introduce a new methodology for automatic reservoir lithofacies identification. Our model relies only on ultrasonic and microresistivity borehole image logs as inputs, which are characterized by a deep residual convolutional network which then infers the probability of each sample to be classified as each type of previously defined lithofacies classes. The method presented in this work was tested on a carbonate well from the Brazilian pre-salt oilfields, and it allowed us to obtain an average classification accuracy of 81.45% and an average area under the ROC curve of 92.70% for all classes, for the blind test sample.","author":[{"dropping-particle":"","family":"Valentín","given":"Manuel Blanco","non-dropping-particle":"","parse-names":false,"suffix":""},{"dropping-particle":"","family":"Bom","given":"Clécio R.","non-dropping-particle":"","parse-names":false,"suffix":""},{"dropping-particle":"","family":"Coelho","given":"Juliana M.","non-dropping-particle":"","parse-names":false,"suffix":""},{"dropping-particle":"","family":"Correia","given":"Maury Duarte","non-dropping-particle":"","parse-names":false,"suffix":""},{"dropping-particle":"","family":"Albuquerque","given":"Márcio P.","non-dropping-particle":"de","parse-names":false,"suffix":""},{"dropping-particle":"","family":"Albuquerque","given":"Marcelo P.","non-dropping-particle":"de","parse-names":false,"suffix":""},{"dropping-particle":"","family":"Faria","given":"Elisângela L.","non-dropping-particle":"","parse-names":false,"suffix":""}],"container-title":"Journal of Petroleum Science and Engineering","id":"ITEM-1","issued":{"date-parts":[["2019","4","19"]]},"publisher":"Elsevier","title":"A deep residual convolutional neural network for automatic lithological facies identification of Brazilian pre-salt oilfield wellbore image logs","type":"article-journal"},"uris":["http://www.mendeley.com/documents/?uuid=989b6a3d-466d-3c69-b20f-1eef69918b3d"]}],"mendeley":{"formattedCitation":"(Valentín et al., 2019)","manualFormatting":"Valentín et al. (2019)","plainTextFormattedCitation":"(Valentín et al., 2019)","previouslyFormattedCitation":"(Valentín et al., 2019)"},"properties":{"noteIndex":0},"schema":"https://github.com/citation-style-language/schema/raw/master/csl-citation.json"}</w:instrText>
      </w:r>
      <w:r>
        <w:fldChar w:fldCharType="separate"/>
      </w:r>
      <w:r w:rsidRPr="00CD2183">
        <w:rPr>
          <w:noProof/>
        </w:rPr>
        <w:t>Valentín et al.</w:t>
      </w:r>
      <w:r>
        <w:rPr>
          <w:noProof/>
        </w:rPr>
        <w:t xml:space="preserve"> (</w:t>
      </w:r>
      <w:r w:rsidRPr="00CD2183">
        <w:rPr>
          <w:noProof/>
        </w:rPr>
        <w:t>2019)</w:t>
      </w:r>
      <w:r>
        <w:fldChar w:fldCharType="end"/>
      </w:r>
      <w:r>
        <w:t xml:space="preserve"> used </w:t>
      </w:r>
      <w:r w:rsidRPr="00CD2183">
        <w:t>ultrasonic and micro</w:t>
      </w:r>
      <w:r>
        <w:t xml:space="preserve"> </w:t>
      </w:r>
      <w:r w:rsidRPr="00CD2183">
        <w:t>resistivity borehole image logs as input</w:t>
      </w:r>
      <w:r>
        <w:t xml:space="preserve"> to a CNN models to predict the</w:t>
      </w:r>
      <w:r w:rsidRPr="00CD2183">
        <w:t xml:space="preserve"> probability </w:t>
      </w:r>
      <w:r>
        <w:t xml:space="preserve">that any given </w:t>
      </w:r>
      <w:r w:rsidRPr="00CD2183">
        <w:t xml:space="preserve">sample </w:t>
      </w:r>
      <w:r>
        <w:t xml:space="preserve">belongs to one of their </w:t>
      </w:r>
      <w:r w:rsidRPr="00CD2183">
        <w:t>lithofacies</w:t>
      </w:r>
      <w:r>
        <w:t xml:space="preserve"> classes. </w:t>
      </w:r>
      <w:r>
        <w:fldChar w:fldCharType="begin" w:fldLock="1"/>
      </w:r>
      <w:r>
        <w:instrText>ADDIN CSL_CITATION {"citationItems":[{"id":"ITEM-1","itemData":{"DOI":"10.210/sedred.2019.2","author":[{"dropping-particle":"","family":"Pires de Lima","given":"Rafael","non-dropping-particle":"","parse-names":false,"suffix":""},{"dropping-particle":"","family":"Bonar","given":"Alicia","non-dropping-particle":"","parse-names":false,"suffix":""},{"dropping-particle":"","family":"Coronado","given":"David Duarte","non-dropping-particle":"","parse-names":false,"suffix":""},{"dropping-particle":"","family":"Marfurt","given":"Kurt","non-dropping-particle":"","parse-names":false,"suffix":""},{"dropping-particle":"","family":"Nicholson","given":"Charles","non-dropping-particle":"","parse-names":false,"suffix":""}],"container-title":"The Sedimentary Record","id":"ITEM-1","issue":"2","issued":{"date-parts":[["2019"]]},"page":"4-9","title":"Deep convolutional neural networks as a geological image classification tool","type":"article-journal","volume":"17"},"uris":["http://www.mendeley.com/documents/?uuid=3a7d999b-e892-4f63-92ee-8560f96f8631"]}],"mendeley":{"formattedCitation":"(Pires de Lima, Bonar, et al., 2019)","manualFormatting":"Pires de Lima et al. (2019b)","plainTextFormattedCitation":"(Pires de Lima, Bonar, et al., 2019)","previouslyFormattedCitation":"(Pires de Lima, Bonar, et al., 2019)"},"properties":{"noteIndex":0},"schema":"https://github.com/citation-style-language/schema/raw/master/csl-citation.json"}</w:instrText>
      </w:r>
      <w:r>
        <w:fldChar w:fldCharType="separate"/>
      </w:r>
      <w:r w:rsidRPr="00CD2183">
        <w:rPr>
          <w:noProof/>
        </w:rPr>
        <w:t>Pires de Lima</w:t>
      </w:r>
      <w:r>
        <w:rPr>
          <w:noProof/>
        </w:rPr>
        <w:t xml:space="preserve"> et al. (</w:t>
      </w:r>
      <w:r w:rsidRPr="00CD2183">
        <w:rPr>
          <w:noProof/>
        </w:rPr>
        <w:t>2019</w:t>
      </w:r>
      <w:r>
        <w:rPr>
          <w:noProof/>
        </w:rPr>
        <w:t>b</w:t>
      </w:r>
      <w:r w:rsidRPr="00CD2183">
        <w:rPr>
          <w:noProof/>
        </w:rPr>
        <w:t>)</w:t>
      </w:r>
      <w:r>
        <w:fldChar w:fldCharType="end"/>
      </w:r>
      <w:r>
        <w:t xml:space="preserve"> and </w:t>
      </w:r>
      <w:r>
        <w:fldChar w:fldCharType="begin" w:fldLock="1"/>
      </w:r>
      <w:r>
        <w:instrText>ADDIN CSL_CITATION {"citationItems":[{"id":"ITEM-1","itemData":{"DOI":"10.3390/math7080755","ISSN":"2227-7390","abstract":"&lt;p&gt;The automatic identification of rock type in the field would aid geological surveying, education, and automatic mapping. Deep learning is receiving significant research attention for pattern recognition and machine learning. Its application here has effectively identified rock types from images captured in the field. This paper proposes an accurate approach for identifying rock types in the field based on image analysis using deep convolutional neural networks. The proposed approach can identify six common rock types with an overall classification accuracy of 97.96%, thus outperforming other established deep-learning models and a linear model. The results show that the proposed approach based on deep learning represents an improvement in intelligent rock-type identification and solves several difficulties facing the automated identification of rock types in the field.&lt;/p&gt;","author":[{"dropping-particle":"","family":"Ran","given":"Xiangjin","non-dropping-particle":"","parse-names":false,"suffix":""},{"dropping-particle":"","family":"Xue","given":"Linfu","non-dropping-particle":"","parse-names":false,"suffix":""},{"dropping-particle":"","family":"Zhang","given":"Yanyan","non-dropping-particle":"","parse-names":false,"suffix":""},{"dropping-particle":"","family":"Liu","given":"Zeyu","non-dropping-particle":"","parse-names":false,"suffix":""},{"dropping-particle":"","family":"Sang","given":"Xuejia","non-dropping-particle":"","parse-names":false,"suffix":""},{"dropping-particle":"","family":"He","given":"Jinxin","non-dropping-particle":"","parse-names":false,"suffix":""}],"container-title":"Mathematics","id":"ITEM-1","issue":"8","issued":{"date-parts":[["2019","8","18"]]},"page":"755","publisher":"Multidisciplinary Digital Publishing Institute","title":"Rock Classification from Field Image Patches Analyzed Using a Deep Convolutional Neural Network","type":"article-journal","volume":"7"},"uris":["http://www.mendeley.com/documents/?uuid=ad67b5d6-24ae-333f-b91d-09a3cba3d5ce"]}],"mendeley":{"formattedCitation":"(Ran et al., 2019)","manualFormatting":"Ran et al. (2019)","plainTextFormattedCitation":"(Ran et al., 2019)","previouslyFormattedCitation":"(Ran et al., 2019)"},"properties":{"noteIndex":0},"schema":"https://github.com/citation-style-language/schema/raw/master/csl-citation.json"}</w:instrText>
      </w:r>
      <w:r>
        <w:fldChar w:fldCharType="separate"/>
      </w:r>
      <w:r w:rsidRPr="00CD2183">
        <w:rPr>
          <w:noProof/>
        </w:rPr>
        <w:t xml:space="preserve">Ran et al. </w:t>
      </w:r>
      <w:r>
        <w:rPr>
          <w:noProof/>
        </w:rPr>
        <w:t>(</w:t>
      </w:r>
      <w:r w:rsidRPr="00CD2183">
        <w:rPr>
          <w:noProof/>
        </w:rPr>
        <w:t>2019)</w:t>
      </w:r>
      <w:r>
        <w:fldChar w:fldCharType="end"/>
      </w:r>
      <w:r>
        <w:t xml:space="preserve"> used CNN to classify rock images, among other geoscientific images. </w:t>
      </w:r>
      <w:r>
        <w:fldChar w:fldCharType="begin" w:fldLock="1"/>
      </w:r>
      <w:r>
        <w:instrText>ADDIN CSL_CITATION {"citationItems":[{"id":"ITEM-1","itemData":{"DOI":"10.1190/segam2019-3216898.1","author":[{"dropping-particle":"","family":"Duarte-Coronado","given":"David","non-dropping-particle":"","parse-names":false,"suffix":""},{"dropping-particle":"","family":"Tellez-Rodriguez","given":"Jerson","non-dropping-particle":"","parse-names":false,"suffix":""},{"dropping-particle":"","family":"Pires de Lima","given":"Rafael","non-dropping-particle":"","parse-names":false,"suffix":""},{"dropping-particle":"","family":"Marfurt","given":"Kurt","non-dropping-particle":"","parse-names":false,"suffix":""},{"dropping-particle":"","family":"Slatt","given":"Roger","non-dropping-particle":"","parse-names":false,"suffix":""}],"container-title":"SEG Technical Program Expanded Abstracts 2019","id":"ITEM-1","issued":{"date-parts":[["2019","8"]]},"page":"3181-3184","publisher":"Society of Exploration Geophysicists","title":"Deep convolutional neural networks as an estimator of porosity in thin-section images for unconventional reservoirs","type":"paper-conference"},"uris":["http://www.mendeley.com/documents/?uuid=0f4d1b50-c57f-3623-a44a-7106dc3c4598"]}],"mendeley":{"formattedCitation":"(Duarte-Coronado et al., 2019)","manualFormatting":"Duarte-Coronado et al. (2019)","plainTextFormattedCitation":"(Duarte-Coronado et al., 2019)","previouslyFormattedCitation":"(Duarte-Coronado et al., 2019)"},"properties":{"noteIndex":0},"schema":"https://github.com/citation-style-language/schema/raw/master/csl-citation.json"}</w:instrText>
      </w:r>
      <w:r>
        <w:fldChar w:fldCharType="separate"/>
      </w:r>
      <w:r w:rsidRPr="00CD2183">
        <w:rPr>
          <w:noProof/>
        </w:rPr>
        <w:t xml:space="preserve">Duarte-Coronado et al. </w:t>
      </w:r>
      <w:r>
        <w:rPr>
          <w:noProof/>
        </w:rPr>
        <w:t>(</w:t>
      </w:r>
      <w:r w:rsidRPr="00CD2183">
        <w:rPr>
          <w:noProof/>
        </w:rPr>
        <w:t>2019)</w:t>
      </w:r>
      <w:r>
        <w:fldChar w:fldCharType="end"/>
      </w:r>
      <w:r>
        <w:t xml:space="preserve"> used CNN to classify the level of porosity of thin-sections images </w:t>
      </w:r>
      <w:r w:rsidRPr="00E54C39">
        <w:t>from the Mississippian strata in the Anadarko basin, Oklahoma</w:t>
      </w:r>
      <w:r>
        <w:t xml:space="preserve">. </w:t>
      </w:r>
    </w:p>
    <w:p w14:paraId="76D6521D" w14:textId="3D51B539" w:rsidR="00B935DC" w:rsidRDefault="0053410A" w:rsidP="0053410A">
      <w:pPr>
        <w:pStyle w:val="SEGBodyText"/>
      </w:pPr>
      <w:r>
        <w:lastRenderedPageBreak/>
        <w:t xml:space="preserve"> The AAPG and SEG journal Interpretation and the SEG journal The Leading Edge recently held special ML issues </w:t>
      </w:r>
      <w:r>
        <w:fldChar w:fldCharType="begin" w:fldLock="1"/>
      </w:r>
      <w:r>
        <w:instrText>ADDIN CSL_CITATION {"citationItems":[{"id":"ITEM-1","itemData":{"DOI":"10.1190/INT-2019-0609-SPSEINTRO.1","ISSN":"2324-8858","author":[{"dropping-particle":"","family":"Di","given":"Haibin","non-dropping-particle":"","parse-names":false,"suffix":""},{"dropping-particle":"","family":"Zhao","given":"Tao","non-dropping-particle":"","parse-names":false,"suffix":""},{"dropping-particle":"","family":"Jayaram","given":"Vikram","non-dropping-particle":"","parse-names":false,"suffix":""},{"dropping-particle":"","family":"Wu","given":"Xinming","non-dropping-particle":"","parse-names":false,"suffix":""},{"dropping-particle":"","family":"Huang","given":"Lei","non-dropping-particle":"","parse-names":false,"suffix":""},{"dropping-particle":"","family":"AlRegib","given":"Ghassan","non-dropping-particle":"","parse-names":false,"suffix":""},{"dropping-particle":"","family":"Cao","given":"Jun","non-dropping-particle":"","parse-names":false,"suffix":""},{"dropping-particle":"","family":"Araya-Polo","given":"Mauricio","non-dropping-particle":"","parse-names":false,"suffix":""},{"dropping-particle":"","family":"Chopra","given":"Satinder","non-dropping-particle":"","parse-names":false,"suffix":""},{"dropping-particle":"","family":"Al-Dossary","given":"Saleh","non-dropping-particle":"","parse-names":false,"suffix":""},{"dropping-particle":"","family":"Li","given":"Fangyu","non-dropping-particle":"","parse-names":false,"suffix":""},{"dropping-particle":"","family":"Gloaguen","given":"Erwan","non-dropping-particle":"","parse-names":false,"suffix":""},{"dropping-particle":"","family":"Lin","given":"Youzuo","non-dropping-particle":"","parse-names":false,"suffix":""},{"dropping-particle":"","family":"Solberg","given":"Anne","non-dropping-particle":"","parse-names":false,"suffix":""},{"dropping-particle":"","family":"Zeng","given":"Hongliu","non-dropping-particle":"","parse-names":false,"suffix":""}],"container-title":"Interpretation","id":"ITEM-1","issue":"3","issued":{"date-parts":[["2019","6","18"]]},"note":"doi: 10.1190/INT-2019-0609-SPSEINTRO.1","page":"SEi-SEii","publisher":"Society of Exploration Geophysicists","title":"Introduction to special section: Machine learning in seismic data analysis","type":"article-journal","volume":"7"},"uris":["http://www.mendeley.com/documents/?uuid=b68effb4-8e67-470d-a879-15345c94bcbb"]},{"id":"ITEM-2","itemData":{"DOI":"10.1190/INT-2019-0618-SPSEINTRO.1","ISSN":"2324-8858","author":[{"dropping-particle":"","family":"Jayaram","given":"Vikram","non-dropping-particle":"","parse-names":false,"suffix":""},{"dropping-particle":"","family":"Roy","given":"Atish","non-dropping-particle":"","parse-names":false,"suffix":""},{"dropping-particle":"","family":"Barna","given":"Bill","non-dropping-particle":"","parse-names":false,"suffix":""},{"dropping-particle":"","family":"Devegowda","given":"Deepak","non-dropping-particle":"","parse-names":false,"suffix":""},{"dropping-particle":"","family":"Floyd","given":"Jacqueline","non-dropping-particle":"","parse-names":false,"suffix":""},{"dropping-particle":"","family":"Ashok","given":"Pradeepkumar","non-dropping-particle":"","parse-names":false,"suffix":""},{"dropping-particle":"","family":"Abubakar","given":"Aria","non-dropping-particle":"","parse-names":false,"suffix":""},{"dropping-particle":"","family":"Kaul","given":"Anisha","non-dropping-particle":"","parse-names":false,"suffix":""},{"dropping-particle":"","family":"Schnetzler","given":"Emmanuel","non-dropping-particle":"","parse-names":false,"suffix":""}],"container-title":"Interpretation","id":"ITEM-2","issue":"3","issued":{"date-parts":[["2019","7","16"]]},"note":"doi: 10.1190/INT-2019-0618-SPSEINTRO.1","page":"SFi-SFi","publisher":"Society of Exploration Geophysicists","title":"Introduction to special section: Insights to digital oilfield data using artificial intelligence and big data analytics","type":"article-journal","volume":"7"},"uris":["http://www.mendeley.com/documents/?uuid=a6501fd9-1eb8-45ce-ba3d-2892e7392d51"]},{"id":"ITEM-3","itemData":{"DOI":"10.1190/tle38070510.1","ISSN":"1070-485X","abstract":"Since the last time The Leading Edge devoted a special section to ?Data analytics and machine learning? in March 2017, the topic has continued to generate excitement in the field of exploration geophysics and beyond. Today, machine learning is finding new applications within a multitude of industries on an almost daily basis as companies invest heavily in this technology.","author":[{"dropping-particle":"","family":"Shaw","given":"Simon","non-dropping-particle":"","parse-names":false,"suffix":""},{"dropping-particle":"","family":"Sharma","given":"Arvind","non-dropping-particle":"","parse-names":false,"suffix":""},{"dropping-particle":"","family":"Baraniuk","given":"Richard","non-dropping-particle":"","parse-names":false,"suffix":""},{"dropping-particle":"","family":"Roy","given":"Baishali","non-dropping-particle":"","parse-names":false,"suffix":""}],"container-title":"The Leading Edge","id":"ITEM-3","issue":"7","issued":{"date-parts":[["2019","7","1"]]},"note":"doi: 10.1190/tle38070510.1","page":"510","publisher":"Society of Exploration Geophysicists","title":"Introduction to this special section: Machine learning applications","type":"article-journal","volume":"38"},"uris":["http://www.mendeley.com/documents/?uuid=0517689a-f5e7-497a-812d-ce4bb4e51981"]}],"mendeley":{"formattedCitation":"(Di, Zhao, et al., 2019; Jayaram et al., 2019; Shaw et al., 2019)","manualFormatting":"(Di et al., 2019b; Jayaram et al., 2019; Shaw et al., 2019)","plainTextFormattedCitation":"(Di, Zhao, et al., 2019; Jayaram et al., 2019; Shaw et al., 2019)","previouslyFormattedCitation":"(Di, Zhao, et al., 2019; Jayaram et al., 2019; Shaw et al., 2019)"},"properties":{"noteIndex":0},"schema":"https://github.com/citation-style-language/schema/raw/master/csl-citation.json"}</w:instrText>
      </w:r>
      <w:r>
        <w:fldChar w:fldCharType="separate"/>
      </w:r>
      <w:r w:rsidRPr="00A816BD">
        <w:rPr>
          <w:noProof/>
        </w:rPr>
        <w:t>(Di et al., 2019</w:t>
      </w:r>
      <w:r>
        <w:rPr>
          <w:noProof/>
        </w:rPr>
        <w:t>b</w:t>
      </w:r>
      <w:r w:rsidRPr="00A816BD">
        <w:rPr>
          <w:noProof/>
        </w:rPr>
        <w:t>; Jayaram et al., 2019; Shaw et al., 2019)</w:t>
      </w:r>
      <w:r>
        <w:fldChar w:fldCharType="end"/>
      </w:r>
      <w:r>
        <w:t xml:space="preserve">, while a special issue of Geophysics also addresses ML applications </w:t>
      </w:r>
      <w:r>
        <w:fldChar w:fldCharType="begin" w:fldLock="1"/>
      </w:r>
      <w:r>
        <w:instrText>ADDIN CSL_CITATION {"citationItems":[{"id":"ITEM-1","itemData":{"author":[{"dropping-particle":"","family":"Hu","given":"Wenyi","non-dropping-particle":"","parse-names":false,"suffix":""},{"dropping-particle":"","family":"Li","given":"Weichang","non-dropping-particle":"","parse-names":false,"suffix":""},{"dropping-particle":"","family":"Abubakar","given":"Aria","non-dropping-particle":"","parse-names":false,"suffix":""}],"container-title":"Geophysics","id":"ITEM-1","issued":{"date-parts":[["2019"]]},"publisher":"Society of Exploration Geophysicists","title":"Machine learning and data analytics for geoscience applications","type":"article-journal"},"uris":["http://www.mendeley.com/documents/?uuid=36ebed64-752a-4a70-80b2-e7aa063f27b3"]}],"mendeley":{"formattedCitation":"(Hu et al., 2019)","plainTextFormattedCitation":"(Hu et al., 2019)","previouslyFormattedCitation":"(Hu et al., 2019)"},"properties":{"noteIndex":0},"schema":"https://github.com/citation-style-language/schema/raw/master/csl-citation.json"}</w:instrText>
      </w:r>
      <w:r>
        <w:fldChar w:fldCharType="separate"/>
      </w:r>
      <w:r w:rsidRPr="00C2783C">
        <w:rPr>
          <w:noProof/>
        </w:rPr>
        <w:t>(Hu et al., 2019)</w:t>
      </w:r>
      <w:r>
        <w:fldChar w:fldCharType="end"/>
      </w:r>
      <w:r>
        <w:t xml:space="preserve">. This level of activity reflects the increased promise of ML techniques in addressing geoscience problems. In spite of these recently publications, we have found that many key aspects of ML terminology are only vaguely understood by those of us not in direct contact with ML procedures. Rather than showing a new application of some ML methodology, in this tutorial paper our goal is to define concepts that will allow the geoscience community to better understand the </w:t>
      </w:r>
      <w:r w:rsidR="00AE7E7F">
        <w:t xml:space="preserve">naming conventions as well as some of the </w:t>
      </w:r>
      <w:r>
        <w:t xml:space="preserve">assumptions, methods, and limitations of recent </w:t>
      </w:r>
      <w:r w:rsidR="00AE7E7F">
        <w:t xml:space="preserve">ML </w:t>
      </w:r>
      <w:r>
        <w:t>applications</w:t>
      </w:r>
      <w:r w:rsidR="00AE7E7F">
        <w:t>, with</w:t>
      </w:r>
      <w:r w:rsidR="00B935DC">
        <w:t xml:space="preserve"> a</w:t>
      </w:r>
      <w:r w:rsidR="00AE7E7F">
        <w:t xml:space="preserve"> focus on </w:t>
      </w:r>
      <w:r>
        <w:t>CNN</w:t>
      </w:r>
      <w:r w:rsidR="00142293">
        <w:t>s</w:t>
      </w:r>
      <w:r>
        <w:t xml:space="preserve">. </w:t>
      </w:r>
    </w:p>
    <w:p w14:paraId="309CFB4D" w14:textId="02A222B4" w:rsidR="0053410A" w:rsidRDefault="0053410A" w:rsidP="0053410A">
      <w:pPr>
        <w:pStyle w:val="SEGBodyText"/>
      </w:pPr>
      <w:r>
        <w:t>We begin our paper by defining the most common terms used by the machine learning community. We then define the components of a neuron and how multiple neurons can be linked to form a DNN layer, as well as how convolutions can be combined to for</w:t>
      </w:r>
      <w:r w:rsidR="00B935DC">
        <w:t>m</w:t>
      </w:r>
      <w:r>
        <w:t xml:space="preserve"> a CNN layer which in turn are linked to form a network. Next, we describe what happens to the input data during training in a simple CNN model with only a few layers, focusing on some key techniques that provide insight into how CNNs generate their results. W</w:t>
      </w:r>
      <w:r w:rsidR="00B935DC">
        <w:t>ith</w:t>
      </w:r>
      <w:r>
        <w:t xml:space="preserve"> this background, we apply the CNN workflow to a seismic classification problem from the Gulf of Mexico. We conclude with a summary of the strengths and limitations of the method.</w:t>
      </w:r>
    </w:p>
    <w:p w14:paraId="11618793" w14:textId="77777777" w:rsidR="0053410A" w:rsidRDefault="004E1599" w:rsidP="004E1599">
      <w:pPr>
        <w:pStyle w:val="Heading2"/>
      </w:pPr>
      <w:bookmarkStart w:id="16" w:name="_Toc26534567"/>
      <w:r>
        <w:t>T</w:t>
      </w:r>
      <w:r w:rsidR="0053410A">
        <w:t>erms commonly used in machine learning literature</w:t>
      </w:r>
      <w:bookmarkEnd w:id="16"/>
    </w:p>
    <w:p w14:paraId="659ADAA2" w14:textId="77777777" w:rsidR="0053410A" w:rsidRDefault="0053410A" w:rsidP="0053410A">
      <w:pPr>
        <w:pStyle w:val="SEGBodyText"/>
      </w:pPr>
      <w:r>
        <w:t xml:space="preserve">This section aims not to be exhaustive, but rather to provide the reader with the necessary key terms often used in ML studies. We refer the reader to </w:t>
      </w:r>
      <w:r>
        <w:fldChar w:fldCharType="begin" w:fldLock="1"/>
      </w:r>
      <w:r>
        <w:instrText>ADDIN CSL_CITATION {"citationItems":[{"id":"ITEM-1","itemData":{"URL":"https://developers.google.com/machine-learning/glossary/","accessed":{"date-parts":[["2019","11","3"]]},"author":[{"dropping-particle":"","family":"Google","given":"","non-dropping-particle":"","parse-names":false,"suffix":""}],"id":"ITEM-1","issued":{"date-parts":[["2019"]]},"title":"Machine Learning Glossary","type":"webpage"},"uris":["http://www.mendeley.com/documents/?uuid=661f824d-d9e7-3092-9b62-3cbb7f513cee"]}],"mendeley":{"formattedCitation":"(Google, 2019)","manualFormatting":"Google's “Machine Learning Glossary\" (https://developers.google.com/machine-learning/glossary, accessed November 2019)","plainTextFormattedCitation":"(Google, 2019)","previouslyFormattedCitation":"(Google, 2019)"},"properties":{"noteIndex":0},"schema":"https://github.com/citation-style-language/schema/raw/master/csl-citation.json"}</w:instrText>
      </w:r>
      <w:r>
        <w:fldChar w:fldCharType="separate"/>
      </w:r>
      <w:r>
        <w:rPr>
          <w:noProof/>
        </w:rPr>
        <w:t xml:space="preserve">Google's </w:t>
      </w:r>
      <w:r w:rsidRPr="00616201">
        <w:rPr>
          <w:noProof/>
        </w:rPr>
        <w:t>“Machine Learning Glossary</w:t>
      </w:r>
      <w:r>
        <w:rPr>
          <w:noProof/>
        </w:rPr>
        <w:t>" (</w:t>
      </w:r>
      <w:r w:rsidRPr="00E9053F">
        <w:rPr>
          <w:noProof/>
        </w:rPr>
        <w:t>https://developers.google.com/machine-learning/glossary</w:t>
      </w:r>
      <w:r>
        <w:rPr>
          <w:noProof/>
        </w:rPr>
        <w:t xml:space="preserve">, accessed November </w:t>
      </w:r>
      <w:r w:rsidRPr="00616201">
        <w:rPr>
          <w:noProof/>
        </w:rPr>
        <w:t>2019)</w:t>
      </w:r>
      <w:r>
        <w:fldChar w:fldCharType="end"/>
      </w:r>
      <w:r>
        <w:t xml:space="preserve"> </w:t>
      </w:r>
      <w:r>
        <w:lastRenderedPageBreak/>
        <w:t xml:space="preserve">as well as </w:t>
      </w:r>
      <w:r>
        <w:fldChar w:fldCharType="begin" w:fldLock="1"/>
      </w:r>
      <w:r>
        <w:instrText>ADDIN CSL_CITATION {"citationItems":[{"id":"ITEM-1","itemData":{"author":[{"dropping-particle":"","family":"Pedregosa","given":"F","non-dropping-particle":"","parse-names":false,"suffix":""},{"dropping-particle":"","family":"Varoquaux","given":"G","non-dropping-particle":"","parse-names":false,"suffix":""},{"dropping-particle":"","family":"Gramfort","given":"A","non-dropping-particle":"","parse-names":false,"suffix":""},{"dropping-particle":"","family":"Michel","given":"V","non-dropping-particle":"","parse-names":false,"suffix":""},{"dropping-particle":"","family":"Thirion","given":"B","non-dropping-particle":"","parse-names":false,"suffix":""},{"dropping-particle":"","family":"Grisel","given":"O","non-dropping-particle":"","parse-names":false,"suffix":""},{"dropping-particle":"","family":"Blondel","given":"M","non-dropping-particle":"","parse-names":false,"suffix":""},{"dropping-particle":"","family":"Prettenhofer","given":"P","non-dropping-particle":"","parse-names":false,"suffix":""},{"dropping-particle":"","family":"Weiss","given":"R","non-dropping-particle":"","parse-names":false,"suffix":""},{"dropping-particle":"","family":"Dubourg","given":"V","non-dropping-particle":"","parse-names":false,"suffix":""},{"dropping-particle":"","family":"Vanderplas","given":"J","non-dropping-particle":"","parse-names":false,"suffix":""},{"dropping-particle":"","family":"Passos","given":"A","non-dropping-particle":"","parse-names":false,"suffix":""},{"dropping-particle":"","family":"Cournapeau","given":"D","non-dropping-particle":"","parse-names":false,"suffix":""},{"dropping-particle":"","family":"Brucher","given":"M","non-dropping-particle":"","parse-names":false,"suffix":""},{"dropping-particle":"","family":"Perrot","given":"M","non-dropping-particle":"","parse-names":false,"suffix":""},{"dropping-particle":"","family":"Duchesnay","given":"E","non-dropping-particle":"","parse-names":false,"suffix":""}],"container-title":"Journal of Machine Learning Research","id":"ITEM-1","issued":{"date-parts":[["2011"]]},"page":"2825-2830","title":"Scikit-learn: Machine Learning in Python","type":"article-journal","volume":"12"},"uris":["http://www.mendeley.com/documents/?uuid=e0d75a91-8889-4267-94ed-dda573986eec"]}],"mendeley":{"formattedCitation":"(Pedregosa et al., 2011)","manualFormatting":"Pedregosa et al.'s (2011)","plainTextFormattedCitation":"(Pedregosa et al., 2011)","previouslyFormattedCitation":"(Pedregosa et al., 2011)"},"properties":{"noteIndex":0},"schema":"https://github.com/citation-style-language/schema/raw/master/csl-citation.json"}</w:instrText>
      </w:r>
      <w:r>
        <w:fldChar w:fldCharType="separate"/>
      </w:r>
      <w:r w:rsidRPr="00E21066">
        <w:rPr>
          <w:noProof/>
        </w:rPr>
        <w:t>Pedregosa et al.</w:t>
      </w:r>
      <w:r>
        <w:rPr>
          <w:noProof/>
        </w:rPr>
        <w:t>'s (</w:t>
      </w:r>
      <w:r w:rsidRPr="00E21066">
        <w:rPr>
          <w:noProof/>
        </w:rPr>
        <w:t>2011)</w:t>
      </w:r>
      <w:r>
        <w:fldChar w:fldCharType="end"/>
      </w:r>
      <w:r>
        <w:t xml:space="preserve"> scikit-learn website for a much more extensive glossary of terms as well as information about many other ML methodologies. </w:t>
      </w:r>
    </w:p>
    <w:p w14:paraId="00C25697" w14:textId="211A0273" w:rsidR="0053410A" w:rsidRDefault="0053410A" w:rsidP="0053410A">
      <w:pPr>
        <w:pStyle w:val="SEGBodyText"/>
      </w:pPr>
      <w:r>
        <w:fldChar w:fldCharType="begin" w:fldLock="1"/>
      </w:r>
      <w:r>
        <w:instrText>ADDIN CSL_CITATION {"citationItems":[{"id":"ITEM-1","itemData":{"editor":[{"dropping-particle":"","family":"Chapelle","given":"Olivier","non-dropping-particle":"","parse-names":false,"suffix":""},{"dropping-particle":"","family":"Schölkopf","given":"B","non-dropping-particle":"","parse-names":false,"suffix":""},{"dropping-particle":"","family":"Zien","given":"Alexander","non-dropping-particle":"","parse-names":false,"suffix":""}],"id":"ITEM-1","issued":{"date-parts":[["2006"]]},"publisher":"MIT Press","publisher-place":"Cambridge, MA","title":"Semi-Supervised Learning","type":"book"},"uris":["http://www.mendeley.com/documents/?uuid=e95cf0d2-3396-4551-a1f6-16ff640b8de9"]}],"mendeley":{"formattedCitation":"(Chapelle et al., 2006)","manualFormatting":"Chapelle et al. (2006)","plainTextFormattedCitation":"(Chapelle et al., 2006)","previouslyFormattedCitation":"(Chapelle et al., 2006)"},"properties":{"noteIndex":0},"schema":"https://github.com/citation-style-language/schema/raw/master/csl-citation.json"}</w:instrText>
      </w:r>
      <w:r>
        <w:fldChar w:fldCharType="separate"/>
      </w:r>
      <w:r w:rsidRPr="002313DE">
        <w:rPr>
          <w:noProof/>
        </w:rPr>
        <w:t xml:space="preserve">Chapelle et al. </w:t>
      </w:r>
      <w:r>
        <w:rPr>
          <w:noProof/>
        </w:rPr>
        <w:t>(</w:t>
      </w:r>
      <w:r w:rsidRPr="002313DE">
        <w:rPr>
          <w:noProof/>
        </w:rPr>
        <w:t>2006)</w:t>
      </w:r>
      <w:r>
        <w:fldChar w:fldCharType="end"/>
      </w:r>
      <w:r>
        <w:t xml:space="preserve"> break </w:t>
      </w:r>
      <w:r w:rsidR="002B28CF">
        <w:t>ML</w:t>
      </w:r>
      <w:r>
        <w:t xml:space="preserve"> into two large families: supervised learning and unsupervised learning.</w:t>
      </w:r>
      <w:r w:rsidRPr="004B2F29">
        <w:t xml:space="preserve"> </w:t>
      </w:r>
      <w:r>
        <w:fldChar w:fldCharType="begin" w:fldLock="1"/>
      </w:r>
      <w:r>
        <w:instrText>ADDIN CSL_CITATION {"citationItems":[{"id":"ITEM-1","itemData":{"author":[{"dropping-particle":"","family":"Ayodele","given":"Taiwo Oladipupo","non-dropping-particle":"","parse-names":false,"suffix":""}],"container-title":"New advances in machine learning","id":"ITEM-1","issued":{"date-parts":[["2010"]]},"publisher":"IntechOpen","title":"Types of machine learning algorithms","type":"chapter"},"uris":["http://www.mendeley.com/documents/?uuid=4695d136-648e-4527-bae8-6df2211c3024"]}],"mendeley":{"formattedCitation":"(Ayodele, 2010)","manualFormatting":"Ayodele (2010)","plainTextFormattedCitation":"(Ayodele, 2010)","previouslyFormattedCitation":"(Ayodele, 2010)"},"properties":{"noteIndex":0},"schema":"https://github.com/citation-style-language/schema/raw/master/csl-citation.json"}</w:instrText>
      </w:r>
      <w:r>
        <w:fldChar w:fldCharType="separate"/>
      </w:r>
      <w:r w:rsidRPr="00377200">
        <w:rPr>
          <w:noProof/>
        </w:rPr>
        <w:t xml:space="preserve">Ayodele </w:t>
      </w:r>
      <w:r>
        <w:rPr>
          <w:noProof/>
        </w:rPr>
        <w:t>(</w:t>
      </w:r>
      <w:r w:rsidRPr="00377200">
        <w:rPr>
          <w:noProof/>
        </w:rPr>
        <w:t>2010)</w:t>
      </w:r>
      <w:r>
        <w:fldChar w:fldCharType="end"/>
      </w:r>
      <w:r>
        <w:t xml:space="preserve"> expands these two categories by adding reinforcement learning and semi-supervised learning among others. As most applications of ML in geoscience rely on either unsupervised or supervised learning, these are the techniques we address here. </w:t>
      </w:r>
    </w:p>
    <w:p w14:paraId="3A809B40" w14:textId="2D888C30" w:rsidR="0053410A" w:rsidRDefault="0053410A" w:rsidP="0053410A">
      <w:pPr>
        <w:pStyle w:val="SEGBodyText"/>
      </w:pPr>
      <w:r>
        <w:fldChar w:fldCharType="begin" w:fldLock="1"/>
      </w:r>
      <w:r>
        <w:instrText>ADDIN CSL_CITATION {"citationItems":[{"id":"ITEM-1","itemData":{"editor":[{"dropping-particle":"","family":"Chapelle","given":"Olivier","non-dropping-particle":"","parse-names":false,"suffix":""},{"dropping-particle":"","family":"Schölkopf","given":"B","non-dropping-particle":"","parse-names":false,"suffix":""},{"dropping-particle":"","family":"Zien","given":"Alexander","non-dropping-particle":"","parse-names":false,"suffix":""}],"id":"ITEM-1","issued":{"date-parts":[["2006"]]},"publisher":"MIT Press","publisher-place":"Cambridge, MA","title":"Semi-Supervised Learning","type":"book"},"uris":["http://www.mendeley.com/documents/?uuid=e95cf0d2-3396-4551-a1f6-16ff640b8de9"]}],"mendeley":{"formattedCitation":"(Chapelle et al., 2006)","manualFormatting":"Chapelle et al. (2006)","plainTextFormattedCitation":"(Chapelle et al., 2006)","previouslyFormattedCitation":"(Chapelle et al., 2006)"},"properties":{"noteIndex":0},"schema":"https://github.com/citation-style-language/schema/raw/master/csl-citation.json"}</w:instrText>
      </w:r>
      <w:r>
        <w:fldChar w:fldCharType="separate"/>
      </w:r>
      <w:r w:rsidRPr="002313DE">
        <w:rPr>
          <w:noProof/>
        </w:rPr>
        <w:t xml:space="preserve">Chapelle et al. </w:t>
      </w:r>
      <w:r>
        <w:rPr>
          <w:noProof/>
        </w:rPr>
        <w:t>(</w:t>
      </w:r>
      <w:r w:rsidRPr="002313DE">
        <w:rPr>
          <w:noProof/>
        </w:rPr>
        <w:t>2006)</w:t>
      </w:r>
      <w:r>
        <w:fldChar w:fldCharType="end"/>
      </w:r>
      <w:r>
        <w:t xml:space="preserve"> define a set  </w:t>
      </w:r>
      <m:oMath>
        <m:r>
          <m:rPr>
            <m:sty m:val="b"/>
          </m:rPr>
          <w:rPr>
            <w:rFonts w:ascii="Cambria Math" w:hAnsi="Cambria Math"/>
          </w:rPr>
          <m:t>X</m:t>
        </m:r>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 …,</m:t>
        </m:r>
        <m:sSub>
          <m:sSubPr>
            <m:ctrlPr>
              <w:rPr>
                <w:rFonts w:ascii="Cambria Math" w:hAnsi="Cambria Math"/>
                <w:i/>
              </w:rPr>
            </m:ctrlPr>
          </m:sSubPr>
          <m:e>
            <m:r>
              <w:rPr>
                <w:rFonts w:ascii="Cambria Math" w:hAnsi="Cambria Math"/>
              </w:rPr>
              <m:t>x</m:t>
            </m:r>
          </m:e>
          <m:sub>
            <m:r>
              <w:rPr>
                <w:rFonts w:ascii="Cambria Math" w:hAnsi="Cambria Math"/>
              </w:rPr>
              <m:t>n</m:t>
            </m:r>
          </m:sub>
        </m:sSub>
        <m:r>
          <w:rPr>
            <w:rFonts w:ascii="Cambria Math" w:hAnsi="Cambria Math"/>
          </w:rPr>
          <m:t>)</m:t>
        </m:r>
      </m:oMath>
      <w:r>
        <w:t xml:space="preserve"> of </w:t>
      </w:r>
      <m:oMath>
        <m:r>
          <w:rPr>
            <w:rFonts w:ascii="Cambria Math" w:hAnsi="Cambria Math"/>
          </w:rPr>
          <m:t>n</m:t>
        </m:r>
      </m:oMath>
      <w:r>
        <w:t xml:space="preserve"> samples, or examples, </w:t>
      </w:r>
      <w:r w:rsidR="001244EF">
        <w:t xml:space="preserve">where </w:t>
      </w:r>
      <m:oMath>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 xml:space="preserve">∈χ </m:t>
        </m:r>
      </m:oMath>
      <w:r w:rsidR="00566784">
        <w:t xml:space="preserve">for all </w:t>
      </w:r>
      <m:oMath>
        <m:r>
          <w:rPr>
            <w:rFonts w:ascii="Cambria Math" w:hAnsi="Cambria Math"/>
          </w:rPr>
          <m:t>i∈{1, 2, …, n}</m:t>
        </m:r>
      </m:oMath>
      <w:r w:rsidR="00566784">
        <w:t xml:space="preserve">. It is generally </w:t>
      </w:r>
      <w:r>
        <w:t xml:space="preserve">assumed </w:t>
      </w:r>
      <w:r w:rsidR="00566784">
        <w:t xml:space="preserve">that the samples are </w:t>
      </w:r>
      <w:r>
        <w:t xml:space="preserve">drawn independently and identically distributed (i.i.d.) from a common distribution in </w:t>
      </w:r>
      <m:oMath>
        <m:r>
          <w:rPr>
            <w:rFonts w:ascii="Cambria Math" w:hAnsi="Cambria Math"/>
          </w:rPr>
          <m:t xml:space="preserve">χ </m:t>
        </m:r>
      </m:oMath>
      <w:r>
        <w:t xml:space="preserve">. It is often convenient to define the </w:t>
      </w:r>
      <m:oMath>
        <m:r>
          <w:rPr>
            <w:rFonts w:ascii="Cambria Math" w:hAnsi="Cambria Math"/>
          </w:rPr>
          <m:t>(n×d)</m:t>
        </m:r>
      </m:oMath>
      <w:r>
        <w:t xml:space="preserve"> matrix </w:t>
      </w:r>
      <m:oMath>
        <m:r>
          <m:rPr>
            <m:sty m:val="b"/>
          </m:rPr>
          <w:rPr>
            <w:rFonts w:ascii="Cambria Math" w:hAnsi="Cambria Math"/>
          </w:rPr>
          <m:t>X</m:t>
        </m:r>
        <m:r>
          <w:rPr>
            <w:rFonts w:ascii="Cambria Math" w:hAnsi="Cambria Math"/>
          </w:rPr>
          <m:t>=</m:t>
        </m:r>
        <m:sSub>
          <m:sSubPr>
            <m:ctrlPr>
              <w:rPr>
                <w:rFonts w:ascii="Cambria Math" w:hAnsi="Cambria Math"/>
                <w:i/>
              </w:rPr>
            </m:ctrlPr>
          </m:sSubPr>
          <m:e>
            <m:sSup>
              <m:sSupPr>
                <m:ctrlPr>
                  <w:rPr>
                    <w:rFonts w:ascii="Cambria Math" w:hAnsi="Cambria Math"/>
                    <w:i/>
                  </w:rPr>
                </m:ctrlPr>
              </m:sSupPr>
              <m:e>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x</m:t>
                        </m:r>
                      </m:e>
                      <m:sub>
                        <m:r>
                          <w:rPr>
                            <w:rFonts w:ascii="Cambria Math" w:hAnsi="Cambria Math"/>
                          </w:rPr>
                          <m:t>i</m:t>
                        </m:r>
                      </m:sub>
                    </m:sSub>
                  </m:e>
                  <m:sup>
                    <m:r>
                      <w:rPr>
                        <w:rFonts w:ascii="Cambria Math" w:hAnsi="Cambria Math"/>
                      </w:rPr>
                      <m:t>T</m:t>
                    </m:r>
                  </m:sup>
                </m:sSup>
                <m:r>
                  <w:rPr>
                    <w:rFonts w:ascii="Cambria Math" w:hAnsi="Cambria Math"/>
                  </w:rPr>
                  <m:t>)</m:t>
                </m:r>
              </m:e>
              <m:sup>
                <m:r>
                  <w:rPr>
                    <w:rFonts w:ascii="Cambria Math" w:hAnsi="Cambria Math"/>
                  </w:rPr>
                  <m:t>T</m:t>
                </m:r>
              </m:sup>
            </m:sSup>
          </m:e>
          <m:sub>
            <m:r>
              <w:rPr>
                <w:rFonts w:ascii="Cambria Math" w:hAnsi="Cambria Math"/>
              </w:rPr>
              <m:t>i∈n</m:t>
            </m:r>
          </m:sub>
        </m:sSub>
      </m:oMath>
      <w:r>
        <w:t xml:space="preserve"> that contains the samples as its rows where </w:t>
      </w:r>
      <m:oMath>
        <m:r>
          <w:rPr>
            <w:rFonts w:ascii="Cambria Math" w:hAnsi="Cambria Math"/>
          </w:rPr>
          <m:t>d</m:t>
        </m:r>
      </m:oMath>
      <w:r>
        <w:t xml:space="preserve"> is the dimension of the vectors </w:t>
      </w:r>
      <m:oMath>
        <m:r>
          <w:rPr>
            <w:rFonts w:ascii="Cambria Math" w:hAnsi="Cambria Math"/>
          </w:rPr>
          <m:t>x</m:t>
        </m:r>
      </m:oMath>
      <w:r>
        <w:t xml:space="preserve">. The goal of unsupervised learning is to find </w:t>
      </w:r>
      <w:r w:rsidR="009D6DCB">
        <w:t xml:space="preserve">meaningful </w:t>
      </w:r>
      <w:r>
        <w:t xml:space="preserve">structures in the data </w:t>
      </w:r>
      <m:oMath>
        <m:r>
          <m:rPr>
            <m:sty m:val="b"/>
          </m:rPr>
          <w:rPr>
            <w:rFonts w:ascii="Cambria Math" w:hAnsi="Cambria Math"/>
          </w:rPr>
          <m:t>X</m:t>
        </m:r>
      </m:oMath>
      <w:r w:rsidRPr="00FD3796">
        <w:t xml:space="preserve">. </w:t>
      </w:r>
      <w:r>
        <w:t xml:space="preserve">In other words, in unsupervised learning, we provide the </w:t>
      </w:r>
      <w:r w:rsidR="002B28CF">
        <w:t>ML</w:t>
      </w:r>
      <w:r w:rsidR="00566784">
        <w:t xml:space="preserve"> algorithm </w:t>
      </w:r>
      <w:r>
        <w:t>with input data, also referred to as features, but with no defined target</w:t>
      </w:r>
      <w:r w:rsidR="007A2626">
        <w:t xml:space="preserve"> </w:t>
      </w:r>
      <m:oMath>
        <m:r>
          <m:rPr>
            <m:sty m:val="b"/>
          </m:rPr>
          <w:rPr>
            <w:rFonts w:ascii="Cambria Math" w:hAnsi="Cambria Math"/>
          </w:rPr>
          <m:t>Y</m:t>
        </m:r>
      </m:oMath>
      <w:r>
        <w:t xml:space="preserve">. Practices of dimensionality reduction such as principal component analysis (PCA, e.g. </w:t>
      </w:r>
      <w:r>
        <w:fldChar w:fldCharType="begin" w:fldLock="1"/>
      </w:r>
      <w:r>
        <w:instrText>ADDIN CSL_CITATION {"citationItems":[{"id":"ITEM-1","itemData":{"DOI":"10.1190/1.3119264","ISSN":"0016-8033","author":[{"dropping-particle":"","family":"Guo","given":"Hao","non-dropping-particle":"","parse-names":false,"suffix":""},{"dropping-particle":"","family":"Marfurt","given":"Kurt J.","non-dropping-particle":"","parse-names":false,"suffix":""},{"dropping-particle":"","family":"Liu","given":"Jianlei","non-dropping-particle":"","parse-names":false,"suffix":""}],"container-title":"Geophysics","id":"ITEM-1","issue":"4","issued":{"date-parts":[["2009","7","1"]]},"page":"P35-P43","publisher":"GeoScienceWorld","title":"Principal component spectral analysis","type":"article-journal","volume":"74"},"uris":["http://www.mendeley.com/documents/?uuid=587a08ac-c314-3c54-9218-0de5a6b92ecc"]},{"id":"ITEM-2","itemData":{"DOI":"10.1190/INT-2017-0004.1","ISSN":"2324-8858","author":[{"dropping-particle":"","family":"Hu","given":"Suyun","non-dropping-particle":"","parse-names":false,"suffix":""},{"dropping-particle":"","family":"Zhao","given":"Wenzhi","non-dropping-particle":"","parse-names":false,"suffix":""},{"dropping-particle":"","family":"Xu","given":"Zhaohui","non-dropping-particle":"","parse-names":false,"suffix":""},{"dropping-particle":"","family":"Zeng","given":"Hongliu","non-dropping-particle":"","parse-names":false,"suffix":""},{"dropping-particle":"","family":"Fu","given":"Qilong","non-dropping-particle":"","parse-names":false,"suffix":""},{"dropping-particle":"","family":"Jiang","given":"Lei","non-dropping-particle":"","parse-names":false,"suffix":""},{"dropping-particle":"","family":"Shi","given":"Shuyuan","non-dropping-particle":"","parse-names":false,"suffix":""},{"dropping-particle":"","family":"Wang","given":"Zecheng","non-dropping-particle":"","parse-names":false,"suffix":""},{"dropping-particle":"","family":"Liu","given":"Wei","non-dropping-particle":"","parse-names":false,"suffix":""}],"container-title":"Interpretation","id":"ITEM-2","issue":"4","issued":{"date-parts":[["2017","11","30"]]},"page":"T461-T475","publisher":"GeoScienceWorld","title":"Applying principal component analysis to seismic attributes for interpretation of evaporite facies: Lower Triassic Jialingjiang Formation, Sichuan Basin, China","type":"article-journal","volume":"5"},"uris":["http://www.mendeley.com/documents/?uuid=2b32ecab-7cc8-3372-b7a0-75c25e1b7089"]},{"id":"ITEM-3","itemData":{"DOI":"10.1190/segam2018-2996506.1","author":[{"dropping-particle":"","family":"Pires de Lima","given":"Rafael","non-dropping-particle":"","parse-names":false,"suffix":""},{"dropping-particle":"","family":"Marfurt","given":"Kurt J","non-dropping-particle":"","parse-names":false,"suffix":""}],"id":"ITEM-3","issued":{"date-parts":[["2018","8","27"]]},"title":"Principal component analysis and K-means analysis of airborne gamma-ray spectrometry surveys","type":"paper-conference"},"uris":["http://www.mendeley.com/documents/?uuid=78425819-fe44-3074-bd75-9535572ccfe5"]}],"mendeley":{"formattedCitation":"(Guo et al., 2009; Hu et al., 2017; Pires de Lima and Marfurt, 2018)","manualFormatting":"Guo et al., 2009; Hu et al., 2017; Pires de Lima and Marfurt, 2018)","plainTextFormattedCitation":"(Guo et al., 2009; Hu et al., 2017; Pires de Lima and Marfurt, 2018)","previouslyFormattedCitation":"(Guo et al., 2009; Hu et al., 2017; Pires de Lima and Marfurt, 2018)"},"properties":{"noteIndex":0},"schema":"https://github.com/citation-style-language/schema/raw/master/csl-citation.json"}</w:instrText>
      </w:r>
      <w:r>
        <w:fldChar w:fldCharType="separate"/>
      </w:r>
      <w:r w:rsidRPr="00FD3796">
        <w:rPr>
          <w:noProof/>
        </w:rPr>
        <w:t>Guo et al., 2009; Hu et al., 2017; Pires de Lima and Marfurt, 2018)</w:t>
      </w:r>
      <w:r>
        <w:fldChar w:fldCharType="end"/>
      </w:r>
      <w:r>
        <w:t xml:space="preserve"> and independent component analysis (ICA, e.g. </w:t>
      </w:r>
      <w:r>
        <w:fldChar w:fldCharType="begin" w:fldLock="1"/>
      </w:r>
      <w:r>
        <w:instrText>ADDIN CSL_CITATION {"citationItems":[{"id":"ITEM-1","itemData":{"DOI":"10.1190/INT-2013-0074.1","ISSN":"2324-8858","abstract":"AbstractSpectral decomposition techniques can break down the broadband seismic records into a series of frequency components that are useful for seismic interpretation and reservoir characterization. However, it is laborious and time-consuming to analyze and to interpret each seismic frequency volume taking all the usable seismic bandwidth. In this context, we propose a multivariate technique based on independent component analysis (ICA) with the goal of choosing the spectral components that best represent the whole seismic spectrum while keeping the main geological information. The ICA-based method goes beyond the Gaussian assumption and takes advantage of higher order statistics to find a new set of variables that are independent of each other. The independence between two components is a more general statistical concept than the noncorrelation and, in principle, allows the extraction of more significant information from the data. We have tested four different contrast functions to estimate the independent components (ICs), which we could verify a better channel system identification depending on the contrast function used. By stacking the ICs in the red-green-blue color space, we could represent the main information in a single, good quality image. To illustrate the proposed method, we have applied it to a seismic volume which was acquired over the F3 block in the Dutch sector of the North Sea. We also compared the results with those obtained by principal component analysis. In this case, the ICA-based method could generate a better image and faithfully delineate a channel system presented in the studied seismic volume.","author":[{"dropping-particle":"","family":"Honório","given":"Bruno César Zanardo","non-dropping-particle":"","parse-names":false,"suffix":""},{"dropping-particle":"","family":"Sanchetta","given":"Alexandre Cruz","non-dropping-particle":"","parse-names":false,"suffix":""},{"dropping-particle":"","family":"Leite","given":"Emilson Pereira","non-dropping-particle":"","parse-names":false,"suffix":""},{"dropping-particle":"","family":"Vidal","given":"Alexandre Campane","non-dropping-particle":"","parse-names":false,"suffix":""}],"container-title":"Interpretation","id":"ITEM-1","issue":"1","issued":{"date-parts":[["2014","1","31"]]},"note":"doi: 10.1190/INT-2013-0074.1","page":"SA21-SA29","publisher":"Society of Exploration Geophysicists","title":"Independent component spectral analysis","type":"article-journal","volume":"2"},"uris":["http://www.mendeley.com/documents/?uuid=b02bc31d-1b34-4b39-b76e-a81940028e75"]},{"id":"ITEM-2","itemData":{"DOI":"10.1190/int-2018-0109.1","author":[{"dropping-particle":"","family":"Lubo-Robles","given":"David","non-dropping-particle":"","parse-names":false,"suffix":""},{"dropping-particle":"","family":"Marfurt","given":"Kurt J","non-dropping-particle":"","parse-names":false,"suffix":""}],"container-title":"Interpretation","id":"ITEM-2","issued":{"date-parts":[["2019","2"]]},"page":"1-76","publisher":"Society of Exploration Geophysicists","title":"Independent Component Analysis for reservoir geomorphology and unsupervised seismic facies classification in the Taranaki Basin, New Zealand.","type":"article-journal"},"uris":["http://www.mendeley.com/documents/?uuid=80a4fa9a-60b1-4e67-ace2-6e78dcf9db39"]}],"mendeley":{"formattedCitation":"(Honório et al., 2014; Lubo-Robles and Marfurt, 2019)","manualFormatting":"Honório et al., 2014; Lubo-Robles and Marfurt, 2019)","plainTextFormattedCitation":"(Honório et al., 2014; Lubo-Robles and Marfurt, 2019)","previouslyFormattedCitation":"(Honório et al., 2014; Lubo-Robles and Marfurt, 2019)"},"properties":{"noteIndex":0},"schema":"https://github.com/citation-style-language/schema/raw/master/csl-citation.json"}</w:instrText>
      </w:r>
      <w:r>
        <w:fldChar w:fldCharType="separate"/>
      </w:r>
      <w:r w:rsidRPr="00FD3796">
        <w:rPr>
          <w:noProof/>
        </w:rPr>
        <w:t>Honório et al., 2014; Lubo-Robles and Marfurt, 2019)</w:t>
      </w:r>
      <w:r>
        <w:fldChar w:fldCharType="end"/>
      </w:r>
      <w:r>
        <w:t xml:space="preserve"> are unsupervised learning practices. </w:t>
      </w:r>
      <w:r>
        <w:fldChar w:fldCharType="begin" w:fldLock="1"/>
      </w:r>
      <w:r>
        <w:instrText>ADDIN CSL_CITATION {"citationItems":[{"id":"ITEM-1","itemData":{"DOI":"10.1109/5.58325","ISSN":" VO  - 78","author":[{"dropping-particle":"","family":"Kohonen","given":"T","non-dropping-particle":"","parse-names":false,"suffix":""}],"container-title":"Proceedings of the IEEE","id":"ITEM-1","issue":"9","issued":{"date-parts":[["1990"]]},"page":"1464-1480","title":"The self-organizing map","type":"article-journal","volume":"78"},"uris":["http://www.mendeley.com/documents/?uuid=4da53197-7ad1-4cad-a87c-3c69a3f89d6c"]}],"mendeley":{"formattedCitation":"(Kohonen, 1990)","manualFormatting":"Kohonen's (1990)","plainTextFormattedCitation":"(Kohonen, 1990)","previouslyFormattedCitation":"(Kohonen, 1990)"},"properties":{"noteIndex":0},"schema":"https://github.com/citation-style-language/schema/raw/master/csl-citation.json"}</w:instrText>
      </w:r>
      <w:r>
        <w:fldChar w:fldCharType="separate"/>
      </w:r>
      <w:r w:rsidRPr="00196966">
        <w:rPr>
          <w:noProof/>
        </w:rPr>
        <w:t>Kohonen</w:t>
      </w:r>
      <w:r>
        <w:rPr>
          <w:noProof/>
        </w:rPr>
        <w:t>'s</w:t>
      </w:r>
      <w:r w:rsidRPr="00196966">
        <w:rPr>
          <w:noProof/>
        </w:rPr>
        <w:t xml:space="preserve"> </w:t>
      </w:r>
      <w:r>
        <w:rPr>
          <w:noProof/>
        </w:rPr>
        <w:t>(</w:t>
      </w:r>
      <w:r w:rsidRPr="00196966">
        <w:rPr>
          <w:noProof/>
        </w:rPr>
        <w:t>1990)</w:t>
      </w:r>
      <w:r>
        <w:fldChar w:fldCharType="end"/>
      </w:r>
      <w:r>
        <w:t xml:space="preserve"> self-organizing maps (SOM, e.g. </w:t>
      </w:r>
      <w:r>
        <w:fldChar w:fldCharType="begin" w:fldLock="1"/>
      </w:r>
      <w:r>
        <w:instrText>ADDIN CSL_CITATION {"citationItems":[{"id":"ITEM-1","itemData":{"DOI":"10.1190/INT-2015-0094.1","ISSN":"2324-8858","author":[{"dropping-particle":"","family":"Zhao","given":"Tao","non-dropping-particle":"","parse-names":false,"suffix":""},{"dropping-particle":"","family":"Zhang","given":"Jing","non-dropping-particle":"","parse-names":false,"suffix":""},{"dropping-particle":"","family":"Li","given":"Fangyu","non-dropping-particle":"","parse-names":false,"suffix":""},{"dropping-particle":"","family":"Marfurt","given":"Kurt J.","non-dropping-particle":"","parse-names":false,"suffix":""}],"container-title":"Interpretation","id":"ITEM-1","issue":"1","issued":{"date-parts":[["2016","2","1"]]},"page":"SB79-SB89","publisher":"GeoScienceWorld","title":"Characterizing a turbidite system in Canterbury Basin, New Zealand, using seismic attributes and distance-preserving self-organizing maps","type":"article-journal","volume":"4"},"uris":["http://www.mendeley.com/documents/?uuid=8b674bcc-b70a-3e4a-a825-edf936e97642"]},{"id":"ITEM-2","itemData":{"DOI":"10.1016/J.RSE.2015.04.029","ISSN":"0034-4257","abstract":"We investigate the characteristics of regolith through the application of statistical learning to diverse layers of terrestrial, continental-scale remote sensing data. This combination allows us to explore the multiple influences of bedrock, climate, biota, landscape and time on regolith development and properties: an interdisciplinary geoscience modeling problem. From a wide variety of available data for Australia, we select remotely sensed geophysical, geomorphological and mineralogical inputs with good spatial coverage. We use Self-Organizing Maps (SOM), a topologically constrained unsupervised statistical learning algorithm, to characterize the geophysical and mineralogical signatures of regolith and bedrock. Regolith materials cover more than 80% of the Australian continent, range in age from Precambrian to Quaternary and vary in thickness from less than a meter to more than a kilometer. The diversity of regolith cover type and character across Australia provides an opportunity to demonstrate knowledge discovery from remote sensing data. The outputs of our SOM analysis are combined with ground observations from locations showing naturally occurring anomalous concentrations of nickel, tin and uranium. We identify a minimum number of natural clusters indicating subtle but significant differences in regolith and bedrock mineralization characteristics. Our results show that SOM identifies spatially contiguous regions representing unique regolith and bedrock materials. In the Yilgarn Craton we observe key differences in landscape character, density of the crust, and relative abundance of radioactive elements and alumino-silicate and ferric oxide minerals. These properties discriminate between nickel-prospective residual deeply weathered regolith formed on mafic and/or ultramafic bedrock and uranium-prospective Cainozoic paleochannels containing felsic bedrock source materials. National-scale data are publicly available for many continental regions, as in the Australian example, and our approach has general applicability. We demonstrate that remote sensing data may be used to understand the regolith, revealing the interplay between environmental history and bedrock character at regional scales, and differences between residual and transported regolith, provenance of source materials and their relative ages.","author":[{"dropping-particle":"","family":"Cracknell","given":"M.J.","non-dropping-particle":"","parse-names":false,"suffix":""},{"dropping-particle":"","family":"Reading","given":"A.M.","non-dropping-particle":"","parse-names":false,"suffix":""},{"dropping-particle":"","family":"Caritat","given":"P.","non-dropping-particle":"de","parse-names":false,"suffix":""}],"container-title":"Remote Sensing of Environment","id":"ITEM-2","issued":{"date-parts":[["2015","8","1"]]},"page":"86-99","publisher":"Elsevier","title":"Multiple influences on regolith characteristics from continental-scale geophysical and mineralogical remote sensing data using Self-Organizing Maps","type":"article-journal","volume":"165"},"uris":["http://www.mendeley.com/documents/?uuid=94ca4885-3540-3892-bb12-d53077b97a04"]},{"id":"ITEM-3","itemData":{"DOI":"10.1190/1.2392789","ISSN":"0016-8033","abstract":"Unsupervised seismic facies analysis provides an effective way to estimate reservoir properties by combining different seismic attributes through pattern recognition algorithms. However, without consistent geological information, parameters such as the number of facies and even the input seismic attributes are usually chosen in an empirical way. In this context, we propose two new semiautomatic alternative methods. In the first one, we use the clustering of the Kohonen self-organizing maps (SOMs) as a new way to build seismic facies maps and to estimate the number of seismic facies. In the second method, we use wavelet transforms to identify seismic trace singularities in each geologically oriented segment, and then we build the seismic facies map using the clustering of the SOM. We tested both methods using synthetic and real seismic data from the Namorado deepwater giant oilfield in Campos Basin, offshore Brazil. The results confirm that we can estimate the appropriate number of seismic facies through t...","author":[{"dropping-particle":"","family":"Matos","given":"Marcílio Castro","non-dropping-particle":"de","parse-names":false,"suffix":""},{"dropping-particle":"","family":"Osorio","given":"Paulo Léo","non-dropping-particle":"","parse-names":false,"suffix":""},{"dropping-particle":"","family":"Johann","given":"Paulo Roberto","non-dropping-particle":"","parse-names":false,"suffix":""}],"container-title":"Geophysics","id":"ITEM-3","issue":"1","issued":{"date-parts":[["2007","1","13"]]},"page":"P9-P21","publisher":"Society of Exploration Geophysicists","title":"Unsupervised seismic facies analysis using wavelet transform and self-organizing maps","type":"article-journal","volume":"72"},"uris":["http://www.mendeley.com/documents/?uuid=ffcaf9cc-2dd5-35b2-b2f5-47d825e9595a"]},{"id":"ITEM-4","itemData":{"DOI":"10.1190/1.1623635","ISSN":"1070-485X","abstract":"The use of automatic seismic facies classification techniques has been steadily increasing within E&amp;P interpretation workflows over the past 10 years. It is not yet considered a standard procedure but, with the knowledge of the advantages (and limitations) of the different seismic classification methods, its role in the interpretation process as a successful hydrocarbon prediction tool is anticipated to grow.","author":[{"dropping-particle":"","family":"Coléou","given":"Thierry","non-dropping-particle":"","parse-names":false,"suffix":""},{"dropping-particle":"","family":"Poupon","given":"Manuel","non-dropping-particle":"","parse-names":false,"suffix":""},{"dropping-particle":"","family":"Azbel","given":"Kostia","non-dropping-particle":"","parse-names":false,"suffix":""}],"container-title":"The Leading Edge","id":"ITEM-4","issue":"10","issued":{"date-parts":[["2003","10","1"]]},"note":"doi: 10.1190/1.1623635","page":"942-953","publisher":"Society of Exploration Geophysicists","title":"Unsupervised seismic facies classification: A review and comparison of techniques and implementation","type":"article-journal","volume":"22"},"uris":["http://www.mendeley.com/documents/?uuid=09d0a77a-3ab0-4faf-9b2b-eecb9ffead33"]}],"mendeley":{"formattedCitation":"(Coléou et al., 2003; de Matos et al., 2007; Cracknell et al., 2015; Zhao et al., 2016)","manualFormatting":"Coléou et al., 2003; de Matos et al., 2007; Cracknell et al., 2015; Zhao et al., 2016)","plainTextFormattedCitation":"(Coléou et al., 2003; de Matos et al., 2007; Cracknell et al., 2015; Zhao et al., 2016)","previouslyFormattedCitation":"(Coléou et al., 2003; de Matos et al., 2007; Cracknell et al., 2015; Zhao et al., 2016)"},"properties":{"noteIndex":0},"schema":"https://github.com/citation-style-language/schema/raw/master/csl-citation.json"}</w:instrText>
      </w:r>
      <w:r>
        <w:fldChar w:fldCharType="separate"/>
      </w:r>
      <w:r w:rsidRPr="00196966">
        <w:rPr>
          <w:noProof/>
        </w:rPr>
        <w:t>Coléou et al., 2003; de Matos et al., 2007; Cracknell et al., 2015; Zhao et al., 2016</w:t>
      </w:r>
      <w:r w:rsidR="006A0DC8">
        <w:rPr>
          <w:noProof/>
        </w:rPr>
        <w:t xml:space="preserve">, </w:t>
      </w:r>
      <w:r w:rsidR="006A0DC8" w:rsidRPr="00C202A0">
        <w:rPr>
          <w:noProof/>
        </w:rPr>
        <w:t>La Marca-Molina et al., 2019</w:t>
      </w:r>
      <w:r w:rsidRPr="00196966">
        <w:rPr>
          <w:noProof/>
        </w:rPr>
        <w:t>)</w:t>
      </w:r>
      <w:r>
        <w:fldChar w:fldCharType="end"/>
      </w:r>
      <w:r>
        <w:t xml:space="preserve"> and </w:t>
      </w:r>
      <w:r>
        <w:fldChar w:fldCharType="begin" w:fldLock="1"/>
      </w:r>
      <w:r>
        <w:instrText>ADDIN CSL_CITATION {"citationItems":[{"id":"ITEM-1","itemData":{"DOI":"10.1162/089976698300017953","ISSN":"0899-7667","abstract":"Latent variable models represent the probability density of data in a space of several dimensions in terms of a smaller number of latent, or hidden, variables. A familiar example is factor analysis, which is based on a linear transformation between the latent space and the data space. In this article, we introduce a form of nonlinear latent variable model called the generative topographic mapping, for which the parameters of the model can be determined using the expectation-maximization algorithm. GTM provides a principled alternative to the widely used self-organizing map (SOM) of Kohonen (1982) and overcomes most of the significant limitations of the SOM. We demonstrate the performance of the GTM algorithm on a toy problem and on simulated data from flow diagnostics for a multiphase oil pipeline.","author":[{"dropping-particle":"","family":"Bishop","given":"Christopher M","non-dropping-particle":"","parse-names":false,"suffix":""},{"dropping-particle":"","family":"Svensén","given":"Markus","non-dropping-particle":"","parse-names":false,"suffix":""},{"dropping-particle":"","family":"Williams","given":"Christopher K I","non-dropping-particle":"","parse-names":false,"suffix":""}],"container-title":"Neural Computation","id":"ITEM-1","issue":"1","issued":{"date-parts":[["1998","1","1"]]},"note":"doi: 10.1162/089976698300017953","page":"215-234","publisher":"MIT Press","title":"GTM: The Generative Topographic Mapping","type":"article-journal","volume":"10"},"uris":["http://www.mendeley.com/documents/?uuid=b5cb17a2-4b6e-4220-bf4a-37546cdce72b"]}],"mendeley":{"formattedCitation":"(Bishop et al., 1998)","manualFormatting":"Bishop et al.'s (1998)","plainTextFormattedCitation":"(Bishop et al., 1998)"},"properties":{"noteIndex":0},"schema":"https://github.com/citation-style-language/schema/raw/master/csl-citation.json"}</w:instrText>
      </w:r>
      <w:r>
        <w:fldChar w:fldCharType="separate"/>
      </w:r>
      <w:r w:rsidRPr="00D6603E">
        <w:rPr>
          <w:noProof/>
        </w:rPr>
        <w:t>Bishop et al.</w:t>
      </w:r>
      <w:r>
        <w:rPr>
          <w:noProof/>
        </w:rPr>
        <w:t>'s</w:t>
      </w:r>
      <w:r w:rsidRPr="00D6603E">
        <w:rPr>
          <w:noProof/>
        </w:rPr>
        <w:t xml:space="preserve"> </w:t>
      </w:r>
      <w:r>
        <w:rPr>
          <w:noProof/>
        </w:rPr>
        <w:t>(</w:t>
      </w:r>
      <w:r w:rsidRPr="00D6603E">
        <w:rPr>
          <w:noProof/>
        </w:rPr>
        <w:t>1998)</w:t>
      </w:r>
      <w:r>
        <w:fldChar w:fldCharType="end"/>
      </w:r>
      <w:r>
        <w:t xml:space="preserve"> generative topographic mapping (</w:t>
      </w:r>
      <w:r w:rsidR="006A0DC8">
        <w:t xml:space="preserve">GTM, </w:t>
      </w:r>
      <w:r>
        <w:t xml:space="preserve">e.g. </w:t>
      </w:r>
      <w:r>
        <w:fldChar w:fldCharType="begin" w:fldLock="1"/>
      </w:r>
      <w:r>
        <w:instrText>ADDIN CSL_CITATION {"citationItems":[{"id":"ITEM-1","itemData":{"DOI":"10.1190/INT-2013-0077.1","ISSN":"2324-8858","abstract":"AbstractSeismic facies estimation is a critical component in understanding the stratigraphy and lithology of hydrocarbon reservoirs. With the adoption of 3D technology and increasing survey size, manual techniques of facies classification have become increasingly time consuming. Besides, the numbers of seismic attributes have increased dramatically, providing increasingly accurate measurements of reflector morphology. However, these seismic attributes add multiple “dimensions” to the data greatly expanding the amount of data to be analyzed. Principal component analysis and self-organizing maps (SOMs) are popular techniques to reduce such dimensionality by projecting the data onto a lower order space in which clusters can be more readily identified and interpreted. After dimensional reduction, popular classification algorithms such as neural net, K-means, and Kohonen SOMs are routinely done for general well log prediction or analysis and seismic facies modeling. Although these clustering methods have been ...","author":[{"dropping-particle":"","family":"Roy","given":"Atish","non-dropping-particle":"","parse-names":false,"suffix":""},{"dropping-particle":"","family":"Romero-Peláez","given":"Araceli S.","non-dropping-particle":"","parse-names":false,"suffix":""},{"dropping-particle":"","family":"Kwiatkowski","given":"Tim J.","non-dropping-particle":"","parse-names":false,"suffix":""},{"dropping-particle":"","family":"Marfurt","given":"Kurt J.","non-dropping-particle":"","parse-names":false,"suffix":""}],"container-title":"Interpretation","id":"ITEM-1","issue":"1","issued":{"date-parts":[["2014","2"]]},"page":"SA31-SA47","publisher":"Society of Exploration Geophysicists and American Association of Petroleum Geologists","title":"Generative topographic mapping for seismic facies estimation of a carbonate wash, Veracruz Basin, southern Mexico","type":"article-journal","volume":"2"},"uris":["http://www.mendeley.com/documents/?uuid=f90aa8b5-fa6e-3d37-a78e-05e9706472bc"]},{"id":"ITEM-2","itemData":{"DOI":"10.1190/INT-2015-0098.1","ISSN":"2324-8858","abstract":"AbstractOne of the key components of traditional seismic interpretation is to associate or “label” a specific seismic amplitude package of reflectors with an appropriate seismic or geologic facies. The object of seismic clustering algorithms is to use a computer to accelerate this process, allowing one to generate interpreted facies for large 3D volumes. Determining which attributes best quantify a specific amplitude or morphology component seen by the human interpreter is critical to successful clustering. Unfortunately, many patterns, such as coherence images of salt domes, result in a salt-and-pepper classification. Application of 3D Kuwahara median filters smooths the interior attribute response and sharpens the contrast between neighboring facies, thereby preconditioning the attribute volumes for subsequent clustering. In our workflow, the interpreter manually painted n target facies using traditional interpretation techniques, resulting in attribute training data for each facies. Candidate attribute...","author":[{"dropping-particle":"","family":"Qi","given":"Jie","non-dropping-particle":"","parse-names":false,"suffix":""},{"dropping-particle":"","family":"Lin","given":"Tengfei","non-dropping-particle":"","parse-names":false,"suffix":""},{"dropping-particle":"","family":"Zhao","given":"Tao","non-dropping-particle":"","parse-names":false,"suffix":""},{"dropping-particle":"","family":"Li","given":"Fangyu","non-dropping-particle":"","parse-names":false,"suffix":""},{"dropping-particle":"","family":"Marfurt","given":"Kurt","non-dropping-particle":"","parse-names":false,"suffix":""}],"container-title":"Interpretation","id":"ITEM-2","issue":"1","issued":{"date-parts":[["2016","2","15"]]},"page":"SB91-SB106","publisher":"Society of Exploration Geophysicists and American Association of Petroleum Geologists","title":"Semisupervised multiattribute seismic facies analysis","type":"article-journal","volume":"4"},"uris":["http://www.mendeley.com/documents/?uuid=4f8d605d-1391-3fa5-a71c-54ef5148b211"]}],"mendeley":{"formattedCitation":"(Roy et al., 2014; Qi et al., 2016)","manualFormatting":"Roy et al., 2014; Qi et al., 2016)","plainTextFormattedCitation":"(Roy et al., 2014; Qi et al., 2016)","previouslyFormattedCitation":"(Roy et al., 2014; Qi et al., 2016)"},"properties":{"noteIndex":0},"schema":"https://github.com/citation-style-language/schema/raw/master/csl-citation.json"}</w:instrText>
      </w:r>
      <w:r>
        <w:fldChar w:fldCharType="separate"/>
      </w:r>
      <w:r w:rsidRPr="00B24D58">
        <w:rPr>
          <w:noProof/>
        </w:rPr>
        <w:t>Roy et al., 2014; Qi et al., 2016)</w:t>
      </w:r>
      <w:r>
        <w:fldChar w:fldCharType="end"/>
      </w:r>
      <w:r>
        <w:t xml:space="preserve"> can also be interpreted as a dimensionality reduction technique. In practice users usually interpret the map projected in the lower dimensional to generate clusters. </w:t>
      </w:r>
    </w:p>
    <w:p w14:paraId="72D0A929" w14:textId="77777777" w:rsidR="0053410A" w:rsidRDefault="0053410A" w:rsidP="0053410A">
      <w:pPr>
        <w:pStyle w:val="SEGBodyText"/>
      </w:pPr>
      <w:r>
        <w:lastRenderedPageBreak/>
        <w:fldChar w:fldCharType="begin" w:fldLock="1"/>
      </w:r>
      <w:r>
        <w:instrText>ADDIN CSL_CITATION {"citationItems":[{"id":"ITEM-1","itemData":{"editor":[{"dropping-particle":"","family":"Chapelle","given":"Olivier","non-dropping-particle":"","parse-names":false,"suffix":""},{"dropping-particle":"","family":"Schölkopf","given":"B","non-dropping-particle":"","parse-names":false,"suffix":""},{"dropping-particle":"","family":"Zien","given":"Alexander","non-dropping-particle":"","parse-names":false,"suffix":""}],"id":"ITEM-1","issued":{"date-parts":[["2006"]]},"publisher":"MIT Press","publisher-place":"Cambridge, MA","title":"Semi-Supervised Learning","type":"book"},"uris":["http://www.mendeley.com/documents/?uuid=e95cf0d2-3396-4551-a1f6-16ff640b8de9"]}],"mendeley":{"formattedCitation":"(Chapelle et al., 2006)","manualFormatting":"Chapelle et al. (2006)","plainTextFormattedCitation":"(Chapelle et al., 2006)","previouslyFormattedCitation":"(Chapelle et al., 2006)"},"properties":{"noteIndex":0},"schema":"https://github.com/citation-style-language/schema/raw/master/csl-citation.json"}</w:instrText>
      </w:r>
      <w:r>
        <w:fldChar w:fldCharType="separate"/>
      </w:r>
      <w:r w:rsidRPr="002313DE">
        <w:rPr>
          <w:noProof/>
        </w:rPr>
        <w:t>Chapelle et al.</w:t>
      </w:r>
      <w:r>
        <w:rPr>
          <w:noProof/>
        </w:rPr>
        <w:t xml:space="preserve"> (</w:t>
      </w:r>
      <w:r w:rsidRPr="002313DE">
        <w:rPr>
          <w:noProof/>
        </w:rPr>
        <w:t>2006)</w:t>
      </w:r>
      <w:r>
        <w:fldChar w:fldCharType="end"/>
      </w:r>
      <w:r>
        <w:t xml:space="preserve"> further state that, the goal of supervised learning is to learn a mapping from </w:t>
      </w:r>
      <m:oMath>
        <m:r>
          <w:rPr>
            <w:rFonts w:ascii="Cambria Math" w:hAnsi="Cambria Math"/>
          </w:rPr>
          <m:t>x</m:t>
        </m:r>
      </m:oMath>
      <w:r>
        <w:t xml:space="preserve"> to </w:t>
      </w:r>
      <m:oMath>
        <m:r>
          <w:rPr>
            <w:rFonts w:ascii="Cambria Math" w:hAnsi="Cambria Math"/>
          </w:rPr>
          <m:t>y</m:t>
        </m:r>
      </m:oMath>
      <w:r>
        <w:t xml:space="preserve">, given a training set made of pairs </w:t>
      </w:r>
      <m:oMath>
        <m:r>
          <w:rPr>
            <w:rFonts w:ascii="Cambria Math" w:hAnsi="Cambria Math"/>
          </w:rPr>
          <m:t>(</m:t>
        </m:r>
        <m:sSub>
          <m:sSubPr>
            <m:ctrlPr>
              <w:rPr>
                <w:rFonts w:ascii="Cambria Math" w:hAnsi="Cambria Math"/>
                <w:i/>
              </w:rPr>
            </m:ctrlPr>
          </m:sSubPr>
          <m:e>
            <m:r>
              <m:rPr>
                <m:sty m:val="bi"/>
              </m:rPr>
              <w:rPr>
                <w:rFonts w:ascii="Cambria Math" w:hAnsi="Cambria Math"/>
              </w:rPr>
              <m:t>x</m:t>
            </m:r>
          </m:e>
          <m:sub>
            <m:r>
              <w:rPr>
                <w:rFonts w:ascii="Cambria Math" w:hAnsi="Cambria Math"/>
              </w:rPr>
              <m:t>i</m:t>
            </m:r>
          </m:sub>
        </m:sSub>
        <m:r>
          <w:rPr>
            <w:rFonts w:ascii="Cambria Math" w:hAnsi="Cambria Math"/>
          </w:rPr>
          <m:t xml:space="preserve">, </m:t>
        </m:r>
        <m:sSub>
          <m:sSubPr>
            <m:ctrlPr>
              <w:rPr>
                <w:rFonts w:ascii="Cambria Math" w:hAnsi="Cambria Math"/>
                <w:i/>
              </w:rPr>
            </m:ctrlPr>
          </m:sSubPr>
          <m:e>
            <m:r>
              <m:rPr>
                <m:sty m:val="bi"/>
              </m:rPr>
              <w:rPr>
                <w:rFonts w:ascii="Cambria Math" w:hAnsi="Cambria Math"/>
              </w:rPr>
              <m:t>y</m:t>
            </m:r>
          </m:e>
          <m:sub>
            <m:r>
              <w:rPr>
                <w:rFonts w:ascii="Cambria Math" w:hAnsi="Cambria Math"/>
              </w:rPr>
              <m:t>i</m:t>
            </m:r>
          </m:sub>
        </m:sSub>
        <m:r>
          <w:rPr>
            <w:rFonts w:ascii="Cambria Math" w:hAnsi="Cambria Math"/>
          </w:rPr>
          <m:t>)</m:t>
        </m:r>
      </m:oMath>
      <w:r>
        <w:t xml:space="preserve">. Note both input features </w:t>
      </w:r>
      <m:oMath>
        <m:r>
          <w:rPr>
            <w:rFonts w:ascii="Cambria Math" w:hAnsi="Cambria Math"/>
          </w:rPr>
          <m:t>x</m:t>
        </m:r>
      </m:oMath>
      <w:r>
        <w:t xml:space="preserve"> as output </w:t>
      </w:r>
      <m:oMath>
        <m:r>
          <w:rPr>
            <w:rFonts w:ascii="Cambria Math" w:hAnsi="Cambria Math"/>
          </w:rPr>
          <m:t>y</m:t>
        </m:r>
      </m:oMath>
      <w:r>
        <w:t xml:space="preserve"> can be multidimensional. Like in unsupervised learning, a standard requirement is that the pairs </w:t>
      </w:r>
      <m:oMath>
        <m:r>
          <w:rPr>
            <w:rFonts w:ascii="Cambria Math" w:hAnsi="Cambria Math"/>
          </w:rPr>
          <m:t>(</m:t>
        </m:r>
        <m:sSub>
          <m:sSubPr>
            <m:ctrlPr>
              <w:rPr>
                <w:rFonts w:ascii="Cambria Math" w:hAnsi="Cambria Math"/>
                <w:i/>
              </w:rPr>
            </m:ctrlPr>
          </m:sSubPr>
          <m:e>
            <m:r>
              <m:rPr>
                <m:sty m:val="bi"/>
              </m:rPr>
              <w:rPr>
                <w:rFonts w:ascii="Cambria Math" w:hAnsi="Cambria Math"/>
              </w:rPr>
              <m:t>x</m:t>
            </m:r>
          </m:e>
          <m:sub>
            <m:r>
              <w:rPr>
                <w:rFonts w:ascii="Cambria Math" w:hAnsi="Cambria Math"/>
              </w:rPr>
              <m:t>i</m:t>
            </m:r>
          </m:sub>
        </m:sSub>
        <m:r>
          <w:rPr>
            <w:rFonts w:ascii="Cambria Math" w:hAnsi="Cambria Math"/>
          </w:rPr>
          <m:t xml:space="preserve">, </m:t>
        </m:r>
        <m:sSub>
          <m:sSubPr>
            <m:ctrlPr>
              <w:rPr>
                <w:rFonts w:ascii="Cambria Math" w:hAnsi="Cambria Math"/>
                <w:i/>
              </w:rPr>
            </m:ctrlPr>
          </m:sSubPr>
          <m:e>
            <m:r>
              <m:rPr>
                <m:sty m:val="bi"/>
              </m:rPr>
              <w:rPr>
                <w:rFonts w:ascii="Cambria Math" w:hAnsi="Cambria Math"/>
              </w:rPr>
              <m:t>y</m:t>
            </m:r>
          </m:e>
          <m:sub>
            <m:r>
              <w:rPr>
                <w:rFonts w:ascii="Cambria Math" w:hAnsi="Cambria Math"/>
              </w:rPr>
              <m:t>i</m:t>
            </m:r>
          </m:sub>
        </m:sSub>
        <m:r>
          <w:rPr>
            <w:rFonts w:ascii="Cambria Math" w:hAnsi="Cambria Math"/>
          </w:rPr>
          <m:t>)</m:t>
        </m:r>
      </m:oMath>
      <w:r>
        <w:t xml:space="preserve"> are sampled i.i.d. from some distribution spamming over </w:t>
      </w:r>
      <m:oMath>
        <m:r>
          <w:rPr>
            <w:rFonts w:ascii="Cambria Math" w:hAnsi="Cambria Math"/>
          </w:rPr>
          <m:t>X ×Y</m:t>
        </m:r>
      </m:oMath>
      <w:r>
        <w:t xml:space="preserve"> space. </w:t>
      </w:r>
      <m:oMath>
        <m:r>
          <w:rPr>
            <w:rFonts w:ascii="Cambria Math" w:hAnsi="Cambria Math"/>
          </w:rPr>
          <m:t>y</m:t>
        </m:r>
      </m:oMath>
      <w:r>
        <w:t xml:space="preserve"> are called the labels or targets of the samples. When the labels are continuous, the ML task is called regression. When the labels belong to a finite discrete set, the ML task is called classification. An example of regression is the inversion of seismic amplitude data to estimate velocity </w:t>
      </w:r>
      <w:r>
        <w:fldChar w:fldCharType="begin" w:fldLock="1"/>
      </w:r>
      <w:r>
        <w:instrText>ADDIN CSL_CITATION {"citationItems":[{"id":"ITEM-1","itemData":{"DOI":"10.1190/geo2018-0249.1","ISSN":"0016-8033","abstract":"ABSTRACTSeismic velocity is one of the most important parameters used in seismic exploration. Accurate velocity models are the key prerequisites for reverse time migration and other high-resolution seismic imaging techniques. Such velocity information has traditionally been derived by tomography or full-waveform inversion (FWI), which are time consuming and computationally expensive, and they rely heavily on human interaction and quality control. We have investigated a novel method based on the supervised deep fully convolutional neural network for velocity-model building directly from raw seismograms. Unlike the conventional inversion method based on physical models, supervised deep-learning methods are based on big-data training rather than prior-knowledge assumptions. During the training stage, the network establishes a nonlinear projection from the multishot seismic data to the corresponding velocity models. During the prediction stage, the trained network can be used to estimate the velocity models from the new input seismic data. One key characteristic of the deep-learning method is that it can automatically extract multilayer useful features without the need for human-curated activities and an initial velocity setup. The data-driven method usually requires more time during the training stage, and actual predictions take less time, with only seconds needed. Therefore, the computational time of geophysical inversions, including real-time inversions, can be dramatically reduced once a good generalized network is built. By using numerical experiments on synthetic models, the promising performance of our proposed method is shown in comparison with conventional FWI even when the input data are in more realistic scenarios. We have also evaluated deep-learning methods, the training data set, the lack of low frequencies, and the advantages and disadvantages of our method.","author":[{"dropping-particle":"","family":"Yang","given":"Fangshu","non-dropping-particle":"","parse-names":false,"suffix":""},{"dropping-particle":"","family":"Ma","given":"Jianwei","non-dropping-particle":"","parse-names":false,"suffix":""}],"container-title":"GEOPHYSICS","id":"ITEM-1","issue":"4","issued":{"date-parts":[["2019","4","5"]]},"note":"doi: 10.1190/geo2018-0249.1","page":"R583-R599","publisher":"Society of Exploration Geophysicists","title":"Deep-learning inversion: A next-generation seismic velocity model building method","type":"article-journal","volume":"84"},"uris":["http://www.mendeley.com/documents/?uuid=b8b22a95-c95b-4e0a-a36a-10890150730f"]}],"mendeley":{"formattedCitation":"(Yang and Ma, 2019)","manualFormatting":"(e.g. Yang and Ma, 2019)","plainTextFormattedCitation":"(Yang and Ma, 2019)","previouslyFormattedCitation":"(Yang and Ma, 2019)"},"properties":{"noteIndex":0},"schema":"https://github.com/citation-style-language/schema/raw/master/csl-citation.json"}</w:instrText>
      </w:r>
      <w:r>
        <w:fldChar w:fldCharType="separate"/>
      </w:r>
      <w:r w:rsidRPr="00871345">
        <w:rPr>
          <w:noProof/>
        </w:rPr>
        <w:t>(</w:t>
      </w:r>
      <w:r>
        <w:rPr>
          <w:noProof/>
        </w:rPr>
        <w:t xml:space="preserve">e.g. </w:t>
      </w:r>
      <w:r w:rsidRPr="00871345">
        <w:rPr>
          <w:noProof/>
        </w:rPr>
        <w:t>Yang and Ma, 2019)</w:t>
      </w:r>
      <w:r>
        <w:fldChar w:fldCharType="end"/>
      </w:r>
      <w:r>
        <w:t xml:space="preserve">. An example of classification is the estimation of a seismic facies from seismic amplitude data </w:t>
      </w:r>
      <w:r>
        <w:fldChar w:fldCharType="begin" w:fldLock="1"/>
      </w:r>
      <w:r>
        <w:instrText>ADDIN CSL_CITATION {"citationItems":[{"id":"ITEM-1","itemData":{"DOI":"10.1190/tle37070529.1","ISSN":"1070-485X","author":[{"dropping-particle":"","family":"Waldeland","given":"Anders U.","non-dropping-particle":"","parse-names":false,"suffix":""},{"dropping-particle":"","family":"Jensen","given":"Are Charles","non-dropping-particle":"","parse-names":false,"suffix":""},{"dropping-particle":"","family":"Gelius","given":"Leiv-J.","non-dropping-particle":"","parse-names":false,"suffix":""},{"dropping-particle":"","family":"Solberg","given":"Anne H. Schistad","non-dropping-particle":"","parse-names":false,"suffix":""}],"container-title":"The Leading Edge","id":"ITEM-1","issue":"7","issued":{"date-parts":[["2018","7"]]},"page":"529-537","title":"Convolutional neural networks for automated seismic interpretation","type":"article-journal","volume":"37"},"uris":["http://www.mendeley.com/documents/?uuid=29d7c4e9-cc07-3255-b1c8-95336df59141"]},{"id":"ITEM-2","itemData":{"DOI":"10.1190/geo2018-0646.1","author":[{"dropping-particle":"","family":"Wu","given":"Xinming","non-dropping-particle":"","parse-names":false,"suffix":""},{"dropping-particle":"","family":"Liang","given":"Luming","non-dropping-particle":"","parse-names":false,"suffix":""},{"dropping-particle":"","family":"Shi","given":"Yunzhi","non-dropping-particle":"","parse-names":false,"suffix":""},{"dropping-particle":"","family":"Fomel","given":"Sergey","non-dropping-particle":"","parse-names":false,"suffix":""}],"container-title":"GEOPHYSICS","id":"ITEM-2","issued":{"date-parts":[["2019","2"]]},"page":"1-36","publisher":"Society of Exploration Geophysicists","title":"FaultSeg3D: using synthetic datasets to train an end-to-end convolutional neural network for 3D seismic fault segmentation","type":"article-journal"},"uris":["http://www.mendeley.com/documents/?uuid=5128ffac-8dde-4ddf-8a80-1f0aaf031465"]}],"mendeley":{"formattedCitation":"(Waldeland et al., 2018; Wu et al., 2019)","manualFormatting":"(e.g Waldeland et al., 2018; Wu et al., 2019)","plainTextFormattedCitation":"(Waldeland et al., 2018; Wu et al., 2019)","previouslyFormattedCitation":"(Waldeland et al., 2018; Wu et al., 2019)"},"properties":{"noteIndex":0},"schema":"https://github.com/citation-style-language/schema/raw/master/csl-citation.json"}</w:instrText>
      </w:r>
      <w:r>
        <w:fldChar w:fldCharType="separate"/>
      </w:r>
      <w:r w:rsidRPr="00D42938">
        <w:rPr>
          <w:noProof/>
        </w:rPr>
        <w:t>(</w:t>
      </w:r>
      <w:r>
        <w:rPr>
          <w:noProof/>
        </w:rPr>
        <w:t xml:space="preserve">e.g </w:t>
      </w:r>
      <w:r w:rsidRPr="00D42938">
        <w:rPr>
          <w:noProof/>
        </w:rPr>
        <w:t>Waldeland et al., 2018; Wu et al., 2019)</w:t>
      </w:r>
      <w:r>
        <w:fldChar w:fldCharType="end"/>
      </w:r>
    </w:p>
    <w:p w14:paraId="49F67711" w14:textId="249E518D" w:rsidR="0053410A" w:rsidRDefault="0053410A" w:rsidP="0053410A">
      <w:pPr>
        <w:pStyle w:val="SEGBodyText"/>
      </w:pPr>
      <w:r>
        <w:t xml:space="preserve">Algorithms that use only samples </w:t>
      </w:r>
      <m:oMath>
        <m:r>
          <m:rPr>
            <m:sty m:val="bi"/>
          </m:rPr>
          <w:rPr>
            <w:rFonts w:ascii="Cambria Math" w:hAnsi="Cambria Math"/>
          </w:rPr>
          <m:t>X</m:t>
        </m:r>
      </m:oMath>
      <w:r>
        <w:rPr>
          <w:b/>
          <w:bCs/>
        </w:rPr>
        <w:t xml:space="preserve"> </w:t>
      </w:r>
      <w:r>
        <w:t xml:space="preserve">are defined as unsupervised learning. A common output of unsupervised methods is a colored volume where different colors are assigned to different clusters. Then after the clusters have been generated, the interpreter uses well data or principals of seismic geomorphology to assign a particular color to a specific geologic class. In contrast, algorithms that use a set of inputs paired with their labels, </w:t>
      </w:r>
      <m:oMath>
        <m:r>
          <w:rPr>
            <w:rFonts w:ascii="Cambria Math" w:hAnsi="Cambria Math"/>
          </w:rPr>
          <m:t>(</m:t>
        </m:r>
        <m:sSub>
          <m:sSubPr>
            <m:ctrlPr>
              <w:rPr>
                <w:rFonts w:ascii="Cambria Math" w:hAnsi="Cambria Math"/>
                <w:i/>
              </w:rPr>
            </m:ctrlPr>
          </m:sSubPr>
          <m:e>
            <m:r>
              <m:rPr>
                <m:sty m:val="bi"/>
              </m:rPr>
              <w:rPr>
                <w:rFonts w:ascii="Cambria Math" w:hAnsi="Cambria Math"/>
              </w:rPr>
              <m:t>x</m:t>
            </m:r>
          </m:e>
          <m:sub>
            <m:r>
              <w:rPr>
                <w:rFonts w:ascii="Cambria Math" w:hAnsi="Cambria Math"/>
              </w:rPr>
              <m:t>i</m:t>
            </m:r>
          </m:sub>
        </m:sSub>
        <m:r>
          <w:rPr>
            <w:rFonts w:ascii="Cambria Math" w:hAnsi="Cambria Math"/>
          </w:rPr>
          <m:t xml:space="preserve">, </m:t>
        </m:r>
        <m:sSub>
          <m:sSubPr>
            <m:ctrlPr>
              <w:rPr>
                <w:rFonts w:ascii="Cambria Math" w:hAnsi="Cambria Math"/>
                <w:i/>
              </w:rPr>
            </m:ctrlPr>
          </m:sSubPr>
          <m:e>
            <m:r>
              <m:rPr>
                <m:sty m:val="bi"/>
              </m:rPr>
              <w:rPr>
                <w:rFonts w:ascii="Cambria Math" w:hAnsi="Cambria Math"/>
              </w:rPr>
              <m:t>y</m:t>
            </m:r>
          </m:e>
          <m:sub>
            <m:r>
              <w:rPr>
                <w:rFonts w:ascii="Cambria Math" w:hAnsi="Cambria Math"/>
              </w:rPr>
              <m:t>i</m:t>
            </m:r>
          </m:sub>
        </m:sSub>
        <m:r>
          <w:rPr>
            <w:rFonts w:ascii="Cambria Math" w:hAnsi="Cambria Math"/>
          </w:rPr>
          <m:t>)</m:t>
        </m:r>
      </m:oMath>
      <w:r>
        <w:t xml:space="preserve">, fall under the realm of supervised learning. </w:t>
      </w:r>
      <w:r>
        <w:fldChar w:fldCharType="begin" w:fldLock="1"/>
      </w:r>
      <w:r>
        <w:instrText>ADDIN CSL_CITATION {"citationItems":[{"id":"ITEM-1","itemData":{"editor":[{"dropping-particle":"","family":"Chapelle","given":"Olivier","non-dropping-particle":"","parse-names":false,"suffix":""},{"dropping-particle":"","family":"Schölkopf","given":"B","non-dropping-particle":"","parse-names":false,"suffix":""},{"dropping-particle":"","family":"Zien","given":"Alexander","non-dropping-particle":"","parse-names":false,"suffix":""}],"id":"ITEM-1","issued":{"date-parts":[["2006"]]},"publisher":"MIT Press","publisher-place":"Cambridge, MA","title":"Semi-Supervised Learning","type":"book"},"uris":["http://www.mendeley.com/documents/?uuid=e95cf0d2-3396-4551-a1f6-16ff640b8de9"]}],"mendeley":{"formattedCitation":"(Chapelle et al., 2006)","manualFormatting":"Chapelle et al. (2006)","plainTextFormattedCitation":"(Chapelle et al., 2006)","previouslyFormattedCitation":"(Chapelle et al., 2006)"},"properties":{"noteIndex":0},"schema":"https://github.com/citation-style-language/schema/raw/master/csl-citation.json"}</w:instrText>
      </w:r>
      <w:r>
        <w:fldChar w:fldCharType="separate"/>
      </w:r>
      <w:r w:rsidRPr="002313DE">
        <w:rPr>
          <w:noProof/>
        </w:rPr>
        <w:t xml:space="preserve">Chapelle et al. </w:t>
      </w:r>
      <w:r>
        <w:rPr>
          <w:noProof/>
        </w:rPr>
        <w:t>(</w:t>
      </w:r>
      <w:r w:rsidRPr="002313DE">
        <w:rPr>
          <w:noProof/>
        </w:rPr>
        <w:t>2006)</w:t>
      </w:r>
      <w:r>
        <w:fldChar w:fldCharType="end"/>
      </w:r>
      <w:r>
        <w:t xml:space="preserve">  describes semi-supervised learning algorithms which </w:t>
      </w:r>
      <w:r w:rsidR="002B28CF">
        <w:t xml:space="preserve">require more details </w:t>
      </w:r>
      <w:r w:rsidR="00B935DC">
        <w:t>to be defined.</w:t>
      </w:r>
    </w:p>
    <w:p w14:paraId="0F4293AE" w14:textId="09D2BC4A" w:rsidR="0053410A" w:rsidRPr="00B55812" w:rsidRDefault="0053410A" w:rsidP="0053410A">
      <w:pPr>
        <w:pStyle w:val="SEGBodyText"/>
      </w:pPr>
      <w:r>
        <w:t xml:space="preserve">The main characteristic of ML algorithms is their </w:t>
      </w:r>
      <w:r w:rsidRPr="00A97B54">
        <w:t>a</w:t>
      </w:r>
      <w:r>
        <w:t xml:space="preserve">bility to </w:t>
      </w:r>
      <w:r w:rsidRPr="00A97B54">
        <w:t>improve their performance</w:t>
      </w:r>
      <w:r w:rsidR="004C46BF">
        <w:t xml:space="preserve">, e.g., to classify </w:t>
      </w:r>
      <w:r w:rsidR="00B935DC">
        <w:t xml:space="preserve">each </w:t>
      </w:r>
      <w:r w:rsidR="004C46BF">
        <w:t>sample based on the features provided to the ML algorithm,</w:t>
      </w:r>
      <w:r w:rsidRPr="00A97B54">
        <w:t xml:space="preserve"> through automatic analysis of data.</w:t>
      </w:r>
      <w:r>
        <w:t xml:space="preserve"> Such automated analysis is often called “training” with the data used during this analysis called “training data”. Training </w:t>
      </w:r>
      <w:r w:rsidRPr="00337253">
        <w:t>find</w:t>
      </w:r>
      <w:r>
        <w:t>s</w:t>
      </w:r>
      <w:r w:rsidRPr="00337253">
        <w:t xml:space="preserve"> the most appropriate weights </w:t>
      </w:r>
      <w:r w:rsidR="006D5CBE">
        <w:t xml:space="preserve">or internal parameters </w:t>
      </w:r>
      <w:r>
        <w:t>for the ML model</w:t>
      </w:r>
      <w:r w:rsidRPr="00337253">
        <w:t>.</w:t>
      </w:r>
      <w:r>
        <w:t xml:space="preserve"> Note that both unsupervised and supervised ML models need to be trained, and generally will attempt to either minimize a loss </w:t>
      </w:r>
      <w:r w:rsidR="00942B6C">
        <w:t xml:space="preserve">(the sum of errors of the training </w:t>
      </w:r>
      <w:r w:rsidR="00942B6C">
        <w:lastRenderedPageBreak/>
        <w:t xml:space="preserve">data) </w:t>
      </w:r>
      <w:r>
        <w:t>or maximize an expectation</w:t>
      </w:r>
      <w:r w:rsidR="00942B6C">
        <w:t xml:space="preserve"> function</w:t>
      </w:r>
      <w:r>
        <w:t xml:space="preserve">, called the “objective function”. The internal variables of a ML model are named “parameters”, or “weights”, and are automatically updated during the training process. In contrast “hyperparameters” are defined by the user. For example, in K-means clustering </w:t>
      </w:r>
      <w:r>
        <w:fldChar w:fldCharType="begin" w:fldLock="1"/>
      </w:r>
      <w:r>
        <w:instrText>ADDIN CSL_CITATION {"citationItems":[{"id":"ITEM-1","itemData":{"DOI":"10.2307/2346830","author":[{"dropping-particle":"","family":"Hartigan","given":"J. A.","non-dropping-particle":"","parse-names":false,"suffix":""},{"dropping-particle":"","family":"Wong","given":"M. A.","non-dropping-particle":"","parse-names":false,"suffix":""}],"container-title":"Journal of the Royal Statistical Society. Series C (Applied Statistics)","id":"ITEM-1","issued":{"date-parts":[["1979"]]},"page":"100-108","publisher":"WileyRoyal Statistical Society","title":"Algorithm AS 136: A K-Means Clustering Algorithm","type":"article-journal","volume":"28"},"uris":["http://www.mendeley.com/documents/?uuid=d09f5ff8-14d7-32b9-8ef5-9dfb960d0fb1"]}],"mendeley":{"formattedCitation":"(Hartigan and Wong, 1979)","plainTextFormattedCitation":"(Hartigan and Wong, 1979)","previouslyFormattedCitation":"(Hartigan and Wong, 1979)"},"properties":{"noteIndex":0},"schema":"https://github.com/citation-style-language/schema/raw/master/csl-citation.json"}</w:instrText>
      </w:r>
      <w:r>
        <w:fldChar w:fldCharType="separate"/>
      </w:r>
      <w:r w:rsidRPr="00337253">
        <w:rPr>
          <w:noProof/>
        </w:rPr>
        <w:t>(Hartigan and Wong, 1979)</w:t>
      </w:r>
      <w:r>
        <w:fldChar w:fldCharType="end"/>
      </w:r>
      <w:r>
        <w:t xml:space="preserve"> the number of clusters </w:t>
      </w:r>
      <w:r w:rsidRPr="006E6ED3">
        <w:rPr>
          <w:i/>
        </w:rPr>
        <w:t>K</w:t>
      </w:r>
      <w:r>
        <w:t xml:space="preserve"> is a hyperparameter, as well as the number of iterations the model is allowed to update itself. The cluster centers or means of the samples of each cluster are parameters. The user can choose the number of clusters, but the clusters centers are updated automatically by the model. In SOM and GTM the number of neurons and the dimensionality of the latent space are hyperparameters. </w:t>
      </w:r>
    </w:p>
    <w:p w14:paraId="08283F26" w14:textId="77777777" w:rsidR="0053410A" w:rsidRDefault="0053410A" w:rsidP="0053410A">
      <w:pPr>
        <w:pStyle w:val="SEGBodyText"/>
        <w:ind w:firstLine="0"/>
      </w:pPr>
      <w:r>
        <w:tab/>
        <w:t xml:space="preserve">One common problem of ML models is their tendency to overfit the training data. Overfitting essentially means the model matches the training data so closely that it fails to perform correct predictions of new data not used in the training step. Thus, ML users habitually separate the data into three data sets: training, validation, and test data sets. Validation sets are sometimes called “development” or “dev sets”, validation and test sets are sometimes called “holdout” sets. Holdout sets are useful to determine if the ML model is overfitting the training data and if so, the level of overfitting. Validation sets are used during hyperparameter tuning, i.e. the process of choosing the hyperparameters that generate the best results. Ideally the test set is used only when the entire training and hyperparameter tuning process has been completed. Some ML users employ k-fold cross-validation in their analysis. In k-fold cross-validation, different subsets of the training data are selected to be used as the validation set </w:t>
      </w:r>
      <w:r>
        <w:fldChar w:fldCharType="begin" w:fldLock="1"/>
      </w:r>
      <w:r>
        <w:instrText>ADDIN CSL_CITATION {"citationItems":[{"id":"ITEM-1","itemData":{"author":[{"dropping-particle":"","family":"Russell","given":"Brian Henderson","non-dropping-particle":"","parse-names":false,"suffix":""}],"id":"ITEM-1","issued":{"date-parts":[["2004","1"]]},"publisher":"University of Calgary (Canada)","title":"The application of multivariate statistics and neural networks to the prediction of reservoir parameters using seismic attributes","type":"thesis"},"uris":["http://www.mendeley.com/documents/?uuid=0e947ba3-cd62-4020-ae30-919efc29756c"]},{"id":"ITEM-2","itemData":{"DOI":"10.1190/1.1444899","ISSN":"0016-8033","abstract":"We describe a new method for predicting well?log properties from seismic data. The analysis data consist of a series of target logs from wells which tie a 3-D seismic volume. The target logs theoretically may be of any type; however, the greatest success to date has been in predicting porosity logs. From the 3-D seismic volume a series of sample?based attributes is calculated. The objective is to derive a multiattribute transform, which is a linear or nonlinear transform between a subset of the attributes and the target log values. The selected subset is determined by a process of forward stepwise regression, which derives increasingly larger subsets of attributes. An extension of conventional crossplotting involves the use of a convolutional operator to resolve frequency differences between the target logs and the seismic data. In the linear mode, the transform consists of a series of weights derived by least?squares minimization. In the nonlinear mode, a neural network is trained, using the selected attributes as inputs. Two types of neural networks have been evaluated: the multilayer feedforward network (MLFN) and the probabilistic neural network (PNN). Because of its mathematical simplicity, the PNN appears to be the network of choice. To estimate the reliability of the derived multiattribute transform, crossvalidation is used. In this process, each well is systematically removed from the training set, and the transform is rederived from the remaining wells. The prediction error for the hidden well is then calculated. The validation error, which is the average error for all hidden wells, is used as a measure of the likely prediction error when the transform is applied to the seismic volume. The method is applied to two real data sets. In each case, we see a continuous improvement in predictive power as we progress from single?attribute regression to linear multiattribute prediction to neural network prediction. This improvement is evident not only on the training data but, more importantly, on the validation data. In addition, the neural network shows a significant improvement in resolution over that from linear regression.","author":[{"dropping-particle":"","family":"Hampson","given":"Daniel P","non-dropping-particle":"","parse-names":false,"suffix":""},{"dropping-particle":"","family":"Schuelke","given":"James S","non-dropping-particle":"","parse-names":false,"suffix":""},{"dropping-particle":"","family":"Quirein","given":"John A","non-dropping-particle":"","parse-names":false,"suffix":""}],"container-title":"GEOPHYSICS","id":"ITEM-2","issue":"1","issued":{"date-parts":[["2001","1","1"]]},"note":"doi: 10.1190/1.1444899","page":"220-236","publisher":"Society of Exploration Geophysicists","title":"Use of multiattribute transforms to predict log properties from seismic data","type":"article-journal","volume":"66"},"uris":["http://www.mendeley.com/documents/?uuid=9257d89e-ea8e-4a75-aa5d-4238806d4079"]}],"mendeley":{"formattedCitation":"(Hampson et al., 2001; Russell, 2004)","manualFormatting":"(e.g. Hampson et al., 2001; Russell, 2004)","plainTextFormattedCitation":"(Hampson et al., 2001; Russell, 2004)","previouslyFormattedCitation":"(Hampson et al., 2001; Russell, 2004)"},"properties":{"noteIndex":0},"schema":"https://github.com/citation-style-language/schema/raw/master/csl-citation.json"}</w:instrText>
      </w:r>
      <w:r>
        <w:fldChar w:fldCharType="separate"/>
      </w:r>
      <w:r w:rsidRPr="00B24D58">
        <w:rPr>
          <w:noProof/>
        </w:rPr>
        <w:t>(</w:t>
      </w:r>
      <w:r>
        <w:rPr>
          <w:noProof/>
        </w:rPr>
        <w:t xml:space="preserve">e.g. </w:t>
      </w:r>
      <w:r w:rsidRPr="00B24D58">
        <w:rPr>
          <w:noProof/>
        </w:rPr>
        <w:t>Hampson et al., 2001; Russell, 2004)</w:t>
      </w:r>
      <w:r>
        <w:fldChar w:fldCharType="end"/>
      </w:r>
      <w:r>
        <w:t xml:space="preserve">. For example, 5-fold cross-validation fits a ML model five different times using different subsets of training and validation data. The test set provides the most important metrics for ML models as they represent data unseen by the model. </w:t>
      </w:r>
    </w:p>
    <w:p w14:paraId="0B0B4C7B" w14:textId="77777777" w:rsidR="0053410A" w:rsidRDefault="0053410A" w:rsidP="0053410A">
      <w:pPr>
        <w:pStyle w:val="SEGBodyText"/>
      </w:pPr>
      <w:r>
        <w:lastRenderedPageBreak/>
        <w:t xml:space="preserve">The performance of the ML model is evaluated with different metrics depending on the ML model’s task. Unsupervised learning clustering tasks use both internal validation metrics and external validation metrics </w:t>
      </w:r>
      <w:r>
        <w:fldChar w:fldCharType="begin" w:fldLock="1"/>
      </w:r>
      <w:r>
        <w:instrText>ADDIN CSL_CITATION {"citationItems":[{"id":"ITEM-1","itemData":{"author":[{"dropping-particle":"","family":"Palacio-Niño","given":"Julio-Omar","non-dropping-particle":"","parse-names":false,"suffix":""},{"dropping-particle":"","family":"Berzal","given":"Fernando","non-dropping-particle":"","parse-names":false,"suffix":""}],"id":"ITEM-1","issued":{"date-parts":[["2019"]]},"title":"Evaluation Metrics for Unsupervised Learning Algorithms","type":"article"},"uris":["http://www.mendeley.com/documents/?uuid=b920d86f-5592-4895-87b7-04bc603c27a7"]}],"mendeley":{"formattedCitation":"(Palacio-Niño and Berzal, 2019)","plainTextFormattedCitation":"(Palacio-Niño and Berzal, 2019)","previouslyFormattedCitation":"(Palacio-Niño and Berzal, 2019)"},"properties":{"noteIndex":0},"schema":"https://github.com/citation-style-language/schema/raw/master/csl-citation.json"}</w:instrText>
      </w:r>
      <w:r>
        <w:fldChar w:fldCharType="separate"/>
      </w:r>
      <w:r w:rsidRPr="00386FF6">
        <w:rPr>
          <w:noProof/>
        </w:rPr>
        <w:t>(Palacio-Niño and Berzal, 2019)</w:t>
      </w:r>
      <w:r>
        <w:fldChar w:fldCharType="end"/>
      </w:r>
      <w:r>
        <w:t xml:space="preserve">. Internal validation metrics focus on measuring the cluster’s cohesion (how similar the samples inside the cluster are to each other) and separation (how different clusters are from each other). External validation metrics use extra information to evaluate the quality of the clustering, for example how well the clusters align with known classes. Although dimensionality reduction techniques can be evaluated based on their ability to reconstruct the data, </w:t>
      </w:r>
      <w:r>
        <w:fldChar w:fldCharType="begin" w:fldLock="1"/>
      </w:r>
      <w:r>
        <w:instrText>ADDIN CSL_CITATION {"citationItems":[{"id":"ITEM-1","itemData":{"author":[{"dropping-particle":"","family":"Palacio-Niño","given":"Julio-Omar","non-dropping-particle":"","parse-names":false,"suffix":""},{"dropping-particle":"","family":"Berzal","given":"Fernando","non-dropping-particle":"","parse-names":false,"suffix":""}],"id":"ITEM-1","issued":{"date-parts":[["2019"]]},"title":"Evaluation Metrics for Unsupervised Learning Algorithms","type":"article"},"uris":["http://www.mendeley.com/documents/?uuid=b920d86f-5592-4895-87b7-04bc603c27a7"]}],"mendeley":{"formattedCitation":"(Palacio-Niño and Berzal, 2019)","manualFormatting":"Palacio-Niño and Berzal (2019)","plainTextFormattedCitation":"(Palacio-Niño and Berzal, 2019)","previouslyFormattedCitation":"(Palacio-Niño and Berzal, 2019)"},"properties":{"noteIndex":0},"schema":"https://github.com/citation-style-language/schema/raw/master/csl-citation.json"}</w:instrText>
      </w:r>
      <w:r>
        <w:fldChar w:fldCharType="separate"/>
      </w:r>
      <w:r w:rsidRPr="00C70B19">
        <w:rPr>
          <w:noProof/>
        </w:rPr>
        <w:t xml:space="preserve">Palacio-Niño and Berzal </w:t>
      </w:r>
      <w:r>
        <w:rPr>
          <w:noProof/>
        </w:rPr>
        <w:t>(</w:t>
      </w:r>
      <w:r w:rsidRPr="00C70B19">
        <w:rPr>
          <w:noProof/>
        </w:rPr>
        <w:t>2019)</w:t>
      </w:r>
      <w:r>
        <w:fldChar w:fldCharType="end"/>
      </w:r>
      <w:r>
        <w:t xml:space="preserve"> find that determining the quality of the results of other clustering algorithms to be a very difficult problem. </w:t>
      </w:r>
      <w:r>
        <w:fldChar w:fldCharType="begin" w:fldLock="1"/>
      </w:r>
      <w:r>
        <w:instrText>ADDIN CSL_CITATION {"citationItems":[{"id":"ITEM-1","itemData":{"author":[{"dropping-particle":"","family":"Kleinberg","given":"Jon M","non-dropping-particle":"","parse-names":false,"suffix":""}],"container-title":"Advances in Neural Information Processing Systems 15","editor":[{"dropping-particle":"","family":"Becker","given":"S","non-dropping-particle":"","parse-names":false,"suffix":""},{"dropping-particle":"","family":"Thrun","given":"S","non-dropping-particle":"","parse-names":false,"suffix":""},{"dropping-particle":"","family":"Obermayer","given":"K","non-dropping-particle":"","parse-names":false,"suffix":""}],"id":"ITEM-1","issued":{"date-parts":[["2003"]]},"page":"463-470","publisher":"MIT Press","title":"An Impossibility Theorem for Clustering","type":"chapter"},"uris":["http://www.mendeley.com/documents/?uuid=deecbb24-4922-42e4-9113-e6d998d665a1"]}],"mendeley":{"formattedCitation":"(Kleinberg, 2003)","manualFormatting":"Kleinberg (2003)","plainTextFormattedCitation":"(Kleinberg, 2003)","previouslyFormattedCitation":"(Kleinberg, 2003)"},"properties":{"noteIndex":0},"schema":"https://github.com/citation-style-language/schema/raw/master/csl-citation.json"}</w:instrText>
      </w:r>
      <w:r>
        <w:fldChar w:fldCharType="separate"/>
      </w:r>
      <w:r w:rsidRPr="00C70B19">
        <w:rPr>
          <w:noProof/>
        </w:rPr>
        <w:t xml:space="preserve">Kleinberg </w:t>
      </w:r>
      <w:r>
        <w:rPr>
          <w:noProof/>
        </w:rPr>
        <w:t>(</w:t>
      </w:r>
      <w:r w:rsidRPr="00C70B19">
        <w:rPr>
          <w:noProof/>
        </w:rPr>
        <w:t>2003)</w:t>
      </w:r>
      <w:r>
        <w:fldChar w:fldCharType="end"/>
      </w:r>
      <w:r>
        <w:t xml:space="preserve"> defined essential properties a clustering algorithm should satisfy; he then proved that no clustering algorithm can simultaneously satisfy all of them. In spite of these theoretical challenges, geoscientists still make use of imperfect clusters as a tool in a larger interpretation workflow. </w:t>
      </w:r>
    </w:p>
    <w:p w14:paraId="4B81BC96" w14:textId="1214A760" w:rsidR="0053410A" w:rsidRPr="00D25B77" w:rsidRDefault="0053410A" w:rsidP="0053410A">
      <w:pPr>
        <w:pStyle w:val="SEGBodyText"/>
      </w:pPr>
      <w:r>
        <w:t xml:space="preserve">In contrast to unsupervised learning, supervised learning models are relatively easier to </w:t>
      </w:r>
      <w:r w:rsidR="004C46BF">
        <w:t xml:space="preserve">have their performance </w:t>
      </w:r>
      <w:r w:rsidR="00D734F9">
        <w:t>assess</w:t>
      </w:r>
      <w:r w:rsidR="004C46BF">
        <w:t>ed</w:t>
      </w:r>
      <w:r>
        <w:t>. Metrics for regression tasks include the common mean square</w:t>
      </w:r>
      <w:r w:rsidR="00B935DC">
        <w:t>d</w:t>
      </w:r>
      <w:r>
        <w:t xml:space="preserve"> error, and </w:t>
      </w:r>
      <w:r w:rsidR="00B935DC">
        <w:t xml:space="preserve">the </w:t>
      </w:r>
      <w:r>
        <w:t xml:space="preserve">R2 score. R2 is given by: </w:t>
      </w:r>
    </w:p>
    <w:p w14:paraId="4B2C9F48" w14:textId="77777777" w:rsidR="0053410A" w:rsidRPr="00D25B77" w:rsidRDefault="00CE1F3C" w:rsidP="0053410A">
      <w:pPr>
        <w:pStyle w:val="SEGBodyText"/>
        <w:rPr>
          <w:b/>
          <w:bCs/>
        </w:rPr>
      </w:pPr>
      <m:oMathPara>
        <m:oMath>
          <m:eqArr>
            <m:eqArrPr>
              <m:maxDist m:val="1"/>
              <m:ctrlPr>
                <w:rPr>
                  <w:rFonts w:ascii="Cambria Math" w:hAnsi="Cambria Math"/>
                  <w:b/>
                  <w:bCs/>
                  <w:i/>
                </w:rPr>
              </m:ctrlPr>
            </m:eqArrPr>
            <m:e>
              <m:r>
                <w:rPr>
                  <w:rFonts w:ascii="Cambria Math" w:hAnsi="Cambria Math"/>
                </w:rPr>
                <m:t>R2=1</m:t>
              </m:r>
              <m:r>
                <m:rPr>
                  <m:sty m:val="bi"/>
                </m:rPr>
                <w:rPr>
                  <w:rFonts w:ascii="Cambria Math" w:hAnsi="Cambria Math"/>
                </w:rPr>
                <m:t>-</m:t>
              </m:r>
              <m:f>
                <m:fPr>
                  <m:ctrlPr>
                    <w:rPr>
                      <w:rFonts w:ascii="Cambria Math" w:hAnsi="Cambria Math"/>
                      <w:b/>
                      <w:bCs/>
                      <w:i/>
                    </w:rPr>
                  </m:ctrlPr>
                </m:fPr>
                <m:num>
                  <m:nary>
                    <m:naryPr>
                      <m:chr m:val="∑"/>
                      <m:limLoc m:val="undOvr"/>
                      <m:ctrlPr>
                        <w:rPr>
                          <w:rFonts w:ascii="Cambria Math" w:hAnsi="Cambria Math"/>
                          <w:b/>
                          <w:bCs/>
                          <w:i/>
                        </w:rPr>
                      </m:ctrlPr>
                    </m:naryPr>
                    <m:sub>
                      <m:r>
                        <m:rPr>
                          <m:sty m:val="bi"/>
                        </m:rPr>
                        <w:rPr>
                          <w:rFonts w:ascii="Cambria Math" w:hAnsi="Cambria Math"/>
                        </w:rPr>
                        <m:t>i=1</m:t>
                      </m:r>
                    </m:sub>
                    <m:sup>
                      <m:r>
                        <m:rPr>
                          <m:sty m:val="bi"/>
                        </m:rPr>
                        <w:rPr>
                          <w:rFonts w:ascii="Cambria Math" w:hAnsi="Cambria Math"/>
                        </w:rPr>
                        <m:t>n</m:t>
                      </m:r>
                    </m:sup>
                    <m:e>
                      <m:sSup>
                        <m:sSupPr>
                          <m:ctrlPr>
                            <w:rPr>
                              <w:rFonts w:ascii="Cambria Math" w:hAnsi="Cambria Math"/>
                              <w:b/>
                              <w:bCs/>
                              <w:i/>
                            </w:rPr>
                          </m:ctrlPr>
                        </m:sSupPr>
                        <m:e>
                          <m:d>
                            <m:dPr>
                              <m:ctrlPr>
                                <w:rPr>
                                  <w:rFonts w:ascii="Cambria Math" w:hAnsi="Cambria Math"/>
                                  <w:b/>
                                  <w:bCs/>
                                  <w:i/>
                                </w:rPr>
                              </m:ctrlPr>
                            </m:dPr>
                            <m:e>
                              <m:sSub>
                                <m:sSubPr>
                                  <m:ctrlPr>
                                    <w:rPr>
                                      <w:rFonts w:ascii="Cambria Math" w:hAnsi="Cambria Math"/>
                                      <w:i/>
                                    </w:rPr>
                                  </m:ctrlPr>
                                </m:sSubPr>
                                <m:e>
                                  <m:r>
                                    <w:rPr>
                                      <w:rFonts w:ascii="Cambria Math" w:hAnsi="Cambria Math"/>
                                    </w:rPr>
                                    <m:t>y</m:t>
                                  </m:r>
                                </m:e>
                                <m:sub>
                                  <m:r>
                                    <w:rPr>
                                      <w:rFonts w:ascii="Cambria Math" w:hAnsi="Cambria Math"/>
                                    </w:rPr>
                                    <m:t>i</m:t>
                                  </m:r>
                                </m:sub>
                              </m:sSub>
                              <m:r>
                                <m:rPr>
                                  <m:sty m:val="bi"/>
                                </m:rP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i</m:t>
                                  </m:r>
                                </m:sub>
                              </m:sSub>
                            </m:e>
                          </m:d>
                        </m:e>
                        <m:sup>
                          <m:r>
                            <m:rPr>
                              <m:sty m:val="bi"/>
                            </m:rPr>
                            <w:rPr>
                              <w:rFonts w:ascii="Cambria Math" w:hAnsi="Cambria Math"/>
                            </w:rPr>
                            <m:t>2</m:t>
                          </m:r>
                        </m:sup>
                      </m:sSup>
                    </m:e>
                  </m:nary>
                </m:num>
                <m:den>
                  <m:nary>
                    <m:naryPr>
                      <m:chr m:val="∑"/>
                      <m:limLoc m:val="undOvr"/>
                      <m:ctrlPr>
                        <w:rPr>
                          <w:rFonts w:ascii="Cambria Math" w:hAnsi="Cambria Math"/>
                          <w:b/>
                          <w:bCs/>
                          <w:i/>
                        </w:rPr>
                      </m:ctrlPr>
                    </m:naryPr>
                    <m:sub>
                      <m:r>
                        <m:rPr>
                          <m:sty m:val="bi"/>
                        </m:rPr>
                        <w:rPr>
                          <w:rFonts w:ascii="Cambria Math" w:hAnsi="Cambria Math"/>
                        </w:rPr>
                        <m:t>i=1</m:t>
                      </m:r>
                    </m:sub>
                    <m:sup>
                      <m:r>
                        <m:rPr>
                          <m:sty m:val="bi"/>
                        </m:rPr>
                        <w:rPr>
                          <w:rFonts w:ascii="Cambria Math" w:hAnsi="Cambria Math"/>
                        </w:rPr>
                        <m:t>n</m:t>
                      </m:r>
                    </m:sup>
                    <m:e>
                      <m:sSup>
                        <m:sSupPr>
                          <m:ctrlPr>
                            <w:rPr>
                              <w:rFonts w:ascii="Cambria Math" w:hAnsi="Cambria Math"/>
                              <w:b/>
                              <w:bCs/>
                              <w:i/>
                            </w:rPr>
                          </m:ctrlPr>
                        </m:sSupPr>
                        <m:e>
                          <m:d>
                            <m:dPr>
                              <m:ctrlPr>
                                <w:rPr>
                                  <w:rFonts w:ascii="Cambria Math" w:hAnsi="Cambria Math"/>
                                  <w:b/>
                                  <w:bCs/>
                                  <w:i/>
                                </w:rPr>
                              </m:ctrlPr>
                            </m:dPr>
                            <m:e>
                              <m:sSub>
                                <m:sSubPr>
                                  <m:ctrlPr>
                                    <w:rPr>
                                      <w:rFonts w:ascii="Cambria Math" w:hAnsi="Cambria Math"/>
                                      <w:i/>
                                    </w:rPr>
                                  </m:ctrlPr>
                                </m:sSubPr>
                                <m:e>
                                  <m:r>
                                    <w:rPr>
                                      <w:rFonts w:ascii="Cambria Math" w:hAnsi="Cambria Math"/>
                                    </w:rPr>
                                    <m:t>y</m:t>
                                  </m:r>
                                </m:e>
                                <m:sub>
                                  <m:r>
                                    <w:rPr>
                                      <w:rFonts w:ascii="Cambria Math" w:hAnsi="Cambria Math"/>
                                    </w:rPr>
                                    <m:t>i</m:t>
                                  </m:r>
                                </m:sub>
                              </m:sSub>
                              <m:r>
                                <m:rPr>
                                  <m:sty m:val="bi"/>
                                </m:rPr>
                                <w:rPr>
                                  <w:rFonts w:ascii="Cambria Math" w:hAnsi="Cambria Math"/>
                                </w:rPr>
                                <m:t>-</m:t>
                              </m:r>
                              <m:acc>
                                <m:accPr>
                                  <m:chr m:val="̅"/>
                                  <m:ctrlPr>
                                    <w:rPr>
                                      <w:rFonts w:ascii="Cambria Math" w:hAnsi="Cambria Math"/>
                                      <w:i/>
                                    </w:rPr>
                                  </m:ctrlPr>
                                </m:accPr>
                                <m:e>
                                  <m:r>
                                    <w:rPr>
                                      <w:rFonts w:ascii="Cambria Math" w:hAnsi="Cambria Math"/>
                                    </w:rPr>
                                    <m:t>y</m:t>
                                  </m:r>
                                </m:e>
                              </m:acc>
                            </m:e>
                          </m:d>
                        </m:e>
                        <m:sup>
                          <m:r>
                            <m:rPr>
                              <m:sty m:val="bi"/>
                            </m:rPr>
                            <w:rPr>
                              <w:rFonts w:ascii="Cambria Math" w:hAnsi="Cambria Math"/>
                            </w:rPr>
                            <m:t>2</m:t>
                          </m:r>
                        </m:sup>
                      </m:sSup>
                    </m:e>
                  </m:nary>
                </m:den>
              </m:f>
              <m:r>
                <m:rPr>
                  <m:sty m:val="bi"/>
                </m:rPr>
                <w:rPr>
                  <w:rFonts w:ascii="Cambria Math" w:hAnsi="Cambria Math"/>
                </w:rPr>
                <m:t xml:space="preserve"> #</m:t>
              </m:r>
              <m:d>
                <m:dPr>
                  <m:ctrlPr>
                    <w:rPr>
                      <w:rFonts w:ascii="Cambria Math" w:hAnsi="Cambria Math"/>
                      <w:b/>
                      <w:bCs/>
                      <w:i/>
                    </w:rPr>
                  </m:ctrlPr>
                </m:dPr>
                <m:e>
                  <m:r>
                    <m:rPr>
                      <m:sty m:val="bi"/>
                    </m:rPr>
                    <w:rPr>
                      <w:rFonts w:ascii="Cambria Math" w:hAnsi="Cambria Math"/>
                    </w:rPr>
                    <m:t>1</m:t>
                  </m:r>
                </m:e>
              </m:d>
            </m:e>
          </m:eqArr>
        </m:oMath>
      </m:oMathPara>
    </w:p>
    <w:p w14:paraId="09E7705D" w14:textId="26230ADA" w:rsidR="0053410A" w:rsidRDefault="0053410A" w:rsidP="0053410A">
      <w:pPr>
        <w:pStyle w:val="SEGBodyText"/>
        <w:ind w:firstLine="0"/>
      </w:pPr>
      <w:r w:rsidRPr="00D25B77">
        <w:t>where</w:t>
      </w:r>
      <w:r>
        <w:t xml:space="preserve"> </w:t>
      </w:r>
      <m:oMath>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 xml:space="preserve"> </m:t>
        </m:r>
      </m:oMath>
      <w:r>
        <w:t xml:space="preserve">is the true target value, </w:t>
      </w:r>
      <m:oMath>
        <m:acc>
          <m:accPr>
            <m:chr m:val="̅"/>
            <m:ctrlPr>
              <w:rPr>
                <w:rFonts w:ascii="Cambria Math" w:hAnsi="Cambria Math"/>
                <w:i/>
              </w:rPr>
            </m:ctrlPr>
          </m:accPr>
          <m:e>
            <m:r>
              <w:rPr>
                <w:rFonts w:ascii="Cambria Math" w:hAnsi="Cambria Math"/>
              </w:rPr>
              <m:t>y</m:t>
            </m:r>
          </m:e>
        </m:acc>
      </m:oMath>
      <w:r w:rsidRPr="00D25B77">
        <w:t xml:space="preserve"> is the mean of </w:t>
      </w:r>
      <m:oMath>
        <m:r>
          <m:rPr>
            <m:sty m:val="bi"/>
          </m:rPr>
          <w:rPr>
            <w:rFonts w:ascii="Cambria Math" w:hAnsi="Cambria Math"/>
          </w:rPr>
          <m:t>y</m:t>
        </m:r>
      </m:oMath>
      <w:r w:rsidRPr="00D25B77">
        <w:rPr>
          <w:bCs/>
        </w:rPr>
        <w:t xml:space="preserve">, and </w:t>
      </w:r>
      <m:oMath>
        <m:sSub>
          <m:sSubPr>
            <m:ctrlPr>
              <w:rPr>
                <w:rFonts w:ascii="Cambria Math" w:hAnsi="Cambria Math"/>
                <w:i/>
              </w:rPr>
            </m:ctrlPr>
          </m:sSubPr>
          <m:e>
            <m:r>
              <w:rPr>
                <w:rFonts w:ascii="Cambria Math" w:hAnsi="Cambria Math"/>
              </w:rPr>
              <m:t>f</m:t>
            </m:r>
          </m:e>
          <m:sub>
            <m:r>
              <w:rPr>
                <w:rFonts w:ascii="Cambria Math" w:hAnsi="Cambria Math"/>
              </w:rPr>
              <m:t>i</m:t>
            </m:r>
          </m:sub>
        </m:sSub>
      </m:oMath>
      <w:r>
        <w:t xml:space="preserve"> is the value provided by the ML model</w:t>
      </w:r>
      <w:r w:rsidRPr="00D25B77">
        <w:t xml:space="preserve">. </w:t>
      </w:r>
      <w:r>
        <w:t>R2</w:t>
      </w:r>
      <w:r w:rsidRPr="00D25B77">
        <w:t xml:space="preserve"> does not have a lower bound, and </w:t>
      </w:r>
      <w:r w:rsidR="00B935DC">
        <w:t>have a maximum (</w:t>
      </w:r>
      <w:r w:rsidRPr="00D25B77">
        <w:t>perfect</w:t>
      </w:r>
      <w:r w:rsidR="00B935DC">
        <w:t>)</w:t>
      </w:r>
      <w:r w:rsidRPr="00D25B77">
        <w:t xml:space="preserve"> score </w:t>
      </w:r>
      <w:r w:rsidR="00B935DC">
        <w:t xml:space="preserve">of </w:t>
      </w:r>
      <w:r w:rsidRPr="00D25B77">
        <w:t>1.0, meaning all of the variance of the predicted value was explained by the input data and the model, or that</w:t>
      </w:r>
      <w:r w:rsidR="00A32BB7">
        <w:t xml:space="preserve">  </w:t>
      </w:r>
      <w:r w:rsidRPr="00D25B77">
        <w:t xml:space="preserve"> </w:t>
      </w:r>
      <m:oMath>
        <m:r>
          <m:rPr>
            <m:sty m:val="bi"/>
          </m:rPr>
          <w:rPr>
            <w:rFonts w:ascii="Cambria Math" w:hAnsi="Cambria Math"/>
          </w:rPr>
          <m:t>f=y</m:t>
        </m:r>
      </m:oMath>
      <w:r w:rsidRPr="00D25B77">
        <w:t>.</w:t>
      </w:r>
      <w:r>
        <w:t xml:space="preserve"> </w:t>
      </w:r>
    </w:p>
    <w:p w14:paraId="0ECE6625" w14:textId="77777777" w:rsidR="0053410A" w:rsidRDefault="0053410A" w:rsidP="0053410A">
      <w:pPr>
        <w:pStyle w:val="SEGBodyText"/>
      </w:pPr>
      <w:r>
        <w:lastRenderedPageBreak/>
        <w:t xml:space="preserve">Metrics for classification tasks generally include counting the number of total and incorrect predictions performed by a ML model. Many users define true positive (TP), true negative (TN), false positive (FP), and false negative (FN) to compute metrics. These are binary, positive and negative, but can also be generalized for multi-class problems. TP corresponds to a sample in which the model correctly predicted the positive class. TN corresponds to a sample in which the model correctly predicted the negative class. FP corresponds to a negative sample that the model incorrectly predicted as positive. FN corresponds to a positive sample that the model incorrectly predicted as negative. This information can be used to compute other metrics. For example, the precision, given by </w:t>
      </w:r>
    </w:p>
    <w:p w14:paraId="1F31626D" w14:textId="77777777" w:rsidR="0053410A" w:rsidRDefault="0053410A" w:rsidP="0053410A">
      <w:pPr>
        <w:pStyle w:val="SEGBodyText"/>
        <w:rPr>
          <w:bCs/>
        </w:rPr>
      </w:pPr>
      <m:oMathPara>
        <m:oMath>
          <m:r>
            <w:rPr>
              <w:rFonts w:ascii="Cambria Math" w:hAnsi="Cambria Math"/>
            </w:rPr>
            <m:t xml:space="preserve">Precison= </m:t>
          </m:r>
          <m:f>
            <m:fPr>
              <m:ctrlPr>
                <w:rPr>
                  <w:rFonts w:ascii="Cambria Math" w:hAnsi="Cambria Math"/>
                  <w:bCs/>
                  <w:i/>
                </w:rPr>
              </m:ctrlPr>
            </m:fPr>
            <m:num>
              <m:r>
                <w:rPr>
                  <w:rFonts w:ascii="Cambria Math" w:hAnsi="Cambria Math"/>
                </w:rPr>
                <m:t>TP</m:t>
              </m:r>
            </m:num>
            <m:den>
              <m:r>
                <w:rPr>
                  <w:rFonts w:ascii="Cambria Math" w:hAnsi="Cambria Math"/>
                </w:rPr>
                <m:t>TP+FP</m:t>
              </m:r>
            </m:den>
          </m:f>
          <m:r>
            <w:rPr>
              <w:rFonts w:ascii="Cambria Math" w:hAnsi="Cambria Math"/>
            </w:rPr>
            <m:t xml:space="preserve"> </m:t>
          </m:r>
        </m:oMath>
      </m:oMathPara>
    </w:p>
    <w:p w14:paraId="44999FED" w14:textId="77777777" w:rsidR="0053410A" w:rsidRDefault="0053410A" w:rsidP="0053410A">
      <w:pPr>
        <w:pStyle w:val="SEGBodyText"/>
        <w:ind w:firstLine="0"/>
        <w:rPr>
          <w:bCs/>
        </w:rPr>
      </w:pPr>
      <w:r>
        <w:rPr>
          <w:bCs/>
        </w:rPr>
        <w:t xml:space="preserve"> shows the frequency in which the model correctly predicted the positive class. Recall </w:t>
      </w:r>
    </w:p>
    <w:p w14:paraId="54992701" w14:textId="77777777" w:rsidR="0053410A" w:rsidRDefault="0053410A" w:rsidP="0053410A">
      <w:pPr>
        <w:pStyle w:val="SEGBodyText"/>
        <w:ind w:firstLine="0"/>
        <w:rPr>
          <w:bCs/>
        </w:rPr>
      </w:pPr>
      <m:oMathPara>
        <m:oMath>
          <m:r>
            <w:rPr>
              <w:rFonts w:ascii="Cambria Math" w:hAnsi="Cambria Math"/>
            </w:rPr>
            <m:t xml:space="preserve">Recall= </m:t>
          </m:r>
          <m:f>
            <m:fPr>
              <m:ctrlPr>
                <w:rPr>
                  <w:rFonts w:ascii="Cambria Math" w:hAnsi="Cambria Math"/>
                  <w:bCs/>
                  <w:i/>
                </w:rPr>
              </m:ctrlPr>
            </m:fPr>
            <m:num>
              <m:r>
                <w:rPr>
                  <w:rFonts w:ascii="Cambria Math" w:hAnsi="Cambria Math"/>
                </w:rPr>
                <m:t>TP</m:t>
              </m:r>
            </m:num>
            <m:den>
              <m:r>
                <w:rPr>
                  <w:rFonts w:ascii="Cambria Math" w:hAnsi="Cambria Math"/>
                </w:rPr>
                <m:t>TP+FN</m:t>
              </m:r>
            </m:den>
          </m:f>
        </m:oMath>
      </m:oMathPara>
    </w:p>
    <w:p w14:paraId="127A3E63" w14:textId="77777777" w:rsidR="0053410A" w:rsidRDefault="0053410A" w:rsidP="0053410A">
      <w:pPr>
        <w:pStyle w:val="SEGBodyText"/>
        <w:ind w:firstLine="0"/>
        <w:rPr>
          <w:bCs/>
        </w:rPr>
      </w:pPr>
      <w:r>
        <w:rPr>
          <w:bCs/>
        </w:rPr>
        <w:t xml:space="preserve"> shows the proportion of TP correctly predicted. The accuracy and the confusion matrix are perhaps the easiest metrics to understand. The accuracy is given by the ratio of correct predictions over the total number of predictions. The confusion matrix is a table that summarizes the classification results comparing each one of the classes simply by using o</w:t>
      </w:r>
      <w:r w:rsidRPr="00251ABF">
        <w:rPr>
          <w:bCs/>
        </w:rPr>
        <w:t xml:space="preserve">ne axis of a matrix </w:t>
      </w:r>
      <w:r>
        <w:rPr>
          <w:bCs/>
        </w:rPr>
        <w:t xml:space="preserve">as </w:t>
      </w:r>
      <w:r w:rsidRPr="00251ABF">
        <w:rPr>
          <w:bCs/>
        </w:rPr>
        <w:t xml:space="preserve">the label that the model predicted, and the other axis </w:t>
      </w:r>
      <w:r>
        <w:rPr>
          <w:bCs/>
        </w:rPr>
        <w:t xml:space="preserve">as </w:t>
      </w:r>
      <w:r w:rsidRPr="00251ABF">
        <w:rPr>
          <w:bCs/>
        </w:rPr>
        <w:t>the actual label</w:t>
      </w:r>
      <w:r>
        <w:rPr>
          <w:bCs/>
        </w:rPr>
        <w:t xml:space="preserve"> (the “true” value”)</w:t>
      </w:r>
      <w:r w:rsidRPr="00251ABF">
        <w:rPr>
          <w:bCs/>
        </w:rPr>
        <w:t>.</w:t>
      </w:r>
    </w:p>
    <w:p w14:paraId="76B81A74" w14:textId="77777777" w:rsidR="0053410A" w:rsidRDefault="0053410A" w:rsidP="0053410A">
      <w:pPr>
        <w:pStyle w:val="SEGBodyText"/>
        <w:rPr>
          <w:bCs/>
        </w:rPr>
      </w:pPr>
      <w:r>
        <w:rPr>
          <w:bCs/>
        </w:rPr>
        <w:t xml:space="preserve">Note all these metrics, both for unsupervised and supervised learning, can be applied to any of the sets (training, validation, test); however, the most important results are usually the ones from the test set. </w:t>
      </w:r>
    </w:p>
    <w:p w14:paraId="0FDBC0B7" w14:textId="77777777" w:rsidR="0053410A" w:rsidRDefault="004E1599" w:rsidP="004E1599">
      <w:pPr>
        <w:pStyle w:val="Heading2"/>
      </w:pPr>
      <w:bookmarkStart w:id="17" w:name="_Toc26534568"/>
      <w:r>
        <w:lastRenderedPageBreak/>
        <w:t>C</w:t>
      </w:r>
      <w:r w:rsidR="0053410A">
        <w:t>onvolutional layers</w:t>
      </w:r>
      <w:bookmarkEnd w:id="17"/>
      <w:r w:rsidR="0053410A">
        <w:t xml:space="preserve"> </w:t>
      </w:r>
    </w:p>
    <w:p w14:paraId="7C7CE798" w14:textId="77777777" w:rsidR="0053410A" w:rsidRDefault="0053410A" w:rsidP="0053410A">
      <w:pPr>
        <w:pStyle w:val="SEGBodyText"/>
        <w:rPr>
          <w:bCs/>
        </w:rPr>
      </w:pPr>
      <w:r>
        <w:rPr>
          <w:bCs/>
        </w:rPr>
        <w:t xml:space="preserve">The fundamental element of DNNs is the neuron. Neurons are systems </w:t>
      </w:r>
      <w:r w:rsidRPr="009F65FF">
        <w:rPr>
          <w:bCs/>
        </w:rPr>
        <w:t xml:space="preserve">that </w:t>
      </w:r>
      <w:r>
        <w:rPr>
          <w:bCs/>
        </w:rPr>
        <w:t xml:space="preserve">accept </w:t>
      </w:r>
      <w:r w:rsidRPr="009F65FF">
        <w:rPr>
          <w:bCs/>
        </w:rPr>
        <w:t>one or more input values</w:t>
      </w:r>
      <w:r>
        <w:rPr>
          <w:bCs/>
        </w:rPr>
        <w:t xml:space="preserve"> and outputs a single value based on a function applied on the w</w:t>
      </w:r>
      <w:r w:rsidRPr="009F65FF">
        <w:rPr>
          <w:bCs/>
        </w:rPr>
        <w:t>eighted sum of the inputs</w:t>
      </w:r>
      <w:r>
        <w:rPr>
          <w:bCs/>
        </w:rPr>
        <w:t>. The function applied on the weighted sum is generally referred to as activation function and is typically nonlinear in ML applications</w:t>
      </w:r>
      <w:r w:rsidRPr="009F65FF">
        <w:rPr>
          <w:bCs/>
        </w:rPr>
        <w:t xml:space="preserve">. </w:t>
      </w:r>
      <w:r>
        <w:rPr>
          <w:bCs/>
        </w:rPr>
        <w:t xml:space="preserve">A bias term is always added to the weighted sum, but we omit them for simplicity in this manuscript. Neurons can be organized into layers. DNNs are usually defined as multilayer neural networks with two or more hidden layers. Hidden layers are the layers between the input and output layers. </w:t>
      </w:r>
      <w:r>
        <w:rPr>
          <w:bCs/>
        </w:rPr>
        <w:fldChar w:fldCharType="begin" w:fldLock="1"/>
      </w:r>
      <w:r>
        <w:rPr>
          <w:bCs/>
        </w:rPr>
        <w:instrText>ADDIN CSL_CITATION {"citationItems":[{"id":"ITEM-1","itemData":{"DOI":"10.1190/tle37120894.1","ISSN":"1070-485X","abstract":"Abstract Geophysical inversion and machine learning both provide solutions for inverse problems in which we estimate model parameters from observations. Geophysical inversions such as impedance inversion, amplitude-variation-with-offset inversion, and traveltime tomography are commonly used in the industry to yield physical properties from measured seismic data. Machine learning, a data-driven approach, has become popular during the past decades and is useful for solving such inverse problems. An advantage of machine learning methods is that they can be implemented without knowledge of physical equations or theories. The challenges of machine learning lie in acquiring enough training data and selecting relevant parameters, which are essential in obtaining a good quality model. In this study, we compare geophysical inversion and machine learning approaches in solving inverse problems and show similarities and differences of these approaches in a mathematical form and numerical tests. Both methods aid in solving ill-posed and nonlinear problems and use similar optimization techniques. We take reflectivity inversion as an example of the inverse problem. We apply geophysical inversion based on the least-squares method and artificial neural networks as a machine learning approach to solve reflectivity inversion using 2D synthetic data sets and 3D field data sets. A neural network with multiple hidden layers successfully generates the nonlinear mapping function to predict reflectivity. For this inverse problem, we test different L1 regularizers for both approaches. L1 regularization alleviates effects of noise in seismic traces and enhances sparsity, especially in the least-squares method. The 2D synthetic wedge model and field data examples show that neural networks yield high spatial resolution.","author":[{"dropping-particle":"","family":"Kim","given":"Yuji","non-dropping-particle":"","parse-names":false,"suffix":""},{"dropping-particle":"","family":"Nakata","given":"Nori","non-dropping-particle":"","parse-names":false,"suffix":""}],"container-title":"The Leading Edge","id":"ITEM-1","issue":"12","issued":{"date-parts":[["2018","12","1"]]},"note":"doi: 10.1190/tle37120894.1","page":"894-901","publisher":"Society of Exploration Geophysicists","title":"Geophysical inversion versus machine learning in inverse problems","type":"article-journal","volume":"37"},"uris":["http://www.mendeley.com/documents/?uuid=bbd83de8-1a83-4aea-ad2d-71e7c50f5dd9"]}],"mendeley":{"formattedCitation":"(Kim and Nakata, 2018)","manualFormatting":"Kim and Nakata (2018)","plainTextFormattedCitation":"(Kim and Nakata, 2018)","previouslyFormattedCitation":"(Kim and Nakata, 2018)"},"properties":{"noteIndex":0},"schema":"https://github.com/citation-style-language/schema/raw/master/csl-citation.json"}</w:instrText>
      </w:r>
      <w:r>
        <w:rPr>
          <w:bCs/>
        </w:rPr>
        <w:fldChar w:fldCharType="separate"/>
      </w:r>
      <w:r w:rsidRPr="009C02DF">
        <w:rPr>
          <w:bCs/>
          <w:noProof/>
        </w:rPr>
        <w:t xml:space="preserve">Kim and Nakata </w:t>
      </w:r>
      <w:r>
        <w:rPr>
          <w:bCs/>
          <w:noProof/>
        </w:rPr>
        <w:t>(</w:t>
      </w:r>
      <w:r w:rsidRPr="009C02DF">
        <w:rPr>
          <w:bCs/>
          <w:noProof/>
        </w:rPr>
        <w:t>2018)</w:t>
      </w:r>
      <w:r>
        <w:rPr>
          <w:bCs/>
        </w:rPr>
        <w:fldChar w:fldCharType="end"/>
      </w:r>
      <w:r>
        <w:rPr>
          <w:bCs/>
        </w:rPr>
        <w:t xml:space="preserve"> and </w:t>
      </w:r>
      <w:r>
        <w:rPr>
          <w:bCs/>
        </w:rPr>
        <w:fldChar w:fldCharType="begin" w:fldLock="1"/>
      </w:r>
      <w:r>
        <w:rPr>
          <w:bCs/>
        </w:rPr>
        <w:instrText>ADDIN CSL_CITATION {"citationItems":[{"id":"ITEM-1","itemData":{"DOI":"10.1190/tle38070512.1","ISSN":"1070-485X","abstract":"Abstract As geophysicists, we are trained to conceptualize geophysical problems in detail. However, machine learning algorithms are more difficult to understand and are often thought of as simply ?black boxes.? A numerical example is used here to illustrate the difference between geophysical inversion and inversion by machine learning. In doing so, an attempt is made to demystify machine learning algorithms and show that, like inverse problems, they have a definite mathematical structure that can be written down and understood. The example used is the extraction of the underlying reflection coefficients from a synthetic seismic response that was created by convolving a reflection coefficient dipole with a symmetric wavelet. Because the dipole is below the seismic tuning frequency, the overlapping wavelets create both an amplitude increase and extra nonphysical reflection coefficients in the synthetic seismic data. This is a common problem in real seismic data. In discussing the solution to this problem, the topics of deconvolution, recursive inversion, linear regression, and nonlinear regression using a feedforward neural network are covered. It is shown that if the inputs to the deconvolution problem are fully understood, this is the optimal way to extract the true reflection coefficients. However, if the geophysics is not fully understood and large amounts of data are available, machine learning can provide a viable alternative to geophysical inversion.","author":[{"dropping-particle":"","family":"Russell","given":"Brian","non-dropping-particle":"","parse-names":false,"suffix":""}],"container-title":"The Leading Edge","id":"ITEM-1","issue":"7","issued":{"date-parts":[["2019","7","1"]]},"note":"doi: 10.1190/tle38070512.1","page":"512-519","publisher":"Society of Exploration Geophysicists","title":"Machine learning and geophysical inversion — A numerical study","type":"article-journal","volume":"38"},"uris":["http://www.mendeley.com/documents/?uuid=0ec3a689-6afb-4f02-a353-6ae07c1acd80"]}],"mendeley":{"formattedCitation":"(Russell, 2019)","manualFormatting":"Russell (2019)","plainTextFormattedCitation":"(Russell, 2019)","previouslyFormattedCitation":"(Russell, 2019)"},"properties":{"noteIndex":0},"schema":"https://github.com/citation-style-language/schema/raw/master/csl-citation.json"}</w:instrText>
      </w:r>
      <w:r>
        <w:rPr>
          <w:bCs/>
        </w:rPr>
        <w:fldChar w:fldCharType="separate"/>
      </w:r>
      <w:r>
        <w:rPr>
          <w:bCs/>
          <w:noProof/>
        </w:rPr>
        <w:t>Russell</w:t>
      </w:r>
      <w:r w:rsidRPr="009C02DF">
        <w:rPr>
          <w:bCs/>
          <w:noProof/>
        </w:rPr>
        <w:t xml:space="preserve"> </w:t>
      </w:r>
      <w:r>
        <w:rPr>
          <w:bCs/>
          <w:noProof/>
        </w:rPr>
        <w:t>(</w:t>
      </w:r>
      <w:r w:rsidRPr="009C02DF">
        <w:rPr>
          <w:bCs/>
          <w:noProof/>
        </w:rPr>
        <w:t>2019)</w:t>
      </w:r>
      <w:r>
        <w:rPr>
          <w:bCs/>
        </w:rPr>
        <w:fldChar w:fldCharType="end"/>
      </w:r>
      <w:r>
        <w:rPr>
          <w:bCs/>
        </w:rPr>
        <w:t xml:space="preserve"> discussed the similarities and differences between DNNs and geophysical inversion problems such as the computation of deconvolution operators. </w:t>
      </w:r>
    </w:p>
    <w:p w14:paraId="5ECDBE7C" w14:textId="2E01A602" w:rsidR="0053410A" w:rsidRDefault="0053410A" w:rsidP="0053410A">
      <w:pPr>
        <w:pStyle w:val="SEGBodyText"/>
        <w:rPr>
          <w:bCs/>
        </w:rPr>
      </w:pPr>
      <w:r>
        <w:rPr>
          <w:bCs/>
        </w:rPr>
        <w:t>Despite several variations on CNN architectures, al</w:t>
      </w:r>
      <w:r w:rsidRPr="0065798D">
        <w:rPr>
          <w:bCs/>
        </w:rPr>
        <w:t xml:space="preserve">l CNNs </w:t>
      </w:r>
      <w:r>
        <w:rPr>
          <w:bCs/>
        </w:rPr>
        <w:t xml:space="preserve">rely on the </w:t>
      </w:r>
      <w:r w:rsidRPr="0065798D">
        <w:rPr>
          <w:bCs/>
        </w:rPr>
        <w:t xml:space="preserve">fundamental convolutional kernel. Convolution operates on two functions, one generally interpreted as the “input”, and the other as a “filter”.  The filter is </w:t>
      </w:r>
      <w:r>
        <w:rPr>
          <w:bCs/>
        </w:rPr>
        <w:t xml:space="preserve">also </w:t>
      </w:r>
      <w:r w:rsidRPr="0065798D">
        <w:rPr>
          <w:bCs/>
        </w:rPr>
        <w:t xml:space="preserve">referred to as “kernel”. </w:t>
      </w:r>
      <w:r>
        <w:rPr>
          <w:bCs/>
        </w:rPr>
        <w:t xml:space="preserve">The values of the kernels are the weights or parameters of a CNN. </w:t>
      </w:r>
      <w:r w:rsidRPr="0065798D">
        <w:rPr>
          <w:bCs/>
        </w:rPr>
        <w:t xml:space="preserve">The kernel is applied </w:t>
      </w:r>
      <w:r>
        <w:rPr>
          <w:bCs/>
        </w:rPr>
        <w:t>to</w:t>
      </w:r>
      <w:r w:rsidRPr="0065798D">
        <w:rPr>
          <w:bCs/>
        </w:rPr>
        <w:t xml:space="preserve"> the input, producing an output. </w:t>
      </w:r>
      <w:r>
        <w:rPr>
          <w:bCs/>
        </w:rPr>
        <w:t xml:space="preserve">Just like neurons, a </w:t>
      </w:r>
      <w:r w:rsidRPr="0065798D">
        <w:rPr>
          <w:bCs/>
        </w:rPr>
        <w:t xml:space="preserve">set of convolutional kernels can be combined into layers. </w:t>
      </w:r>
      <w:r>
        <w:rPr>
          <w:bCs/>
        </w:rPr>
        <w:fldChar w:fldCharType="begin"/>
      </w:r>
      <w:r>
        <w:rPr>
          <w:bCs/>
        </w:rPr>
        <w:instrText xml:space="preserve"> REF _Ref23760580 \h </w:instrText>
      </w:r>
      <w:r>
        <w:rPr>
          <w:bCs/>
        </w:rPr>
      </w:r>
      <w:r>
        <w:rPr>
          <w:bCs/>
        </w:rPr>
        <w:fldChar w:fldCharType="separate"/>
      </w:r>
      <w:r>
        <w:t xml:space="preserve">Figure </w:t>
      </w:r>
      <w:r>
        <w:rPr>
          <w:noProof/>
        </w:rPr>
        <w:t>1</w:t>
      </w:r>
      <w:r>
        <w:rPr>
          <w:bCs/>
        </w:rPr>
        <w:fldChar w:fldCharType="end"/>
      </w:r>
      <w:r>
        <w:rPr>
          <w:bCs/>
        </w:rPr>
        <w:t xml:space="preserve"> provides a visual representation of DNNs and CNNs. Convolutions in ML are actually referred to as cross-correlations in signal processing, and such subtle difference is in fact irrelevant to the end results. In signal processing, the difference between convolution and cross-correlation is simply due to the fact that a convolution is actually</w:t>
      </w:r>
      <w:r w:rsidR="003F2167">
        <w:rPr>
          <w:bCs/>
        </w:rPr>
        <w:t xml:space="preserve"> cross-correlation with the reversed </w:t>
      </w:r>
      <w:r w:rsidR="00942B6C">
        <w:rPr>
          <w:bCs/>
        </w:rPr>
        <w:t>kernel</w:t>
      </w:r>
      <w:r>
        <w:rPr>
          <w:bCs/>
        </w:rPr>
        <w:t xml:space="preserve">, </w:t>
      </w:r>
      <w:r w:rsidR="003F2167">
        <w:rPr>
          <w:bCs/>
        </w:rPr>
        <w:t xml:space="preserve">and </w:t>
      </w:r>
      <w:r w:rsidRPr="00A26962">
        <w:rPr>
          <w:bCs/>
        </w:rPr>
        <w:t xml:space="preserve">cross-correlation </w:t>
      </w:r>
      <w:r>
        <w:rPr>
          <w:bCs/>
        </w:rPr>
        <w:t xml:space="preserve">works essentially as a </w:t>
      </w:r>
      <w:r w:rsidRPr="00A26962">
        <w:rPr>
          <w:bCs/>
        </w:rPr>
        <w:t>sliding dot product</w:t>
      </w:r>
      <w:r>
        <w:rPr>
          <w:bCs/>
        </w:rPr>
        <w:t xml:space="preserve"> of the input with the kernel. </w:t>
      </w:r>
      <w:r w:rsidRPr="0065798D">
        <w:rPr>
          <w:bCs/>
        </w:rPr>
        <w:t xml:space="preserve">During the training stage, the values of kernels are updated in such a way that the output </w:t>
      </w:r>
      <w:r w:rsidRPr="0065798D">
        <w:rPr>
          <w:bCs/>
        </w:rPr>
        <w:lastRenderedPageBreak/>
        <w:t>generated by the CNN is more similar to the desired label</w:t>
      </w:r>
      <w:r>
        <w:rPr>
          <w:bCs/>
        </w:rPr>
        <w:t>, thereby</w:t>
      </w:r>
      <w:r w:rsidRPr="0065798D">
        <w:rPr>
          <w:bCs/>
        </w:rPr>
        <w:t xml:space="preserve"> minimiz</w:t>
      </w:r>
      <w:r>
        <w:rPr>
          <w:bCs/>
        </w:rPr>
        <w:t>ing the objective function</w:t>
      </w:r>
      <w:r w:rsidRPr="0065798D">
        <w:rPr>
          <w:bCs/>
        </w:rPr>
        <w:t>.</w:t>
      </w:r>
    </w:p>
    <w:p w14:paraId="16117616" w14:textId="77777777" w:rsidR="0053410A" w:rsidRDefault="0053410A" w:rsidP="004E1599">
      <w:pPr>
        <w:pStyle w:val="SEGBodyText"/>
        <w:ind w:firstLine="0"/>
        <w:jc w:val="center"/>
        <w:rPr>
          <w:bCs/>
        </w:rPr>
      </w:pPr>
      <w:r>
        <w:rPr>
          <w:bCs/>
          <w:noProof/>
        </w:rPr>
        <w:drawing>
          <wp:inline distT="0" distB="0" distL="0" distR="0" wp14:anchorId="440FB7E4" wp14:editId="2A0E855E">
            <wp:extent cx="4650908" cy="469549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59171" cy="4703838"/>
                    </a:xfrm>
                    <a:prstGeom prst="rect">
                      <a:avLst/>
                    </a:prstGeom>
                    <a:noFill/>
                  </pic:spPr>
                </pic:pic>
              </a:graphicData>
            </a:graphic>
          </wp:inline>
        </w:drawing>
      </w:r>
    </w:p>
    <w:p w14:paraId="36EBF811" w14:textId="77777777" w:rsidR="0053410A" w:rsidRPr="00DB1B57" w:rsidRDefault="0053410A" w:rsidP="00607DF1">
      <w:pPr>
        <w:pStyle w:val="Caption"/>
      </w:pPr>
      <w:bookmarkStart w:id="18" w:name="_Ref23760580"/>
      <w:bookmarkStart w:id="19" w:name="_Toc23799388"/>
      <w:bookmarkStart w:id="20" w:name="_Toc26534487"/>
      <w:r>
        <w:t xml:space="preserve">Figure </w:t>
      </w:r>
      <w:r w:rsidR="00CE1F3C">
        <w:fldChar w:fldCharType="begin"/>
      </w:r>
      <w:r w:rsidR="00CE1F3C">
        <w:instrText xml:space="preserve"> SEQ Figure \* ARABIC </w:instrText>
      </w:r>
      <w:r w:rsidR="00CE1F3C">
        <w:fldChar w:fldCharType="separate"/>
      </w:r>
      <w:r>
        <w:rPr>
          <w:noProof/>
        </w:rPr>
        <w:t>1</w:t>
      </w:r>
      <w:r w:rsidR="00CE1F3C">
        <w:rPr>
          <w:noProof/>
        </w:rPr>
        <w:fldChar w:fldCharType="end"/>
      </w:r>
      <w:bookmarkEnd w:id="18"/>
      <w:r>
        <w:t xml:space="preserve">: </w:t>
      </w:r>
      <w:r w:rsidRPr="006F3AE1">
        <w:t xml:space="preserve">Visual representation of a DNN and a CNN showing the main elements of each structure. </w:t>
      </w:r>
      <w:r>
        <w:t>(a</w:t>
      </w:r>
      <w:r w:rsidRPr="006F3AE1">
        <w:t xml:space="preserve">) </w:t>
      </w:r>
      <w:r>
        <w:t xml:space="preserve">Cartoon showing a single </w:t>
      </w:r>
      <w:r w:rsidRPr="006F3AE1">
        <w:t>neuron that applies an activation function to the weighted sum of the inputs and produces an output. We can then organize layers with multiple neurons, each neuron generally applying different weights to the set of inputs and producing different outputs. The output of a neuron can then be passed to the following layer, wh</w:t>
      </w:r>
      <w:r>
        <w:t xml:space="preserve">ich can be either the next </w:t>
      </w:r>
      <w:r w:rsidRPr="006F3AE1">
        <w:t xml:space="preserve">hidden layer or the final output. H1 and H2 represent the first and second hidden layers in this toy example. </w:t>
      </w:r>
      <w:r>
        <w:t>(b) V</w:t>
      </w:r>
      <w:r w:rsidRPr="006F3AE1">
        <w:t xml:space="preserve">isual representation of a 2D CNN. Starting with the linear component, a convolution is applied </w:t>
      </w:r>
      <w:r>
        <w:t>to</w:t>
      </w:r>
      <w:r w:rsidRPr="006F3AE1">
        <w:t xml:space="preserve"> an input and produces an output. </w:t>
      </w:r>
      <w:r>
        <w:t>Next, a</w:t>
      </w:r>
      <w:r w:rsidRPr="006F3AE1">
        <w:t xml:space="preserve">n activation is applied to the output. Note that the number of convolutional kernels </w:t>
      </w:r>
      <w:r>
        <w:t xml:space="preserve">is equal to the number of input </w:t>
      </w:r>
      <w:r w:rsidRPr="006F3AE1">
        <w:t xml:space="preserve">channels. Just like </w:t>
      </w:r>
      <w:r>
        <w:t xml:space="preserve">the </w:t>
      </w:r>
      <w:r w:rsidRPr="006F3AE1">
        <w:t>neurons</w:t>
      </w:r>
      <w:r>
        <w:t xml:space="preserve"> in (a)</w:t>
      </w:r>
      <w:r w:rsidRPr="006F3AE1">
        <w:t xml:space="preserve">, convolutional kernels can be organized in layers. Again, H1 and H2 represent respectively the first and second hidden layers in this toy example. For classification and regression tasks, the final layers of CNNs are usually the same as the ones used in DNNs, with layers containing neurons. The final layers of CNNs used for segmentation tasks are usually </w:t>
      </w:r>
      <w:r w:rsidRPr="006F3AE1">
        <w:lastRenderedPageBreak/>
        <w:t xml:space="preserve">convolutional layers as well. Note we choose to represent 2D CNNs as they are more common, however the idea is the same for 1D or 3D CNNs as well. Seismic facies classification is usually performed </w:t>
      </w:r>
      <w:r>
        <w:t>using</w:t>
      </w:r>
      <w:r w:rsidRPr="006F3AE1">
        <w:t xml:space="preserve"> 3D CNNs.</w:t>
      </w:r>
      <w:bookmarkEnd w:id="19"/>
      <w:bookmarkEnd w:id="20"/>
    </w:p>
    <w:p w14:paraId="1598885C" w14:textId="77777777" w:rsidR="0053410A" w:rsidRDefault="0053410A" w:rsidP="0053410A">
      <w:pPr>
        <w:pStyle w:val="SEGBodyText"/>
        <w:rPr>
          <w:bCs/>
        </w:rPr>
      </w:pPr>
      <w:r>
        <w:rPr>
          <w:bCs/>
        </w:rPr>
        <w:t xml:space="preserve">Note, as </w:t>
      </w:r>
      <w:r>
        <w:rPr>
          <w:bCs/>
        </w:rPr>
        <w:fldChar w:fldCharType="begin"/>
      </w:r>
      <w:r>
        <w:rPr>
          <w:bCs/>
        </w:rPr>
        <w:instrText xml:space="preserve"> REF _Ref23760580 \h </w:instrText>
      </w:r>
      <w:r>
        <w:rPr>
          <w:bCs/>
        </w:rPr>
      </w:r>
      <w:r>
        <w:rPr>
          <w:bCs/>
        </w:rPr>
        <w:fldChar w:fldCharType="separate"/>
      </w:r>
      <w:r>
        <w:t xml:space="preserve">Figure </w:t>
      </w:r>
      <w:r>
        <w:rPr>
          <w:noProof/>
        </w:rPr>
        <w:t>1</w:t>
      </w:r>
      <w:r>
        <w:rPr>
          <w:bCs/>
        </w:rPr>
        <w:fldChar w:fldCharType="end"/>
      </w:r>
      <w:r>
        <w:rPr>
          <w:bCs/>
        </w:rPr>
        <w:t xml:space="preserve"> shows, that the CNN kernel applies different convolutional kernels to each one of the input channels. We use </w:t>
      </w:r>
      <w:r>
        <w:rPr>
          <w:bCs/>
        </w:rPr>
        <w:fldChar w:fldCharType="begin"/>
      </w:r>
      <w:r>
        <w:rPr>
          <w:bCs/>
        </w:rPr>
        <w:instrText xml:space="preserve"> REF _Ref23788040 \h </w:instrText>
      </w:r>
      <w:r>
        <w:rPr>
          <w:bCs/>
        </w:rPr>
      </w:r>
      <w:r>
        <w:rPr>
          <w:bCs/>
        </w:rPr>
        <w:fldChar w:fldCharType="separate"/>
      </w:r>
      <w:r>
        <w:t xml:space="preserve">Figure </w:t>
      </w:r>
      <w:r>
        <w:rPr>
          <w:noProof/>
        </w:rPr>
        <w:t>2</w:t>
      </w:r>
      <w:r>
        <w:rPr>
          <w:bCs/>
        </w:rPr>
        <w:fldChar w:fldCharType="end"/>
      </w:r>
      <w:r>
        <w:rPr>
          <w:bCs/>
        </w:rPr>
        <w:t xml:space="preserve"> to illustrate the concept of a channel in ML using a color image  of a </w:t>
      </w:r>
      <w:r w:rsidRPr="00A82125">
        <w:rPr>
          <w:bCs/>
          <w:i/>
        </w:rPr>
        <w:t>Triticites tomlinsoni</w:t>
      </w:r>
      <w:r>
        <w:rPr>
          <w:bCs/>
        </w:rPr>
        <w:t xml:space="preserve"> from the </w:t>
      </w:r>
      <w:r>
        <w:rPr>
          <w:bCs/>
        </w:rPr>
        <w:fldChar w:fldCharType="begin" w:fldLock="1"/>
      </w:r>
      <w:r>
        <w:rPr>
          <w:bCs/>
        </w:rPr>
        <w:instrText>ADDIN CSL_CITATION {"citationItems":[{"id":"ITEM-1","itemData":{"author":[{"dropping-particle":"","family":"Waddell","given":"Dwight E.","non-dropping-particle":"","parse-names":false,"suffix":""}],"id":"ITEM-1","issued":{"date-parts":[["1966"]]},"number-of-pages":"128","publisher":"Oklahoma Geological Survey Bulletin 113","title":"Pennsylvanian fusulinids in the Ardmore Basin - Love and Carter counties, Oklahoma","type":"book"},"uris":["http://www.mendeley.com/documents/?uuid=f2560a3c-3292-3144-a6dd-1539181ffbaa"]}],"mendeley":{"formattedCitation":"(Waddell, 1966)","manualFormatting":"Waddell (1966)","plainTextFormattedCitation":"(Waddell, 1966)","previouslyFormattedCitation":"(Waddell, 1966)"},"properties":{"noteIndex":0},"schema":"https://github.com/citation-style-language/schema/raw/master/csl-citation.json"}</w:instrText>
      </w:r>
      <w:r>
        <w:rPr>
          <w:bCs/>
        </w:rPr>
        <w:fldChar w:fldCharType="separate"/>
      </w:r>
      <w:r>
        <w:rPr>
          <w:bCs/>
          <w:noProof/>
        </w:rPr>
        <w:t>Waddell</w:t>
      </w:r>
      <w:r w:rsidRPr="00A82125">
        <w:rPr>
          <w:bCs/>
          <w:noProof/>
        </w:rPr>
        <w:t xml:space="preserve"> </w:t>
      </w:r>
      <w:r>
        <w:rPr>
          <w:bCs/>
          <w:noProof/>
        </w:rPr>
        <w:t>(</w:t>
      </w:r>
      <w:r w:rsidRPr="00A82125">
        <w:rPr>
          <w:bCs/>
          <w:noProof/>
        </w:rPr>
        <w:t>1966)</w:t>
      </w:r>
      <w:r>
        <w:rPr>
          <w:bCs/>
        </w:rPr>
        <w:fldChar w:fldCharType="end"/>
      </w:r>
      <w:r>
        <w:rPr>
          <w:bCs/>
        </w:rPr>
        <w:t xml:space="preserve"> collection stored at the Sam Noble Museum - Oklahoma’s Museum of Natural History. Colors in 2D images are often represented as a combination of red, green, and blue channels. </w:t>
      </w:r>
      <w:r>
        <w:rPr>
          <w:bCs/>
        </w:rPr>
        <w:fldChar w:fldCharType="begin"/>
      </w:r>
      <w:r>
        <w:rPr>
          <w:bCs/>
        </w:rPr>
        <w:instrText xml:space="preserve"> REF _Ref23788040 \h </w:instrText>
      </w:r>
      <w:r>
        <w:rPr>
          <w:bCs/>
        </w:rPr>
      </w:r>
      <w:r>
        <w:rPr>
          <w:bCs/>
        </w:rPr>
        <w:fldChar w:fldCharType="separate"/>
      </w:r>
      <w:r>
        <w:t xml:space="preserve">Figure </w:t>
      </w:r>
      <w:r>
        <w:rPr>
          <w:noProof/>
        </w:rPr>
        <w:t>2</w:t>
      </w:r>
      <w:r>
        <w:rPr>
          <w:bCs/>
        </w:rPr>
        <w:fldChar w:fldCharType="end"/>
      </w:r>
      <w:r>
        <w:rPr>
          <w:bCs/>
        </w:rPr>
        <w:t xml:space="preserve"> shows the intensity for each one of the color components. Although our example is a 2D image, the concept expands to 1D and 3D as well. For example, a 3D CNN for facies segmentation using seismic amplitude and the envelope seismic attribute input volumes would be a two channel input data. </w:t>
      </w:r>
      <w:r>
        <w:rPr>
          <w:bCs/>
        </w:rPr>
        <w:fldChar w:fldCharType="begin"/>
      </w:r>
      <w:r>
        <w:rPr>
          <w:bCs/>
        </w:rPr>
        <w:instrText xml:space="preserve"> REF _Ref23788730 \h </w:instrText>
      </w:r>
      <w:r>
        <w:rPr>
          <w:bCs/>
        </w:rPr>
      </w:r>
      <w:r>
        <w:rPr>
          <w:bCs/>
        </w:rPr>
        <w:fldChar w:fldCharType="separate"/>
      </w:r>
      <w:r>
        <w:t xml:space="preserve">Figure </w:t>
      </w:r>
      <w:r>
        <w:rPr>
          <w:noProof/>
        </w:rPr>
        <w:t>3</w:t>
      </w:r>
      <w:r>
        <w:rPr>
          <w:bCs/>
        </w:rPr>
        <w:fldChar w:fldCharType="end"/>
      </w:r>
      <w:r>
        <w:rPr>
          <w:bCs/>
        </w:rPr>
        <w:t xml:space="preserve"> shows how different convolutional kernels affect the input image. Other examples of the same concept are provided in the supplemental material. </w:t>
      </w:r>
    </w:p>
    <w:p w14:paraId="17B3DF48" w14:textId="77777777" w:rsidR="0053410A" w:rsidRDefault="0053410A" w:rsidP="004E1599">
      <w:pPr>
        <w:pStyle w:val="SEGBodyText"/>
        <w:keepNext/>
        <w:ind w:firstLine="0"/>
      </w:pPr>
      <w:r w:rsidRPr="00157945">
        <w:rPr>
          <w:noProof/>
        </w:rPr>
        <w:drawing>
          <wp:inline distT="0" distB="0" distL="0" distR="0" wp14:anchorId="0A1F21F9" wp14:editId="6766F11F">
            <wp:extent cx="5180847" cy="1732296"/>
            <wp:effectExtent l="0" t="0" r="1270" b="127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91171" cy="1735748"/>
                    </a:xfrm>
                    <a:prstGeom prst="rect">
                      <a:avLst/>
                    </a:prstGeom>
                    <a:noFill/>
                    <a:ln>
                      <a:noFill/>
                    </a:ln>
                  </pic:spPr>
                </pic:pic>
              </a:graphicData>
            </a:graphic>
          </wp:inline>
        </w:drawing>
      </w:r>
    </w:p>
    <w:p w14:paraId="6A8986EC" w14:textId="77777777" w:rsidR="0053410A" w:rsidRDefault="0053410A" w:rsidP="00607DF1">
      <w:pPr>
        <w:pStyle w:val="Caption"/>
      </w:pPr>
      <w:bookmarkStart w:id="21" w:name="_Ref23788040"/>
      <w:bookmarkStart w:id="22" w:name="_Toc23799389"/>
      <w:bookmarkStart w:id="23" w:name="_Toc26534488"/>
      <w:r>
        <w:t xml:space="preserve">Figure </w:t>
      </w:r>
      <w:r w:rsidR="00CE1F3C">
        <w:fldChar w:fldCharType="begin"/>
      </w:r>
      <w:r w:rsidR="00CE1F3C">
        <w:instrText xml:space="preserve"> SEQ Figure \*</w:instrText>
      </w:r>
      <w:r w:rsidR="00CE1F3C">
        <w:instrText xml:space="preserve"> ARABIC </w:instrText>
      </w:r>
      <w:r w:rsidR="00CE1F3C">
        <w:fldChar w:fldCharType="separate"/>
      </w:r>
      <w:r>
        <w:rPr>
          <w:noProof/>
        </w:rPr>
        <w:t>2</w:t>
      </w:r>
      <w:r w:rsidR="00CE1F3C">
        <w:rPr>
          <w:noProof/>
        </w:rPr>
        <w:fldChar w:fldCharType="end"/>
      </w:r>
      <w:bookmarkEnd w:id="21"/>
      <w:r>
        <w:t>: Decomposition of a RGB image into its red, green, and blue components. For red, green, and blue, low values are white and high values are black. Each one of the color components is referred to as a “channel”.</w:t>
      </w:r>
      <w:bookmarkEnd w:id="22"/>
      <w:r>
        <w:t xml:space="preserve"> Each channel is composed of 299 x 299 pixels.</w:t>
      </w:r>
      <w:bookmarkEnd w:id="23"/>
    </w:p>
    <w:p w14:paraId="390A0DA9" w14:textId="77777777" w:rsidR="0053410A" w:rsidRDefault="0053410A" w:rsidP="0053410A">
      <w:pPr>
        <w:keepNext/>
      </w:pPr>
    </w:p>
    <w:p w14:paraId="51BAE4E2" w14:textId="77777777" w:rsidR="0053410A" w:rsidRDefault="0053410A" w:rsidP="0053410A">
      <w:pPr>
        <w:keepNext/>
      </w:pPr>
      <w:r w:rsidRPr="003972D8">
        <w:rPr>
          <w:noProof/>
        </w:rPr>
        <w:t xml:space="preserve"> </w:t>
      </w:r>
      <w:r w:rsidRPr="003972D8" w:rsidDel="003972D8">
        <w:t xml:space="preserve"> </w:t>
      </w:r>
      <w:r>
        <w:rPr>
          <w:noProof/>
          <w:lang w:bidi="ar-SA"/>
        </w:rPr>
        <w:drawing>
          <wp:inline distT="0" distB="0" distL="0" distR="0" wp14:anchorId="733D1DC8" wp14:editId="0AAC749A">
            <wp:extent cx="5067300" cy="2034499"/>
            <wp:effectExtent l="0" t="0" r="0" b="444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078374" cy="2038945"/>
                    </a:xfrm>
                    <a:prstGeom prst="rect">
                      <a:avLst/>
                    </a:prstGeom>
                  </pic:spPr>
                </pic:pic>
              </a:graphicData>
            </a:graphic>
          </wp:inline>
        </w:drawing>
      </w:r>
    </w:p>
    <w:p w14:paraId="09EB9FCD" w14:textId="25B3D9AE" w:rsidR="0053410A" w:rsidRPr="003E51D9" w:rsidRDefault="0053410A" w:rsidP="00607DF1">
      <w:pPr>
        <w:pStyle w:val="Caption"/>
      </w:pPr>
      <w:bookmarkStart w:id="24" w:name="_Ref23788730"/>
      <w:bookmarkStart w:id="25" w:name="_Ref23788711"/>
      <w:bookmarkStart w:id="26" w:name="_Toc23799390"/>
      <w:bookmarkStart w:id="27" w:name="_Toc26534489"/>
      <w:r>
        <w:t xml:space="preserve">Figure </w:t>
      </w:r>
      <w:r w:rsidR="00CE1F3C">
        <w:fldChar w:fldCharType="begin"/>
      </w:r>
      <w:r w:rsidR="00CE1F3C">
        <w:instrText xml:space="preserve"> SEQ Figure \* ARABIC </w:instrText>
      </w:r>
      <w:r w:rsidR="00CE1F3C">
        <w:fldChar w:fldCharType="separate"/>
      </w:r>
      <w:r>
        <w:rPr>
          <w:noProof/>
        </w:rPr>
        <w:t>3</w:t>
      </w:r>
      <w:r w:rsidR="00CE1F3C">
        <w:rPr>
          <w:noProof/>
        </w:rPr>
        <w:fldChar w:fldCharType="end"/>
      </w:r>
      <w:bookmarkEnd w:id="24"/>
      <w:r>
        <w:t xml:space="preserve">: Representative  output of different kernels applied to the three-channel input image shown in the previous figure. Each of the convolutional kernels (top row) needs to be three </w:t>
      </w:r>
      <w:r w:rsidR="000E191D">
        <w:t>channels</w:t>
      </w:r>
      <w:r>
        <w:t xml:space="preserve"> deep. The bottom row shows the result of the original image with each one of the convolutional kernels displayed on the top row. For the sake of visualization, we keep the outputs of each one of the channels separated; usually CNNs would sum the three channels into a single channel output. Note the images are not to scale – 3 x 3 pixels in the top row are much smaller than 299 x 299 pixels in top and bottom rows.</w:t>
      </w:r>
      <w:bookmarkEnd w:id="25"/>
      <w:bookmarkEnd w:id="26"/>
      <w:r>
        <w:t xml:space="preserve"> Sobel-</w:t>
      </w:r>
      <w:r w:rsidR="000E191D">
        <w:t>Feldman</w:t>
      </w:r>
      <w:r>
        <w:t xml:space="preserve"> and edge enhance kernels have the same value for the three-different channels, thus we provide the numbers that compose the filters in the image. The red blur kernel weights the red channel by a fraction of its inputs (1/9) while the other channels remain unchanged – the center pixel is 1.0 whereas the outer pixels are zero, thus the cyan color in the center and the almost black color outline. The random kernel is generated with 5 x 5 x 3 random samples extracted from a random distribution, thus the colors are a combination of such random values applied to the three-channels. For visualization, all values are linearly scaled to range from 0-255.</w:t>
      </w:r>
      <w:bookmarkEnd w:id="27"/>
      <w:r>
        <w:t xml:space="preserve"> </w:t>
      </w:r>
    </w:p>
    <w:p w14:paraId="2F5E2BF4" w14:textId="77777777" w:rsidR="0053410A" w:rsidRDefault="0053410A" w:rsidP="00943270">
      <w:pPr>
        <w:pStyle w:val="SEGBodyText"/>
      </w:pPr>
      <w:r>
        <w:fldChar w:fldCharType="begin" w:fldLock="1"/>
      </w:r>
      <w:r>
        <w:instrText>ADDIN CSL_CITATION {"citationItems":[{"id":"ITEM-1","itemData":{"author":[{"dropping-particle":"","family":"Springenberg","given":"Jost Tobias","non-dropping-particle":"","parse-names":false,"suffix":""},{"dropping-particle":"","family":"Dosovitskiy","given":"Alexey","non-dropping-particle":"","parse-names":false,"suffix":""},{"dropping-particle":"","family":"Brox","given":"Thomas","non-dropping-particle":"","parse-names":false,"suffix":""},{"dropping-particle":"","family":"Riedmiller","given":"Martin","non-dropping-particle":"","parse-names":false,"suffix":""}],"container-title":"arXiv e-prints","id":"ITEM-1","issued":{"date-parts":[["2014","12"]]},"page":"arXiv:1412.6806","title":"Striving for Simplicity: The All Convolutional Net","type":"article-journal"},"uris":["http://www.mendeley.com/documents/?uuid=51798407-a86a-49cc-be29-96edeb498a5a"]}],"mendeley":{"formattedCitation":"(Springenberg et al., 2014)","manualFormatting":"Springenberg et al. (2014)","plainTextFormattedCitation":"(Springenberg et al., 2014)","previouslyFormattedCitation":"(Springenberg et al., 2014)"},"properties":{"noteIndex":0},"schema":"https://github.com/citation-style-language/schema/raw/master/csl-citation.json"}</w:instrText>
      </w:r>
      <w:r>
        <w:fldChar w:fldCharType="separate"/>
      </w:r>
      <w:r w:rsidRPr="008455CD">
        <w:rPr>
          <w:noProof/>
        </w:rPr>
        <w:t xml:space="preserve">Springenberg et al. </w:t>
      </w:r>
      <w:r>
        <w:rPr>
          <w:noProof/>
        </w:rPr>
        <w:t>(</w:t>
      </w:r>
      <w:r w:rsidRPr="008455CD">
        <w:rPr>
          <w:noProof/>
        </w:rPr>
        <w:t>2014)</w:t>
      </w:r>
      <w:r>
        <w:fldChar w:fldCharType="end"/>
      </w:r>
      <w:r>
        <w:t xml:space="preserve"> </w:t>
      </w:r>
      <w:r w:rsidRPr="0065798D">
        <w:rPr>
          <w:bCs/>
        </w:rPr>
        <w:t xml:space="preserve">observed that CNNs </w:t>
      </w:r>
      <w:r>
        <w:rPr>
          <w:bCs/>
        </w:rPr>
        <w:t xml:space="preserve">frequently </w:t>
      </w:r>
      <w:r w:rsidRPr="0065798D">
        <w:rPr>
          <w:bCs/>
        </w:rPr>
        <w:t xml:space="preserve">use alternating convolution and max-pooling layers followed by a small number of fully connected layers. </w:t>
      </w:r>
      <w:r>
        <w:rPr>
          <w:bCs/>
        </w:rPr>
        <w:t xml:space="preserve">Moreover, CNNs </w:t>
      </w:r>
      <w:r w:rsidRPr="0065798D">
        <w:rPr>
          <w:bCs/>
        </w:rPr>
        <w:t>are typically regularized during training using dropout</w:t>
      </w:r>
      <w:r>
        <w:rPr>
          <w:bCs/>
        </w:rPr>
        <w:t xml:space="preserve"> layers</w:t>
      </w:r>
      <w:r w:rsidRPr="0065798D">
        <w:rPr>
          <w:bCs/>
        </w:rPr>
        <w:t xml:space="preserve">. Max-pooling are simple down-sampling steps in which the maximum value for each </w:t>
      </w:r>
      <w:r>
        <w:rPr>
          <w:bCs/>
        </w:rPr>
        <w:t xml:space="preserve">sub-window </w:t>
      </w:r>
      <w:r w:rsidRPr="0065798D">
        <w:rPr>
          <w:bCs/>
        </w:rPr>
        <w:t xml:space="preserve">(containing multiple values) of a feature is used to represent the entire </w:t>
      </w:r>
      <w:r>
        <w:rPr>
          <w:bCs/>
        </w:rPr>
        <w:t>sub-patch</w:t>
      </w:r>
      <w:r w:rsidRPr="0065798D">
        <w:rPr>
          <w:bCs/>
        </w:rPr>
        <w:t>, effectively reducing the feature size</w:t>
      </w:r>
      <w:r>
        <w:rPr>
          <w:bCs/>
        </w:rPr>
        <w:t xml:space="preserve">, </w:t>
      </w:r>
      <w:r>
        <w:rPr>
          <w:bCs/>
        </w:rPr>
        <w:fldChar w:fldCharType="begin"/>
      </w:r>
      <w:r>
        <w:rPr>
          <w:bCs/>
        </w:rPr>
        <w:instrText xml:space="preserve"> REF _Ref23774068 \h </w:instrText>
      </w:r>
      <w:r>
        <w:rPr>
          <w:bCs/>
        </w:rPr>
      </w:r>
      <w:r>
        <w:rPr>
          <w:bCs/>
        </w:rPr>
        <w:fldChar w:fldCharType="separate"/>
      </w:r>
      <w:r>
        <w:t xml:space="preserve">Figure </w:t>
      </w:r>
      <w:r>
        <w:rPr>
          <w:noProof/>
        </w:rPr>
        <w:t>2</w:t>
      </w:r>
      <w:r>
        <w:rPr>
          <w:bCs/>
        </w:rPr>
        <w:fldChar w:fldCharType="end"/>
      </w:r>
      <w:r>
        <w:rPr>
          <w:bCs/>
        </w:rPr>
        <w:t xml:space="preserve"> shows a visual representation of max and average pooling</w:t>
      </w:r>
      <w:r w:rsidRPr="0065798D">
        <w:rPr>
          <w:bCs/>
        </w:rPr>
        <w:t>. Dropout layers randomly select a percentage of their inputs to be ignored during the training phase</w:t>
      </w:r>
      <w:r>
        <w:rPr>
          <w:bCs/>
        </w:rPr>
        <w:t xml:space="preserve">, helping to prevent </w:t>
      </w:r>
      <w:r w:rsidRPr="0065798D">
        <w:rPr>
          <w:bCs/>
        </w:rPr>
        <w:t xml:space="preserve">overfitting. </w:t>
      </w:r>
      <w:r>
        <w:rPr>
          <w:bCs/>
        </w:rPr>
        <w:t>No</w:t>
      </w:r>
      <w:r w:rsidRPr="0065798D">
        <w:rPr>
          <w:bCs/>
        </w:rPr>
        <w:t xml:space="preserve">t specific </w:t>
      </w:r>
      <w:r>
        <w:rPr>
          <w:bCs/>
        </w:rPr>
        <w:t>to</w:t>
      </w:r>
      <w:r w:rsidRPr="0065798D">
        <w:rPr>
          <w:bCs/>
        </w:rPr>
        <w:t xml:space="preserve"> CNN models</w:t>
      </w:r>
      <w:r>
        <w:rPr>
          <w:bCs/>
        </w:rPr>
        <w:t>,</w:t>
      </w:r>
      <w:r w:rsidRPr="0065798D">
        <w:rPr>
          <w:bCs/>
        </w:rPr>
        <w:t xml:space="preserve"> </w:t>
      </w:r>
      <w:r>
        <w:fldChar w:fldCharType="begin" w:fldLock="1"/>
      </w:r>
      <w:r>
        <w:instrText>ADDIN CSL_CITATION {"citationItems":[{"id":"ITEM-1","itemData":{"ISSN":"1532-4435","author":[{"dropping-particle":"","family":"Srivastava","given":"Nitish","non-dropping-particle":"","parse-names":false,"suffix":""},{"dropping-particle":"","family":"Hinton","given":"Geoffrey","non-dropping-particle":"","parse-names":false,"suffix":""},{"dropping-particle":"","family":"Krizhevsky","given":"Alex","non-dropping-particle":"","parse-names":false,"suffix":""},{"dropping-particle":"","family":"Sutskever","given":"Ilya","non-dropping-particle":"","parse-names":false,"suffix":""},{"dropping-particle":"","family":"Salakhutdinov","given":"Ruslan","non-dropping-particle":"","parse-names":false,"suffix":""}],"container-title":"Journal of Machine Learning Research","id":"ITEM-1","issue":"1","issued":{"date-parts":[["2014","1"]]},"page":"1929-1958","publisher":"JMLR.org","title":"Dropout: A Simple Way to Prevent Neural Networks from Overfitting","type":"article-journal","volume":"15"},"uris":["http://www.mendeley.com/documents/?uuid=5785141d-a731-4264-9845-5dcc01fe3e59"]}],"mendeley":{"formattedCitation":"(Srivastava et al., 2014)","manualFormatting":"Srivastava et al. (2014)","plainTextFormattedCitation":"(Srivastava et al., 2014)","previouslyFormattedCitation":"(Srivastava et al., 2014)"},"properties":{"noteIndex":0},"schema":"https://github.com/citation-style-language/schema/raw/master/csl-citation.json"}</w:instrText>
      </w:r>
      <w:r>
        <w:fldChar w:fldCharType="separate"/>
      </w:r>
      <w:r w:rsidRPr="008554BA">
        <w:rPr>
          <w:noProof/>
        </w:rPr>
        <w:t xml:space="preserve">Srivastava et al. </w:t>
      </w:r>
      <w:r>
        <w:rPr>
          <w:noProof/>
        </w:rPr>
        <w:t>(</w:t>
      </w:r>
      <w:r w:rsidRPr="008554BA">
        <w:rPr>
          <w:noProof/>
        </w:rPr>
        <w:t>2014)</w:t>
      </w:r>
      <w:r>
        <w:fldChar w:fldCharType="end"/>
      </w:r>
      <w:r>
        <w:t xml:space="preserve"> </w:t>
      </w:r>
      <w:r w:rsidRPr="0065798D">
        <w:rPr>
          <w:bCs/>
        </w:rPr>
        <w:t xml:space="preserve">showed that dropout improves the performance of neural networks on many supervised learning tasks such as speech recognition, </w:t>
      </w:r>
      <w:r>
        <w:rPr>
          <w:bCs/>
        </w:rPr>
        <w:lastRenderedPageBreak/>
        <w:t xml:space="preserve">and computer </w:t>
      </w:r>
      <w:r w:rsidRPr="0065798D">
        <w:rPr>
          <w:bCs/>
        </w:rPr>
        <w:t>vision</w:t>
      </w:r>
      <w:r>
        <w:rPr>
          <w:bCs/>
        </w:rPr>
        <w:t>.</w:t>
      </w:r>
      <w:r w:rsidRPr="0065798D">
        <w:rPr>
          <w:bCs/>
        </w:rPr>
        <w:t xml:space="preserve"> </w:t>
      </w:r>
      <w:r>
        <w:rPr>
          <w:bCs/>
          <w:noProof/>
        </w:rPr>
        <w:drawing>
          <wp:inline distT="0" distB="0" distL="0" distR="0" wp14:anchorId="1501DDA3" wp14:editId="03A077B5">
            <wp:extent cx="5200698" cy="478155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05157" cy="4785650"/>
                    </a:xfrm>
                    <a:prstGeom prst="rect">
                      <a:avLst/>
                    </a:prstGeom>
                    <a:noFill/>
                  </pic:spPr>
                </pic:pic>
              </a:graphicData>
            </a:graphic>
          </wp:inline>
        </w:drawing>
      </w:r>
    </w:p>
    <w:p w14:paraId="4AC8F71F" w14:textId="1E236E47" w:rsidR="0053410A" w:rsidRDefault="0053410A" w:rsidP="00607DF1">
      <w:pPr>
        <w:pStyle w:val="Caption"/>
      </w:pPr>
      <w:bookmarkStart w:id="28" w:name="_Ref23774068"/>
      <w:bookmarkStart w:id="29" w:name="_Toc23799391"/>
      <w:bookmarkStart w:id="30" w:name="_Toc26534490"/>
      <w:r>
        <w:t xml:space="preserve">Figure </w:t>
      </w:r>
      <w:r w:rsidR="00CE1F3C">
        <w:fldChar w:fldCharType="begin"/>
      </w:r>
      <w:r w:rsidR="00CE1F3C">
        <w:instrText xml:space="preserve"> SEQ Figure \* ARABIC </w:instrText>
      </w:r>
      <w:r w:rsidR="00CE1F3C">
        <w:fldChar w:fldCharType="separate"/>
      </w:r>
      <w:r>
        <w:rPr>
          <w:noProof/>
        </w:rPr>
        <w:t>4</w:t>
      </w:r>
      <w:r w:rsidR="00CE1F3C">
        <w:rPr>
          <w:noProof/>
        </w:rPr>
        <w:fldChar w:fldCharType="end"/>
      </w:r>
      <w:bookmarkEnd w:id="28"/>
      <w:r>
        <w:t xml:space="preserve">: </w:t>
      </w:r>
      <w:r w:rsidRPr="00CE549E">
        <w:t>A representation of the max and average pooling operation, where the output is simply the maximum value of a subset of the input. Colors are used to facilitate visualization. Different strides and padding techniques can be used with pooling layers, as well as different statistics (minimum, average, median, or other statistical measures).</w:t>
      </w:r>
      <w:r>
        <w:t xml:space="preserve"> We represent the </w:t>
      </w:r>
      <w:r w:rsidR="00030D30">
        <w:t>pooling</w:t>
      </w:r>
      <w:r>
        <w:t xml:space="preserve"> applied with a 2D </w:t>
      </w:r>
      <w:r w:rsidR="00030D30">
        <w:t>input;</w:t>
      </w:r>
      <w:r>
        <w:t xml:space="preserve"> </w:t>
      </w:r>
      <w:r w:rsidR="00030D30">
        <w:t>however,</w:t>
      </w:r>
      <w:r>
        <w:t xml:space="preserve"> the same technique can be applied to 1D or 3D inputs as well.</w:t>
      </w:r>
      <w:bookmarkEnd w:id="29"/>
      <w:bookmarkEnd w:id="30"/>
      <w:r>
        <w:t xml:space="preserve"> </w:t>
      </w:r>
    </w:p>
    <w:p w14:paraId="1ABD450B" w14:textId="77777777" w:rsidR="0053410A" w:rsidRPr="0065798D" w:rsidRDefault="0053410A" w:rsidP="0053410A">
      <w:pPr>
        <w:pStyle w:val="SEGBodyText"/>
        <w:rPr>
          <w:bCs/>
        </w:rPr>
      </w:pPr>
    </w:p>
    <w:p w14:paraId="6A0E763C" w14:textId="00CF6241" w:rsidR="0053410A" w:rsidRDefault="0053410A" w:rsidP="00943270">
      <w:pPr>
        <w:pStyle w:val="Heading2"/>
      </w:pPr>
      <w:bookmarkStart w:id="31" w:name="_Toc26534569"/>
      <w:r>
        <w:t xml:space="preserve">Backpropagation and training a simple </w:t>
      </w:r>
      <w:r w:rsidR="00FB22E6">
        <w:t>CNN</w:t>
      </w:r>
      <w:bookmarkEnd w:id="31"/>
    </w:p>
    <w:p w14:paraId="47DAC153" w14:textId="4DB11FAB" w:rsidR="0053410A" w:rsidRPr="00F66BCC" w:rsidRDefault="0053410A" w:rsidP="0053410A">
      <w:pPr>
        <w:pStyle w:val="SEGBodyText"/>
        <w:rPr>
          <w:bCs/>
        </w:rPr>
      </w:pPr>
      <w:r w:rsidRPr="00F66BCC">
        <w:rPr>
          <w:bCs/>
        </w:rPr>
        <w:fldChar w:fldCharType="begin" w:fldLock="1"/>
      </w:r>
      <w:r w:rsidRPr="00F66BCC">
        <w:rPr>
          <w:bCs/>
        </w:rPr>
        <w:instrText>ADDIN CSL_CITATION {"citationItems":[{"id":"ITEM-1","itemData":{"DOI":"10.1038/nature14539","ISSN":"0028-0836","abstract":"Deep learning","author":[{"dropping-particle":"","family":"LeCun","given":"Yann","non-dropping-particle":"","parse-names":false,"suffix":""},{"dropping-particle":"","family":"Bengio","given":"Yoshua","non-dropping-particle":"","parse-names":false,"suffix":""},{"dropping-particle":"","family":"Hinton","given":"Geoffrey","non-dropping-particle":"","parse-names":false,"suffix":""}],"container-title":"Nature","id":"ITEM-1","issue":"7553","issued":{"date-parts":[["2015","5","28"]]},"page":"436-444","publisher":"Nature Publishing Group","title":"Deep learning","type":"article-journal","volume":"521"},"uris":["http://www.mendeley.com/documents/?uuid=0649e55b-84c4-3d3a-a37b-adcdaa740493"]}],"mendeley":{"formattedCitation":"(LeCun et al., 2015)","manualFormatting":"LeCun et al. (2015)","plainTextFormattedCitation":"(LeCun et al., 2015)","previouslyFormattedCitation":"(LeCun et al., 2015)"},"properties":{"noteIndex":0},"schema":"https://github.com/citation-style-language/schema/raw/master/csl-citation.json"}</w:instrText>
      </w:r>
      <w:r w:rsidRPr="00F66BCC">
        <w:rPr>
          <w:bCs/>
        </w:rPr>
        <w:fldChar w:fldCharType="separate"/>
      </w:r>
      <w:r w:rsidRPr="00F66BCC">
        <w:rPr>
          <w:bCs/>
          <w:noProof/>
        </w:rPr>
        <w:t>LeCun et al. (2015)</w:t>
      </w:r>
      <w:r w:rsidRPr="00F66BCC">
        <w:rPr>
          <w:bCs/>
        </w:rPr>
        <w:fldChar w:fldCharType="end"/>
      </w:r>
      <w:r>
        <w:rPr>
          <w:bCs/>
        </w:rPr>
        <w:t xml:space="preserve"> reported that </w:t>
      </w:r>
      <w:r w:rsidRPr="00F66BCC">
        <w:rPr>
          <w:bCs/>
        </w:rPr>
        <w:t xml:space="preserve">the goal of  researchers has been to replace hand-engineered features with trainable multilayer networks since the early days of pattern recognition </w:t>
      </w:r>
      <w:r w:rsidRPr="00F66BCC">
        <w:rPr>
          <w:bCs/>
        </w:rPr>
        <w:lastRenderedPageBreak/>
        <w:fldChar w:fldCharType="begin" w:fldLock="1"/>
      </w:r>
      <w:r w:rsidRPr="00F66BCC">
        <w:rPr>
          <w:bCs/>
        </w:rPr>
        <w:instrText>ADDIN CSL_CITATION {"citationItems":[{"id":"ITEM-1","itemData":{"author":[{"dropping-particle":"","family":"Rosenblatt","given":"F.","non-dropping-particle":"","parse-names":false,"suffix":""}],"id":"ITEM-1","issued":{"date-parts":[["1957"]]},"publisher":"Tech. Rep. 85-460-1 (Cornell Aeronautical Laboratory)","title":"The Perceptron — A Perceiving and Recognizing Automaton","type":"book"},"uris":["http://www.mendeley.com/documents/?uuid=498d22e3-88f9-431c-8184-a2a5c4003529"]},{"id":"ITEM-2","itemData":{"author":[{"dropping-particle":"","family":"Selfridge","given":"O. G.","non-dropping-particle":"","parse-names":false,"suffix":""}],"container-title":"Proceedings of Symposium on Mechanisation of Thought Processes","id":"ITEM-2","issued":{"date-parts":[["1958"]]},"page":"513-526","title":"Pandemonium: a paradigm for learning in mechanisation of thought processes","type":"paper-conference"},"uris":["http://www.mendeley.com/documents/?uuid=d2d8ec13-655f-4a3b-85a0-cf0083063b11"]}],"mendeley":{"formattedCitation":"(Rosenblatt, 1957; Selfridge, 1958)","plainTextFormattedCitation":"(Rosenblatt, 1957; Selfridge, 1958)","previouslyFormattedCitation":"(Rosenblatt, 1957; Selfridge, 1958)"},"properties":{"noteIndex":0},"schema":"https://github.com/citation-style-language/schema/raw/master/csl-citation.json"}</w:instrText>
      </w:r>
      <w:r w:rsidRPr="00F66BCC">
        <w:rPr>
          <w:bCs/>
        </w:rPr>
        <w:fldChar w:fldCharType="separate"/>
      </w:r>
      <w:r w:rsidRPr="00F66BCC">
        <w:rPr>
          <w:bCs/>
          <w:noProof/>
        </w:rPr>
        <w:t>(Rosenblatt, 1957; Selfridge, 1958)</w:t>
      </w:r>
      <w:r w:rsidRPr="00F66BCC">
        <w:rPr>
          <w:bCs/>
        </w:rPr>
        <w:fldChar w:fldCharType="end"/>
      </w:r>
      <w:r w:rsidRPr="00F66BCC">
        <w:rPr>
          <w:bCs/>
        </w:rPr>
        <w:t xml:space="preserve">. However, in spite of its simplicity, the </w:t>
      </w:r>
      <w:r>
        <w:rPr>
          <w:bCs/>
        </w:rPr>
        <w:t>mathematical gradient descent solution technique</w:t>
      </w:r>
      <w:r w:rsidRPr="00F66BCC">
        <w:rPr>
          <w:bCs/>
        </w:rPr>
        <w:t xml:space="preserve"> was only </w:t>
      </w:r>
      <w:r>
        <w:rPr>
          <w:bCs/>
        </w:rPr>
        <w:t>recognized in</w:t>
      </w:r>
      <w:r w:rsidRPr="00F66BCC">
        <w:rPr>
          <w:bCs/>
        </w:rPr>
        <w:t xml:space="preserve"> the </w:t>
      </w:r>
      <w:r w:rsidR="00030D30" w:rsidRPr="00F66BCC">
        <w:rPr>
          <w:bCs/>
        </w:rPr>
        <w:t>mid-1980s</w:t>
      </w:r>
      <w:r w:rsidRPr="00F66BCC">
        <w:rPr>
          <w:bCs/>
        </w:rPr>
        <w:t>. LeCun et</w:t>
      </w:r>
      <w:r>
        <w:rPr>
          <w:bCs/>
        </w:rPr>
        <w:t xml:space="preserve"> a</w:t>
      </w:r>
      <w:r w:rsidRPr="00F66BCC">
        <w:rPr>
          <w:bCs/>
        </w:rPr>
        <w:t xml:space="preserve">l. (2015) </w:t>
      </w:r>
      <w:r>
        <w:rPr>
          <w:bCs/>
        </w:rPr>
        <w:t>showed how</w:t>
      </w:r>
      <w:r w:rsidRPr="00F66BCC">
        <w:rPr>
          <w:bCs/>
        </w:rPr>
        <w:t xml:space="preserve"> backpropagation </w:t>
      </w:r>
      <w:r>
        <w:rPr>
          <w:bCs/>
        </w:rPr>
        <w:t>can be</w:t>
      </w:r>
      <w:r w:rsidRPr="00F66BCC">
        <w:rPr>
          <w:bCs/>
        </w:rPr>
        <w:t xml:space="preserve"> used to calculate the gradient of an objective function with respect to the inputs of multilayer neural architectures </w:t>
      </w:r>
      <w:r>
        <w:rPr>
          <w:bCs/>
        </w:rPr>
        <w:t>through the use of</w:t>
      </w:r>
      <w:r w:rsidRPr="00F66BCC">
        <w:rPr>
          <w:bCs/>
        </w:rPr>
        <w:t xml:space="preserve"> chain rule for derivatives. </w:t>
      </w:r>
    </w:p>
    <w:p w14:paraId="2E376BB7" w14:textId="77777777" w:rsidR="0053410A" w:rsidRPr="00F66BCC" w:rsidRDefault="0053410A" w:rsidP="0053410A">
      <w:pPr>
        <w:pStyle w:val="SEGBodyText"/>
        <w:rPr>
          <w:bCs/>
        </w:rPr>
      </w:pPr>
      <w:r w:rsidRPr="00F66BCC">
        <w:rPr>
          <w:bCs/>
        </w:rPr>
        <w:t xml:space="preserve">We propose a simple experiment to further illustrate some of the key concepts of ML, to show how CNNs transform the data, and how backpropagation updates the weights in CNN. We create a simple dataset composed of 2D RGB images with three very different classes easily separable based on their image content. Each class is composed of only 16 samples. Samples for class “fossil” are images from </w:t>
      </w:r>
      <w:r w:rsidRPr="00F66BCC">
        <w:rPr>
          <w:bCs/>
        </w:rPr>
        <w:fldChar w:fldCharType="begin" w:fldLock="1"/>
      </w:r>
      <w:r w:rsidRPr="00F66BCC">
        <w:rPr>
          <w:bCs/>
        </w:rPr>
        <w:instrText>ADDIN CSL_CITATION {"citationItems":[{"id":"ITEM-1","itemData":{"author":[{"dropping-particle":"","family":"Waddell","given":"Dwight E.","non-dropping-particle":"","parse-names":false,"suffix":""}],"id":"ITEM-1","issued":{"date-parts":[["1966"]]},"number-of-pages":"128","publisher":"Oklahoma Geological Survey Bulletin 113","title":"Pennsylvanian fusulinids in the Ardmore Basin - Love and Carter counties, Oklahoma","type":"book"},"uris":["http://www.mendeley.com/documents/?uuid=f2560a3c-3292-3144-a6dd-1539181ffbaa"]}],"mendeley":{"formattedCitation":"(Waddell, 1966)","manualFormatting":"Waddell (1966)","plainTextFormattedCitation":"(Waddell, 1966)","previouslyFormattedCitation":"(Waddell, 1966)"},"properties":{"noteIndex":0},"schema":"https://github.com/citation-style-language/schema/raw/master/csl-citation.json"}</w:instrText>
      </w:r>
      <w:r w:rsidRPr="00F66BCC">
        <w:rPr>
          <w:bCs/>
        </w:rPr>
        <w:fldChar w:fldCharType="separate"/>
      </w:r>
      <w:r w:rsidRPr="00F66BCC">
        <w:rPr>
          <w:bCs/>
          <w:noProof/>
        </w:rPr>
        <w:t>Waddell (1966)</w:t>
      </w:r>
      <w:r w:rsidRPr="00F66BCC">
        <w:rPr>
          <w:bCs/>
        </w:rPr>
        <w:fldChar w:fldCharType="end"/>
      </w:r>
      <w:r w:rsidRPr="00F66BCC">
        <w:rPr>
          <w:bCs/>
        </w:rPr>
        <w:t xml:space="preserve">, samples for class “oil well” are images from PatternNet </w:t>
      </w:r>
      <w:r w:rsidRPr="00F66BCC">
        <w:rPr>
          <w:bCs/>
        </w:rPr>
        <w:fldChar w:fldCharType="begin" w:fldLock="1"/>
      </w:r>
      <w:r w:rsidRPr="00F66BCC">
        <w:rPr>
          <w:bCs/>
        </w:rPr>
        <w:instrText>ADDIN CSL_CITATION {"citationItems":[{"id":"ITEM-1","itemData":{"DOI":"10.1016/J.ISPRSJPRS.2018.01.004","ISSN":"0924-2716","abstract":"Benchmark datasets are critical for developing, evaluating, and comparing remote sensing image retrieval (RSIR) approaches. However, current benchmark datasets are deficient in that (1) they were originally collected for land use/land cover classification instead of RSIR; (2) they are relatively small in terms of the number of classes as well as the number of images per class which makes them unsuitable for developing deep learning based approaches; and (3) they are not appropriate for RSIR due to the large amount of background present in the images. These limitations restrict the development of novel approaches for RSIR, particularly those based on deep learning which require large amounts of training data. We therefore present a new large-scale remote sensing dataset termed “PatternNet” that was collected specifically for RSIR. PatternNet was collected from high-resolution imagery and contains 38 classes with 800 images per class. Significantly, PatternNet’s large scale makes it suitable for developing novel, deep learning based approaches for RSIR. We use PatternNet to evaluate the performance of over 35 RSIR methods ranging from traditional handcrafted feature based methods to recent, deep learning based ones. These results serve as a baseline for future research on RSIR.","author":[{"dropping-particle":"","family":"Zhou","given":"Weixun","non-dropping-particle":"","parse-names":false,"suffix":""},{"dropping-particle":"","family":"Newsam","given":"Shawn","non-dropping-particle":"","parse-names":false,"suffix":""},{"dropping-particle":"","family":"Li","given":"Congmin","non-dropping-particle":"","parse-names":false,"suffix":""},{"dropping-particle":"","family":"Shao","given":"Zhenfeng","non-dropping-particle":"","parse-names":false,"suffix":""}],"container-title":"ISPRS Journal of Photogrammetry and Remote Sensing","id":"ITEM-1","issued":{"date-parts":[["2018","11","1"]]},"page":"197-209","publisher":"Elsevier","title":"PatternNet: A benchmark dataset for performance evaluation of remote sensing image retrieval","type":"article-journal","volume":"145"},"uris":["http://www.mendeley.com/documents/?uuid=7af9c309-4a75-3f76-b357-a7e54351a9ff"]}],"mendeley":{"formattedCitation":"(Zhou et al., 2018)","plainTextFormattedCitation":"(Zhou et al., 2018)","previouslyFormattedCitation":"(Zhou et al., 2018)"},"properties":{"noteIndex":0},"schema":"https://github.com/citation-style-language/schema/raw/master/csl-citation.json"}</w:instrText>
      </w:r>
      <w:r w:rsidRPr="00F66BCC">
        <w:rPr>
          <w:bCs/>
        </w:rPr>
        <w:fldChar w:fldCharType="separate"/>
      </w:r>
      <w:r w:rsidRPr="00F66BCC">
        <w:rPr>
          <w:bCs/>
          <w:noProof/>
        </w:rPr>
        <w:t>(Zhou et al., 2018)</w:t>
      </w:r>
      <w:r w:rsidRPr="00F66BCC">
        <w:rPr>
          <w:bCs/>
        </w:rPr>
        <w:fldChar w:fldCharType="end"/>
      </w:r>
      <w:r w:rsidRPr="00F66BCC">
        <w:rPr>
          <w:bCs/>
        </w:rPr>
        <w:t xml:space="preserve">, and samples for class “seismic” are created from inline, crossline, and time-slices of the Kora Survey </w:t>
      </w:r>
      <w:r>
        <w:rPr>
          <w:bCs/>
        </w:rPr>
        <w:fldChar w:fldCharType="begin" w:fldLock="1"/>
      </w:r>
      <w:r>
        <w:rPr>
          <w:bCs/>
        </w:rPr>
        <w:instrText xml:space="preserve">ADDIN CSL_CITATION {"citationItems":[{"id":"ITEM-1","itemData":{"DOI":"10.1130/GES01645.1","ISSN":"1553-040X","abstract":"Descriptions of the interactions between volcano plumbing systems and early-stage rift systems dominated by large half grabens and tilted fault blocks are scarce and lack detail. 3-D seismic reflection data across the Early Miocene-age subduction-related Kora Volcano plumbing system in the Taranaki Basin, offshore New Zealand, provides an opportunity to investigate in detail how this system has interacted with a Late Cretaceous–Early Paleogene rift system. The shallow (&amp;lt;8-km-depth) architecture of intrusions are dominated by stacked saucer-shaped, and transgressive sills, and laccolith complexes distributed in an oval shape around the volcano. The thickest sill complexes occur in the thickest (fault-controlled) syn-rift depocenters. There is also local elongation of sill complexes in a N-S direction following structural trends. Numerous sills locally follow segments of large normal faults, or terminate at the faults. Laterally extensive sill complexes tend to lie close to the base of the syn-rift/top of pre-rift contact for distances up to 15 km away from the Kora Volcano. A general pattern is that the lowest-level sills are the most laterally extensive, and the shallower sills lie closer to the volcano. Shallow sills form a complex of concentric sills that dip away from the volcano center (ring sills). Sills are interpreted to have been fed by intrusions following faults that intersect a broad upper crustal magma chamber with a calculated area of </w:instrText>
      </w:r>
      <w:r>
        <w:rPr>
          <w:rFonts w:ascii="Cambria Math" w:hAnsi="Cambria Math" w:cs="Cambria Math"/>
          <w:bCs/>
        </w:rPr>
        <w:instrText>∼</w:instrText>
      </w:r>
      <w:r>
        <w:rPr>
          <w:bCs/>
        </w:rPr>
        <w:instrText xml:space="preserve">345 km2. Strong preference for sill/laccolith stacking in the thick syn-rift section appears to have had four effects. (1) In the upper 6 km there probably was not a simple single pipe feeding the volcano, instead the volcano is inferred to have been fed by a network of sills linked by short dikes and pipes. (2) The extensive intrusions resulted in folding/doming of the Paleogene section in several places, but most significantly under the central part of the volcano. (3) Much of the magma was stored in intrusive complexes within the syn-rift section and the underlying magma chamber (volume </w:instrText>
      </w:r>
      <w:r>
        <w:rPr>
          <w:rFonts w:ascii="Cambria Math" w:hAnsi="Cambria Math" w:cs="Cambria Math"/>
          <w:bCs/>
        </w:rPr>
        <w:instrText>∼</w:instrText>
      </w:r>
      <w:r>
        <w:rPr>
          <w:bCs/>
        </w:rPr>
        <w:instrText xml:space="preserve">124 km3), not extruded (volume </w:instrText>
      </w:r>
      <w:r>
        <w:rPr>
          <w:rFonts w:ascii="Cambria Math" w:hAnsi="Cambria Math" w:cs="Cambria Math"/>
          <w:bCs/>
        </w:rPr>
        <w:instrText>∼</w:instrText>
      </w:r>
      <w:r>
        <w:rPr>
          <w:bCs/>
        </w:rPr>
        <w:instrText>40 km3). (4) Edifice construction and broad doming related to subsurface intrusions may have caused the crest of the volcano to become subaerial. The consequent absence of phreatomagmatic eruptions and the extensive accumulation of magma in relatively thin sill complexes (that could cool relatively rapidly and solidify) avoided a destructive end to the volcanic edifice.","author":[{"dropping-particle":"","family":"Morley","given":"C K","non-dropping-particle":"","parse-names":false,"suffix":""}],"container-title":"Geosphere","id":"ITEM-1","issue":"6","issued":{"date-parts":[["2018","10","24"]]},"page":"2533-2584","title":"3-D seismic imaging of the plumbing system of the Kora Volcano, Taranaki Basin, New Zealand: The influence of syn-rift structure on shallow igneous intrusion architecture","type":"article-journal","volume":"14"},"uris":["http://www.mendeley.com/documents/?uuid=64e60e7f-26f9-4054-b09e-456fb15193ba"]},{"id":"ITEM-2","itemData":{"DOI":"10.1190/INT-2016-0244.1","ISSN":"2324-8858","abstract":"AbstractVery little research has been done on volcanic rocks by the oil industry due to the misconception that these rocks cannot be ?good reservoirs.? However, in the past two decades, significant quantities of hydrocarbons have been produced from volcanic rocks in China, New Zealand, and Argentina. In frontier basins, volcanic piles are sometimes misinterpreted to be hydrocarbon anomalies and/or carbonate buildups. Unlike clastic and carbonate systems, the 3D seismic geomorphology of igneous systems is only partially documented. We have integrated 3D seismic data, well logs, well reports, core data, and clustering techniques such as self-organizing maps to map two distinct facies (pyroclastic and lava flows), within a Miocene submarine volcano in the Taranaki Basin, New Zealand. Three wells; Kora-1?3 drilled the pyroclastic facies within the volcano encountering evidence of a petroleum system, whereas the Kora-4 well drilled the lava-flow facies, which was barren of hydrocarbons. By integrating results from geochemistry and basin modeling reports prepared for Crown Mineral, New Zealand, we concluded that the reason that Kora-4 was dry was due to a lack of source charge ? not to the absence of reservoir quality. Moreover, the Kora-1 well drilled a thick sequence (&gt;1000??m) of pyroclastic flows in this submarine volcano by chance and found high peaks of gas in the mudlogs near the top 25 m of this sequence. A long-term test in this upper volcanic section resulted in 32 API oil flow of 668 barrels of oil per day for 254 h ? a result that challenges the misconception that volcanic rocks cannot be good reservoirs.","author":[{"dropping-particle":"","family":"Infante-Paez","given":"Lennon","non-dropping-particle":"","parse-names":false,"suffix":""},{"dropping-particle":"","family":"Marfurt","given":"Kurt J","non-dropping-particle":"","parse-names":false,"suffix":""}],"container-title":"Interpretation","id":"ITEM-2","issue":"3","issued":{"date-parts":[["2017","4","12"]]},"note":"doi: 10.1190/INT-2016-0244.1","page":"SK121-SK140","publisher":"Society of Exploration Geophysicists","title":"Seismic expression and geomorphology of igneous bodies: A Taranaki Basin, New Zealand, case study","type":"article-journal","volume":"5"},"uris":["http://www.mendeley.com/documents/?uuid=6ba510a1-4f5e-40f7-9f31-1c724f259185"]},{"id":"ITEM-3","itemData":{"DOI":"10.1190/INT-2016-0201.1","ISSN":"2324-8858","abstract":"AbstractThe interaction between magmatism and sedimentation creates a range of petroleum plays at different stratigraphic levels due to the emplacement and burial of volcanoes. This study characterizes the spatio-temporal distribution of the fundamental building blocks (i.e., architectural elements) of a buried volcano and enclosing sedimentary strata to provide insights for hydrocarbon exploration in volcanic systems. We use a large data set of wells and seismic reflection surveys from the offshore Taranaki Basin, New Zealand, compared with outcropping volcanic systems worldwide to demonstrate the local impacts of magmatism on the evolution of the host sedimentary basin and petroleum system. We discover the architecture of Kora volcano, a Miocene andesitic polygenetic stratovolcano that is currently buried by more than 1000 m of sedimentary strata and hosts a subcommercial discovery within volcanogenic deposits. The 22 individual architectural elements have been characterized within three main stratigraphic sequences of the Kora volcanic system. These sequences are referred to as premagmatic (predate magmatism), synmagmatic (defined by the occurrence of intrusive, eruptive, and sedimentary architectural elements), and postmagmatic (degradation and burial of the volcanic structures after magmatism ceased). Potential petroleum plays were identified based on the distribution of the architectural elements and on the geologic circumstances resulting from the interaction between magmatism and sedimentation. At the endogenous level, emplacement of magma forms structural traps, such as drag folds and strata jacked up above intrusions. At the exogenous level, syneruptive, intereruptive, and postmagmatic processes mainly form stratigraphic and paleogeomorphic traps, such as interbedded volcano-sedimentary deposits, and upturned pinchout of volcanogenic and nonvolcanogenic coarse-grained deposits onto the volcanic edifice. Potential reservoirs are located at systematic vertical and lateral distances from eruptive centers. We have determined that identifying the architectural elements of buried volcanoes is necessary for building predictive models and for derisking hydrocarbon exploration in sedimentary basins affected by magmatism.","author":[{"dropping-particle":"","family":"Bischoff","given":"Alan Patrick","non-dropping-particle":"","parse-names":false,"suffix":""},{"dropping-particle":"","family":"Nicol","given":"Andrew","non-dropping-particle":"","parse-names":false,"suffix":""},{"dropping-particle":"","family":"Beggs","given":"Mac","non-dropping-particle":"","parse-names":false,"suffix":""}],"container-title":"Interpretation","id":"ITEM-3","issue":"3","issued":{"date-parts":[["2017","4","17"]]},"note":"doi: 10.1190/INT-2016-0201.1","page":"SK141-SK159","publisher":"Society of Exploration Geophysicists","title":"Stratigraphy of architectural elements in a buried volcanic system and implications for hydrocarbon exploration","type":"article-journal","volume":"5"},"uris":["http://www.mendeley.com/documents/?uuid=f0be9270-5fca-4cb2-907d-b8f95e912759"]}],"mendeley":{"formattedCitation":"(Bischoff et al., 2017; Infante-Paez and Marfurt, 2017; Morley, 2018)","manualFormatting":"(e.g Bischoff et al., 2017; Infante-Paez and Marfurt, 2017; Morley, 2018)","plainTextFormattedCitation":"(Bischoff et al., 2017; Infante-Paez and Marfurt, 2017; Morley, 2018)","previouslyFormattedCitation":"(Bischoff et al., 2017; Infante-Paez and Marfurt, 2017; Morley, 2018)"},"properties":{"noteIndex":0},"schema":"https://github.com/citation-style-language/schema/raw/master/csl-citation.json"}</w:instrText>
      </w:r>
      <w:r>
        <w:rPr>
          <w:bCs/>
        </w:rPr>
        <w:fldChar w:fldCharType="separate"/>
      </w:r>
      <w:r w:rsidRPr="004010C9">
        <w:rPr>
          <w:bCs/>
          <w:noProof/>
        </w:rPr>
        <w:t>(</w:t>
      </w:r>
      <w:r>
        <w:rPr>
          <w:bCs/>
          <w:noProof/>
        </w:rPr>
        <w:t xml:space="preserve">e.g </w:t>
      </w:r>
      <w:r w:rsidRPr="004010C9">
        <w:rPr>
          <w:bCs/>
          <w:noProof/>
        </w:rPr>
        <w:t>Bischoff et al., 2017; Infante-Paez and Marfurt, 2017; Morley, 2018)</w:t>
      </w:r>
      <w:r>
        <w:rPr>
          <w:bCs/>
        </w:rPr>
        <w:fldChar w:fldCharType="end"/>
      </w:r>
      <w:r w:rsidRPr="00F66BCC">
        <w:rPr>
          <w:bCs/>
        </w:rPr>
        <w:t xml:space="preserve">. To create the “RGB” seismic data, we simple select inline, crossline, </w:t>
      </w:r>
      <w:r>
        <w:rPr>
          <w:bCs/>
        </w:rPr>
        <w:t>and</w:t>
      </w:r>
      <w:r w:rsidRPr="00F66BCC">
        <w:rPr>
          <w:bCs/>
        </w:rPr>
        <w:t xml:space="preserve"> time</w:t>
      </w:r>
      <w:r>
        <w:rPr>
          <w:bCs/>
        </w:rPr>
        <w:t xml:space="preserve"> </w:t>
      </w:r>
      <w:r w:rsidRPr="00F66BCC">
        <w:rPr>
          <w:bCs/>
        </w:rPr>
        <w:t>slice</w:t>
      </w:r>
      <w:r>
        <w:rPr>
          <w:bCs/>
        </w:rPr>
        <w:t>s</w:t>
      </w:r>
      <w:r w:rsidRPr="00F66BCC">
        <w:rPr>
          <w:bCs/>
        </w:rPr>
        <w:t xml:space="preserve">. </w:t>
      </w:r>
      <w:r w:rsidRPr="00F66BCC">
        <w:rPr>
          <w:bCs/>
        </w:rPr>
        <w:fldChar w:fldCharType="begin"/>
      </w:r>
      <w:r w:rsidRPr="00F66BCC">
        <w:rPr>
          <w:bCs/>
        </w:rPr>
        <w:instrText xml:space="preserve"> REF _Ref23792420 \h </w:instrText>
      </w:r>
      <w:r>
        <w:rPr>
          <w:bCs/>
        </w:rPr>
        <w:instrText xml:space="preserve"> \* MERGEFORMAT </w:instrText>
      </w:r>
      <w:r w:rsidRPr="00F66BCC">
        <w:rPr>
          <w:bCs/>
        </w:rPr>
      </w:r>
      <w:r w:rsidRPr="00F66BCC">
        <w:rPr>
          <w:bCs/>
        </w:rPr>
        <w:fldChar w:fldCharType="separate"/>
      </w:r>
      <w:r w:rsidRPr="00F66BCC">
        <w:rPr>
          <w:bCs/>
        </w:rPr>
        <w:t>Figure 5</w:t>
      </w:r>
      <w:r w:rsidRPr="00F66BCC">
        <w:rPr>
          <w:bCs/>
        </w:rPr>
        <w:fldChar w:fldCharType="end"/>
      </w:r>
      <w:r w:rsidRPr="00F66BCC">
        <w:rPr>
          <w:bCs/>
        </w:rPr>
        <w:t xml:space="preserve"> shows examples of the toy dataset we use. We rescale the images to 100 x 100 pixels, </w:t>
      </w:r>
      <w:r>
        <w:rPr>
          <w:bCs/>
        </w:rPr>
        <w:t xml:space="preserve">where we </w:t>
      </w:r>
      <w:r w:rsidRPr="00F66BCC">
        <w:rPr>
          <w:bCs/>
        </w:rPr>
        <w:t xml:space="preserve">note the fossil class gets distorted as it was originally rectangular. </w:t>
      </w:r>
      <w:r>
        <w:rPr>
          <w:bCs/>
        </w:rPr>
        <w:t>T</w:t>
      </w:r>
      <w:r w:rsidRPr="00F66BCC">
        <w:rPr>
          <w:bCs/>
        </w:rPr>
        <w:t xml:space="preserve">he similarity between inline and crossline is so small </w:t>
      </w:r>
      <w:r>
        <w:rPr>
          <w:bCs/>
        </w:rPr>
        <w:t xml:space="preserve">that </w:t>
      </w:r>
      <w:r w:rsidRPr="00F66BCC">
        <w:rPr>
          <w:bCs/>
        </w:rPr>
        <w:t>the images appear almost gray, time</w:t>
      </w:r>
      <w:r>
        <w:rPr>
          <w:bCs/>
        </w:rPr>
        <w:t xml:space="preserve"> </w:t>
      </w:r>
      <w:r w:rsidRPr="00F66BCC">
        <w:rPr>
          <w:bCs/>
        </w:rPr>
        <w:t xml:space="preserve">slices show slightly larger variation with some color highlighting some channels. </w:t>
      </w:r>
      <w:r>
        <w:rPr>
          <w:bCs/>
        </w:rPr>
        <w:t>Our goal is</w:t>
      </w:r>
      <w:r w:rsidRPr="00F66BCC">
        <w:rPr>
          <w:bCs/>
        </w:rPr>
        <w:t xml:space="preserve"> to train a CNN to be able to distinguish such toy data. Here we do not separate the data into training, validation, and test set, as we are mostly interested in observ</w:t>
      </w:r>
      <w:r>
        <w:rPr>
          <w:bCs/>
        </w:rPr>
        <w:t>ing</w:t>
      </w:r>
      <w:r w:rsidRPr="00F66BCC">
        <w:rPr>
          <w:bCs/>
        </w:rPr>
        <w:t xml:space="preserve"> how CNN changes the data rather than </w:t>
      </w:r>
      <w:r>
        <w:rPr>
          <w:bCs/>
        </w:rPr>
        <w:t xml:space="preserve">in </w:t>
      </w:r>
      <w:r w:rsidRPr="00F66BCC">
        <w:rPr>
          <w:bCs/>
        </w:rPr>
        <w:t>properly train</w:t>
      </w:r>
      <w:r>
        <w:rPr>
          <w:bCs/>
        </w:rPr>
        <w:t>ing</w:t>
      </w:r>
      <w:r w:rsidRPr="00F66BCC">
        <w:rPr>
          <w:bCs/>
        </w:rPr>
        <w:t xml:space="preserve"> a model to classify images. </w:t>
      </w:r>
    </w:p>
    <w:p w14:paraId="1F2C07CD" w14:textId="77777777" w:rsidR="0053410A" w:rsidRDefault="0053410A" w:rsidP="0053410A">
      <w:pPr>
        <w:pStyle w:val="SEGBodyText"/>
        <w:rPr>
          <w:bCs/>
        </w:rPr>
      </w:pPr>
      <w:r w:rsidRPr="00F66BCC">
        <w:rPr>
          <w:bCs/>
        </w:rPr>
        <w:t xml:space="preserve">The CNN model we use is also simple. It is composed of an input layer receiving images with the shape 100 x 100 x 3, </w:t>
      </w:r>
      <w:r>
        <w:rPr>
          <w:bCs/>
        </w:rPr>
        <w:t>followed by</w:t>
      </w:r>
      <w:r w:rsidRPr="00F66BCC">
        <w:rPr>
          <w:bCs/>
        </w:rPr>
        <w:t xml:space="preserve"> a convolutional layer with eight </w:t>
      </w:r>
      <w:r>
        <w:rPr>
          <w:bCs/>
        </w:rPr>
        <w:t>filter</w:t>
      </w:r>
      <w:r w:rsidRPr="00F66BCC">
        <w:rPr>
          <w:bCs/>
        </w:rPr>
        <w:t xml:space="preserve">s </w:t>
      </w:r>
      <w:r>
        <w:rPr>
          <w:bCs/>
        </w:rPr>
        <w:t>of</w:t>
      </w:r>
      <w:r w:rsidRPr="00F66BCC">
        <w:rPr>
          <w:bCs/>
        </w:rPr>
        <w:t xml:space="preserve"> size 3 x 3, a </w:t>
      </w:r>
      <w:r w:rsidRPr="00F66BCC">
        <w:rPr>
          <w:bCs/>
        </w:rPr>
        <w:lastRenderedPageBreak/>
        <w:t xml:space="preserve">max pooling layer with size 2 x 2 and stride two, another convolutional layer with 16 </w:t>
      </w:r>
      <w:r>
        <w:rPr>
          <w:bCs/>
        </w:rPr>
        <w:t>filter</w:t>
      </w:r>
      <w:r w:rsidRPr="00F66BCC">
        <w:rPr>
          <w:bCs/>
        </w:rPr>
        <w:t xml:space="preserve">s </w:t>
      </w:r>
      <w:r>
        <w:rPr>
          <w:bCs/>
        </w:rPr>
        <w:t>of</w:t>
      </w:r>
      <w:r w:rsidRPr="00F66BCC">
        <w:rPr>
          <w:bCs/>
        </w:rPr>
        <w:t xml:space="preserve"> size 3 x 3, a max pooling layer with size 2 x 2 and stride two, a convolutional layer with 32 </w:t>
      </w:r>
      <w:r>
        <w:rPr>
          <w:bCs/>
        </w:rPr>
        <w:t>filter</w:t>
      </w:r>
      <w:r w:rsidRPr="00F66BCC">
        <w:rPr>
          <w:bCs/>
        </w:rPr>
        <w:t xml:space="preserve">s </w:t>
      </w:r>
      <w:r>
        <w:rPr>
          <w:bCs/>
        </w:rPr>
        <w:t>of</w:t>
      </w:r>
      <w:r w:rsidRPr="00F66BCC">
        <w:rPr>
          <w:bCs/>
        </w:rPr>
        <w:t xml:space="preserve"> size 3 x 3, a max pooling layer with size 2 x 2 and stride two, </w:t>
      </w:r>
      <w:r>
        <w:rPr>
          <w:bCs/>
        </w:rPr>
        <w:t>and finally a</w:t>
      </w:r>
      <w:r w:rsidRPr="00F66BCC">
        <w:rPr>
          <w:bCs/>
        </w:rPr>
        <w:t xml:space="preserve"> fully connected neural layer with three outputs. The activation function of the convolutional layers </w:t>
      </w:r>
      <w:r>
        <w:rPr>
          <w:bCs/>
        </w:rPr>
        <w:t>is</w:t>
      </w:r>
      <w:r w:rsidRPr="00F66BCC">
        <w:rPr>
          <w:bCs/>
        </w:rPr>
        <w:t xml:space="preserve"> the rectified linear unit (ReLU), which is simply the half-wave rectifier</w:t>
      </w:r>
    </w:p>
    <w:p w14:paraId="7733FF6A" w14:textId="77777777" w:rsidR="0053410A" w:rsidRDefault="0053410A" w:rsidP="00C17359">
      <w:pPr>
        <w:pStyle w:val="SEGBodyText"/>
        <w:ind w:firstLine="0"/>
        <w:jc w:val="center"/>
        <w:rPr>
          <w:bCs/>
        </w:rPr>
      </w:pPr>
      <m:oMath>
        <m:r>
          <w:rPr>
            <w:rFonts w:ascii="Cambria Math" w:hAnsi="Cambria Math"/>
          </w:rPr>
          <m:t>f</m:t>
        </m:r>
        <m:r>
          <m:rPr>
            <m:sty m:val="p"/>
          </m:rPr>
          <w:rPr>
            <w:rFonts w:ascii="Cambria Math" w:hAnsi="Cambria Math"/>
          </w:rPr>
          <m:t>(</m:t>
        </m:r>
        <m:r>
          <w:rPr>
            <w:rFonts w:ascii="Cambria Math" w:hAnsi="Cambria Math"/>
          </w:rPr>
          <m:t>z</m:t>
        </m:r>
        <m:r>
          <m:rPr>
            <m:sty m:val="p"/>
          </m:rPr>
          <w:rPr>
            <w:rFonts w:ascii="Cambria Math" w:hAnsi="Cambria Math"/>
          </w:rPr>
          <m:t xml:space="preserve">) = </m:t>
        </m:r>
        <m:r>
          <w:rPr>
            <w:rFonts w:ascii="Cambria Math" w:hAnsi="Cambria Math"/>
          </w:rPr>
          <m:t>max</m:t>
        </m:r>
        <m:r>
          <m:rPr>
            <m:sty m:val="p"/>
          </m:rPr>
          <w:rPr>
            <w:rFonts w:ascii="Cambria Math" w:hAnsi="Cambria Math"/>
          </w:rPr>
          <m:t>(</m:t>
        </m:r>
        <m:r>
          <w:rPr>
            <w:rFonts w:ascii="Cambria Math" w:hAnsi="Cambria Math"/>
          </w:rPr>
          <m:t>z</m:t>
        </m:r>
        <m:r>
          <m:rPr>
            <m:sty m:val="p"/>
          </m:rPr>
          <w:rPr>
            <w:rFonts w:ascii="Cambria Math" w:hAnsi="Cambria Math"/>
          </w:rPr>
          <m:t>, 0)</m:t>
        </m:r>
      </m:oMath>
      <w:r>
        <w:rPr>
          <w:bCs/>
        </w:rPr>
        <w:t>.</w:t>
      </w:r>
    </w:p>
    <w:p w14:paraId="20DA6B56" w14:textId="77777777" w:rsidR="0053410A" w:rsidRDefault="0053410A" w:rsidP="0053410A">
      <w:pPr>
        <w:pStyle w:val="SEGBodyText"/>
        <w:ind w:firstLine="0"/>
        <w:rPr>
          <w:bCs/>
        </w:rPr>
      </w:pPr>
      <w:r w:rsidRPr="00F66BCC">
        <w:rPr>
          <w:bCs/>
        </w:rPr>
        <w:t xml:space="preserve"> The activation of the last layer with three outputs uses the softmax activation</w:t>
      </w:r>
    </w:p>
    <w:p w14:paraId="76549662" w14:textId="77777777" w:rsidR="0053410A" w:rsidRDefault="0053410A" w:rsidP="00C17359">
      <w:pPr>
        <w:pStyle w:val="SEGBodyText"/>
        <w:ind w:firstLine="0"/>
        <w:jc w:val="center"/>
        <w:rPr>
          <w:bCs/>
        </w:rPr>
      </w:pPr>
      <m:oMath>
        <m:r>
          <w:rPr>
            <w:rFonts w:ascii="Cambria Math" w:hAnsi="Cambria Math"/>
          </w:rPr>
          <m:t>f</m:t>
        </m:r>
        <m:d>
          <m:dPr>
            <m:ctrlPr>
              <w:rPr>
                <w:rFonts w:ascii="Cambria Math" w:hAnsi="Cambria Math"/>
                <w:bCs/>
              </w:rPr>
            </m:ctrlPr>
          </m:dPr>
          <m:e>
            <m:sSub>
              <m:sSubPr>
                <m:ctrlPr>
                  <w:rPr>
                    <w:rFonts w:ascii="Cambria Math" w:hAnsi="Cambria Math"/>
                    <w:bCs/>
                  </w:rPr>
                </m:ctrlPr>
              </m:sSubPr>
              <m:e>
                <m:r>
                  <w:rPr>
                    <w:rFonts w:ascii="Cambria Math" w:hAnsi="Cambria Math"/>
                  </w:rPr>
                  <m:t>z</m:t>
                </m:r>
              </m:e>
              <m:sub>
                <m:r>
                  <w:rPr>
                    <w:rFonts w:ascii="Cambria Math" w:hAnsi="Cambria Math"/>
                  </w:rPr>
                  <m:t>i</m:t>
                </m:r>
              </m:sub>
            </m:sSub>
          </m:e>
        </m:d>
        <m:r>
          <m:rPr>
            <m:sty m:val="p"/>
          </m:rPr>
          <w:rPr>
            <w:rFonts w:ascii="Cambria Math" w:hAnsi="Cambria Math"/>
          </w:rPr>
          <m:t>=</m:t>
        </m:r>
        <m:f>
          <m:fPr>
            <m:ctrlPr>
              <w:rPr>
                <w:rFonts w:ascii="Cambria Math" w:hAnsi="Cambria Math"/>
                <w:bCs/>
              </w:rPr>
            </m:ctrlPr>
          </m:fPr>
          <m:num>
            <m:sSup>
              <m:sSupPr>
                <m:ctrlPr>
                  <w:rPr>
                    <w:rFonts w:ascii="Cambria Math" w:hAnsi="Cambria Math"/>
                    <w:bCs/>
                  </w:rPr>
                </m:ctrlPr>
              </m:sSupPr>
              <m:e>
                <m:r>
                  <w:rPr>
                    <w:rFonts w:ascii="Cambria Math" w:hAnsi="Cambria Math"/>
                  </w:rPr>
                  <m:t>e</m:t>
                </m:r>
              </m:e>
              <m:sup>
                <m:sSub>
                  <m:sSubPr>
                    <m:ctrlPr>
                      <w:rPr>
                        <w:rFonts w:ascii="Cambria Math" w:hAnsi="Cambria Math"/>
                        <w:bCs/>
                      </w:rPr>
                    </m:ctrlPr>
                  </m:sSubPr>
                  <m:e>
                    <m:r>
                      <w:rPr>
                        <w:rFonts w:ascii="Cambria Math" w:hAnsi="Cambria Math"/>
                      </w:rPr>
                      <m:t>z</m:t>
                    </m:r>
                  </m:e>
                  <m:sub>
                    <m:r>
                      <w:rPr>
                        <w:rFonts w:ascii="Cambria Math" w:hAnsi="Cambria Math"/>
                      </w:rPr>
                      <m:t>i</m:t>
                    </m:r>
                  </m:sub>
                </m:sSub>
              </m:sup>
            </m:sSup>
          </m:num>
          <m:den>
            <m:nary>
              <m:naryPr>
                <m:chr m:val="∑"/>
                <m:limLoc m:val="undOvr"/>
                <m:ctrlPr>
                  <w:rPr>
                    <w:rFonts w:ascii="Cambria Math" w:hAnsi="Cambria Math"/>
                    <w:bCs/>
                  </w:rPr>
                </m:ctrlPr>
              </m:naryPr>
              <m:sub>
                <m:r>
                  <w:rPr>
                    <w:rFonts w:ascii="Cambria Math" w:hAnsi="Cambria Math"/>
                  </w:rPr>
                  <m:t>j</m:t>
                </m:r>
                <m:r>
                  <m:rPr>
                    <m:sty m:val="p"/>
                  </m:rPr>
                  <w:rPr>
                    <w:rFonts w:ascii="Cambria Math" w:hAnsi="Cambria Math"/>
                  </w:rPr>
                  <m:t>=1</m:t>
                </m:r>
              </m:sub>
              <m:sup>
                <m:r>
                  <w:rPr>
                    <w:rFonts w:ascii="Cambria Math" w:hAnsi="Cambria Math"/>
                  </w:rPr>
                  <m:t>n</m:t>
                </m:r>
              </m:sup>
              <m:e>
                <m:sSup>
                  <m:sSupPr>
                    <m:ctrlPr>
                      <w:rPr>
                        <w:rFonts w:ascii="Cambria Math" w:hAnsi="Cambria Math"/>
                        <w:bCs/>
                      </w:rPr>
                    </m:ctrlPr>
                  </m:sSupPr>
                  <m:e>
                    <m:r>
                      <w:rPr>
                        <w:rFonts w:ascii="Cambria Math" w:hAnsi="Cambria Math"/>
                      </w:rPr>
                      <m:t>e</m:t>
                    </m:r>
                  </m:e>
                  <m:sup>
                    <m:sSub>
                      <m:sSubPr>
                        <m:ctrlPr>
                          <w:rPr>
                            <w:rFonts w:ascii="Cambria Math" w:hAnsi="Cambria Math"/>
                            <w:bCs/>
                          </w:rPr>
                        </m:ctrlPr>
                      </m:sSubPr>
                      <m:e>
                        <m:r>
                          <w:rPr>
                            <w:rFonts w:ascii="Cambria Math" w:hAnsi="Cambria Math"/>
                          </w:rPr>
                          <m:t>z</m:t>
                        </m:r>
                      </m:e>
                      <m:sub>
                        <m:r>
                          <w:rPr>
                            <w:rFonts w:ascii="Cambria Math" w:hAnsi="Cambria Math"/>
                          </w:rPr>
                          <m:t>j</m:t>
                        </m:r>
                      </m:sub>
                    </m:sSub>
                  </m:sup>
                </m:sSup>
              </m:e>
            </m:nary>
          </m:den>
        </m:f>
      </m:oMath>
      <w:r w:rsidRPr="00F66BCC">
        <w:rPr>
          <w:bCs/>
        </w:rPr>
        <w:t>.</w:t>
      </w:r>
    </w:p>
    <w:p w14:paraId="261A2D22" w14:textId="77777777" w:rsidR="0053410A" w:rsidRPr="00F66BCC" w:rsidRDefault="0053410A" w:rsidP="0053410A">
      <w:pPr>
        <w:pStyle w:val="SEGBodyText"/>
        <w:ind w:firstLine="0"/>
        <w:rPr>
          <w:bCs/>
        </w:rPr>
      </w:pPr>
      <w:r w:rsidRPr="00F66BCC">
        <w:rPr>
          <w:bCs/>
        </w:rPr>
        <w:t xml:space="preserve"> </w:t>
      </w:r>
      <w:r w:rsidRPr="00F66BCC">
        <w:rPr>
          <w:bCs/>
        </w:rPr>
        <w:fldChar w:fldCharType="begin"/>
      </w:r>
      <w:r w:rsidRPr="00F66BCC">
        <w:rPr>
          <w:bCs/>
        </w:rPr>
        <w:instrText xml:space="preserve"> REF _Ref23795978 \h </w:instrText>
      </w:r>
      <w:r>
        <w:rPr>
          <w:bCs/>
        </w:rPr>
        <w:instrText xml:space="preserve"> \* MERGEFORMAT </w:instrText>
      </w:r>
      <w:r w:rsidRPr="00F66BCC">
        <w:rPr>
          <w:bCs/>
        </w:rPr>
      </w:r>
      <w:r w:rsidRPr="00F66BCC">
        <w:rPr>
          <w:bCs/>
        </w:rPr>
        <w:fldChar w:fldCharType="separate"/>
      </w:r>
      <w:r w:rsidRPr="00F66BCC">
        <w:rPr>
          <w:bCs/>
        </w:rPr>
        <w:t>Figure 6</w:t>
      </w:r>
      <w:r w:rsidRPr="00F66BCC">
        <w:rPr>
          <w:bCs/>
        </w:rPr>
        <w:fldChar w:fldCharType="end"/>
      </w:r>
      <w:r w:rsidRPr="00F66BCC">
        <w:rPr>
          <w:bCs/>
        </w:rPr>
        <w:t xml:space="preserve"> shows a visual representation of the simple CNN we use. </w:t>
      </w:r>
      <w:r w:rsidRPr="00F66BCC">
        <w:rPr>
          <w:bCs/>
        </w:rPr>
        <w:fldChar w:fldCharType="begin" w:fldLock="1"/>
      </w:r>
      <w:r w:rsidRPr="00F66BCC">
        <w:rPr>
          <w:bCs/>
        </w:rPr>
        <w:instrText>ADDIN CSL_CITATION {"citationItems":[{"id":"ITEM-1","itemData":{"author":[{"dropping-particle":"","family":"Dumoulin","given":"V","non-dropping-particle":"","parse-names":false,"suffix":""},{"dropping-particle":"","family":"Visin","given":"F","non-dropping-particle":"","parse-names":false,"suffix":""}],"container-title":"ArXiv e-prints","id":"ITEM-1","issued":{"date-parts":[["2016","3"]]},"title":"A guide to convolution arithmetic for deep learning","type":"article-journal"},"uris":["http://www.mendeley.com/documents/?uuid=ca964fad-8eae-4ccf-aa36-0a3d2463c2ff"]}],"mendeley":{"formattedCitation":"(Dumoulin and Visin, 2016)","manualFormatting":"Dumoulin and Visin, (2016)","plainTextFormattedCitation":"(Dumoulin and Visin, 2016)","previouslyFormattedCitation":"(Dumoulin and Visin, 2016)"},"properties":{"noteIndex":0},"schema":"https://github.com/citation-style-language/schema/raw/master/csl-citation.json"}</w:instrText>
      </w:r>
      <w:r w:rsidRPr="00F66BCC">
        <w:rPr>
          <w:bCs/>
        </w:rPr>
        <w:fldChar w:fldCharType="separate"/>
      </w:r>
      <w:r w:rsidRPr="00F66BCC">
        <w:rPr>
          <w:bCs/>
          <w:noProof/>
        </w:rPr>
        <w:t>Dumoulin and Visin, (2016)</w:t>
      </w:r>
      <w:r w:rsidRPr="00F66BCC">
        <w:rPr>
          <w:bCs/>
        </w:rPr>
        <w:fldChar w:fldCharType="end"/>
      </w:r>
      <w:r w:rsidRPr="00F66BCC">
        <w:rPr>
          <w:bCs/>
        </w:rPr>
        <w:t xml:space="preserve"> presents details o</w:t>
      </w:r>
      <w:r>
        <w:rPr>
          <w:bCs/>
        </w:rPr>
        <w:t>f</w:t>
      </w:r>
      <w:r w:rsidRPr="00F66BCC">
        <w:rPr>
          <w:bCs/>
        </w:rPr>
        <w:t xml:space="preserve"> the arithmetic useful for CNNs. Note we use “valid” padding, meaning we can only apply the </w:t>
      </w:r>
      <w:r>
        <w:rPr>
          <w:bCs/>
        </w:rPr>
        <w:t>filter</w:t>
      </w:r>
      <w:r w:rsidRPr="00F66BCC">
        <w:rPr>
          <w:bCs/>
        </w:rPr>
        <w:t xml:space="preserve">s where there is an input and we do not change the size of the </w:t>
      </w:r>
      <w:r>
        <w:rPr>
          <w:bCs/>
        </w:rPr>
        <w:t>filter</w:t>
      </w:r>
      <w:r w:rsidRPr="00F66BCC">
        <w:rPr>
          <w:bCs/>
        </w:rPr>
        <w:t>s, therefore the shape of the channels is reduced after each one of the convolutions. Max pool</w:t>
      </w:r>
      <w:r>
        <w:rPr>
          <w:bCs/>
        </w:rPr>
        <w:t>ing</w:t>
      </w:r>
      <w:r w:rsidRPr="00F66BCC">
        <w:rPr>
          <w:bCs/>
        </w:rPr>
        <w:t xml:space="preserve"> with size 2 x 2 and stride two should reduce the shape of the channel exactly in half, but because the inputs are odd the last value is dropped. We use TensorFlow </w:t>
      </w:r>
      <w:r w:rsidRPr="00F66BCC">
        <w:rPr>
          <w:bCs/>
        </w:rPr>
        <w:fldChar w:fldCharType="begin" w:fldLock="1"/>
      </w:r>
      <w:r w:rsidRPr="00F66BCC">
        <w:rPr>
          <w:bCs/>
        </w:rPr>
        <w:instrText>ADDIN CSL_CITATION {"citationItems":[{"id":"ITEM-1","itemData":{"author":[{"dropping-particle":"","family":"Abadi","given":"Martin","non-dropping-particle":"","parse-names":false,"suffix":""},{"dropping-particle":"","family":"Barham","given":"Paul","non-dropping-particle":"","parse-names":false,"suffix":""},{"dropping-particle":"","family":"Chen","given":"Jianmin","non-dropping-particle":"","parse-names":false,"suffix":""},{"dropping-particle":"","family":"Chen","given":"Zhifeng","non-dropping-particle":"","parse-names":false,"suffix":""},{"dropping-particle":"","family":"Davis","given":"Andy","non-dropping-particle":"","parse-names":false,"suffix":""},{"dropping-particle":"","family":"Dean","given":"Jeffrey","non-dropping-particle":"","parse-names":false,"suffix":""},{"dropping-particle":"","family":"Devin","given":"Matthieu","non-dropping-particle":"","parse-names":false,"suffix":""},{"dropping-particle":"","family":"Ghemawat","given":"Sanjay","non-dropping-particle":"","parse-names":false,"suffix":""},{"dropping-particle":"","family":"Irving","given":"Geoffrey","non-dropping-particle":"","parse-names":false,"suffix":""},{"dropping-particle":"","family":"Isard","given":"Michael","non-dropping-particle":"","parse-names":false,"suffix":""},{"dropping-particle":"","family":"Kudlur","given":"Manjunath","non-dropping-particle":"","parse-names":false,"suffix":""},{"dropping-particle":"","family":"Levenberg","given":"Josh","non-dropping-particle":"","parse-names":false,"suffix":""},{"dropping-particle":"","family":"Monga","given":"Rajat","non-dropping-particle":"","parse-names":false,"suffix":""},{"dropping-particle":"","family":"Moore","given":"Sherry","non-dropping-particle":"","parse-names":false,"suffix":""},{"dropping-particle":"","family":"Murray","given":"Derek G","non-dropping-particle":"","parse-names":false,"suffix":""},{"dropping-particle":"","family":"Steiner","given":"Benoit","non-dropping-particle":"","parse-names":false,"suffix":""},{"dropping-particle":"","family":"Tucker","given":"Paul","non-dropping-particle":"","parse-names":false,"suffix":""},{"dropping-particle":"","family":"Vasudevan","given":"Vijay","non-dropping-particle":"","parse-names":false,"suffix":""},{"dropping-particle":"","family":"Warden","given":"Pete","non-dropping-particle":"","parse-names":false,"suffix":""},{"dropping-particle":"","family":"Wicke","given":"Martin","non-dropping-particle":"","parse-names":false,"suffix":""},{"dropping-particle":"","family":"Yu","given":"Yuan","non-dropping-particle":"","parse-names":false,"suffix":""},{"dropping-particle":"","family":"Zheng","given":"Xiaoqiang","non-dropping-particle":"","parse-names":false,"suffix":""}],"container-title":"12th USENIX Symposium on Operating Systems Design and Implementation (OSDI 16)","id":"ITEM-1","issued":{"date-parts":[["2016"]]},"page":"265-283","title":"TensorFlow: A system for large-scale machine learning","type":"paper-conference"},"uris":["http://www.mendeley.com/documents/?uuid=1209d133-c63c-45f5-b9a7-3e214a0558f1"]}],"mendeley":{"formattedCitation":"(Abadi et al., 2016)","plainTextFormattedCitation":"(Abadi et al., 2016)","previouslyFormattedCitation":"(Abadi et al., 2016)"},"properties":{"noteIndex":0},"schema":"https://github.com/citation-style-language/schema/raw/master/csl-citation.json"}</w:instrText>
      </w:r>
      <w:r w:rsidRPr="00F66BCC">
        <w:rPr>
          <w:bCs/>
        </w:rPr>
        <w:fldChar w:fldCharType="separate"/>
      </w:r>
      <w:r w:rsidRPr="00F66BCC">
        <w:rPr>
          <w:bCs/>
          <w:noProof/>
        </w:rPr>
        <w:t>(Abadi et al., 2016)</w:t>
      </w:r>
      <w:r w:rsidRPr="00F66BCC">
        <w:rPr>
          <w:bCs/>
        </w:rPr>
        <w:fldChar w:fldCharType="end"/>
      </w:r>
      <w:r w:rsidRPr="00F66BCC">
        <w:rPr>
          <w:bCs/>
        </w:rPr>
        <w:t xml:space="preserve"> to implement the CNN model.</w:t>
      </w:r>
    </w:p>
    <w:p w14:paraId="55422AD2" w14:textId="77777777" w:rsidR="0053410A" w:rsidRDefault="0053410A" w:rsidP="0053410A">
      <w:pPr>
        <w:pStyle w:val="SEGBodyText"/>
        <w:keepNext/>
        <w:ind w:firstLine="0"/>
      </w:pPr>
      <w:r>
        <w:rPr>
          <w:noProof/>
        </w:rPr>
        <w:lastRenderedPageBreak/>
        <w:drawing>
          <wp:inline distT="0" distB="0" distL="0" distR="0" wp14:anchorId="3E1D04CA" wp14:editId="3CFE2E8B">
            <wp:extent cx="5514975" cy="5327146"/>
            <wp:effectExtent l="0" t="0" r="0" b="698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28425" cy="5340138"/>
                    </a:xfrm>
                    <a:prstGeom prst="rect">
                      <a:avLst/>
                    </a:prstGeom>
                    <a:noFill/>
                  </pic:spPr>
                </pic:pic>
              </a:graphicData>
            </a:graphic>
          </wp:inline>
        </w:drawing>
      </w:r>
    </w:p>
    <w:p w14:paraId="6671A057" w14:textId="77777777" w:rsidR="0053410A" w:rsidRDefault="0053410A" w:rsidP="00607DF1">
      <w:pPr>
        <w:pStyle w:val="Caption"/>
      </w:pPr>
      <w:bookmarkStart w:id="32" w:name="_Ref23792420"/>
      <w:bookmarkStart w:id="33" w:name="_Toc23799392"/>
      <w:bookmarkStart w:id="34" w:name="_Toc26534491"/>
      <w:r>
        <w:t xml:space="preserve">Figure </w:t>
      </w:r>
      <w:r w:rsidR="00CE1F3C">
        <w:fldChar w:fldCharType="begin"/>
      </w:r>
      <w:r w:rsidR="00CE1F3C">
        <w:instrText xml:space="preserve"> SEQ Figure \* ARABIC </w:instrText>
      </w:r>
      <w:r w:rsidR="00CE1F3C">
        <w:fldChar w:fldCharType="separate"/>
      </w:r>
      <w:r>
        <w:rPr>
          <w:noProof/>
        </w:rPr>
        <w:t>5</w:t>
      </w:r>
      <w:r w:rsidR="00CE1F3C">
        <w:rPr>
          <w:noProof/>
        </w:rPr>
        <w:fldChar w:fldCharType="end"/>
      </w:r>
      <w:bookmarkEnd w:id="32"/>
      <w:r>
        <w:t xml:space="preserve">: </w:t>
      </w:r>
      <w:r w:rsidRPr="00FF2C8F">
        <w:t xml:space="preserve">Examples of the toy dataset we use to illustrate CNN models. </w:t>
      </w:r>
      <w:r>
        <w:t>(a)</w:t>
      </w:r>
      <w:r w:rsidRPr="00FF2C8F">
        <w:t xml:space="preserve"> shows examples of the class “fossil”</w:t>
      </w:r>
      <w:r>
        <w:t xml:space="preserve"> coming from </w:t>
      </w:r>
      <w:r>
        <w:fldChar w:fldCharType="begin" w:fldLock="1"/>
      </w:r>
      <w:r>
        <w:instrText>ADDIN CSL_CITATION {"citationItems":[{"id":"ITEM-1","itemData":{"author":[{"dropping-particle":"","family":"Waddell","given":"Dwight E.","non-dropping-particle":"","parse-names":false,"suffix":""}],"id":"ITEM-1","issued":{"date-parts":[["1966"]]},"number-of-pages":"128","publisher":"Oklahoma Geological Survey Bulletin 113","title":"Pennsylvanian fusulinids in the Ardmore Basin - Love and Carter counties, Oklahoma","type":"book"},"uris":["http://www.mendeley.com/documents/?uuid=f2560a3c-3292-3144-a6dd-1539181ffbaa"]}],"mendeley":{"formattedCitation":"(Waddell, 1966)","manualFormatting":"Waddell's (1966)","plainTextFormattedCitation":"(Waddell, 1966)","previouslyFormattedCitation":"(Waddell, 1966)"},"properties":{"noteIndex":0},"schema":"https://github.com/citation-style-language/schema/raw/master/csl-citation.json"}</w:instrText>
      </w:r>
      <w:r>
        <w:fldChar w:fldCharType="separate"/>
      </w:r>
      <w:r w:rsidRPr="00FF2C8F">
        <w:rPr>
          <w:noProof/>
        </w:rPr>
        <w:t>Waddell</w:t>
      </w:r>
      <w:r>
        <w:rPr>
          <w:noProof/>
        </w:rPr>
        <w:t>'s</w:t>
      </w:r>
      <w:r w:rsidRPr="00FF2C8F">
        <w:rPr>
          <w:noProof/>
        </w:rPr>
        <w:t xml:space="preserve"> </w:t>
      </w:r>
      <w:r>
        <w:rPr>
          <w:noProof/>
        </w:rPr>
        <w:t>(</w:t>
      </w:r>
      <w:r w:rsidRPr="00FF2C8F">
        <w:rPr>
          <w:noProof/>
        </w:rPr>
        <w:t>1966)</w:t>
      </w:r>
      <w:r>
        <w:fldChar w:fldCharType="end"/>
      </w:r>
      <w:r>
        <w:t xml:space="preserve"> collection</w:t>
      </w:r>
      <w:r w:rsidRPr="00FF2C8F">
        <w:t xml:space="preserve">, </w:t>
      </w:r>
      <w:r>
        <w:t xml:space="preserve">(b) </w:t>
      </w:r>
      <w:r w:rsidRPr="00FF2C8F">
        <w:t xml:space="preserve"> shows examples of the class “oil well”</w:t>
      </w:r>
      <w:r>
        <w:t xml:space="preserve"> coming from </w:t>
      </w:r>
      <w:r>
        <w:fldChar w:fldCharType="begin" w:fldLock="1"/>
      </w:r>
      <w:r>
        <w:instrText>ADDIN CSL_CITATION {"citationItems":[{"id":"ITEM-1","itemData":{"DOI":"10.1016/J.ISPRSJPRS.2018.01.004","ISSN":"0924-2716","abstract":"Benchmark datasets are critical for developing, evaluating, and comparing remote sensing image retrieval (RSIR) approaches. However, current benchmark datasets are deficient in that (1) they were originally collected for land use/land cover classification instead of RSIR; (2) they are relatively small in terms of the number of classes as well as the number of images per class which makes them unsuitable for developing deep learning based approaches; and (3) they are not appropriate for RSIR due to the large amount of background present in the images. These limitations restrict the development of novel approaches for RSIR, particularly those based on deep learning which require large amounts of training data. We therefore present a new large-scale remote sensing dataset termed “PatternNet” that was collected specifically for RSIR. PatternNet was collected from high-resolution imagery and contains 38 classes with 800 images per class. Significantly, PatternNet’s large scale makes it suitable for developing novel, deep learning based approaches for RSIR. We use PatternNet to evaluate the performance of over 35 RSIR methods ranging from traditional handcrafted feature based methods to recent, deep learning based ones. These results serve as a baseline for future research on RSIR.","author":[{"dropping-particle":"","family":"Zhou","given":"Weixun","non-dropping-particle":"","parse-names":false,"suffix":""},{"dropping-particle":"","family":"Newsam","given":"Shawn","non-dropping-particle":"","parse-names":false,"suffix":""},{"dropping-particle":"","family":"Li","given":"Congmin","non-dropping-particle":"","parse-names":false,"suffix":""},{"dropping-particle":"","family":"Shao","given":"Zhenfeng","non-dropping-particle":"","parse-names":false,"suffix":""}],"container-title":"ISPRS Journal of Photogrammetry and Remote Sensing","id":"ITEM-1","issued":{"date-parts":[["2018","11","1"]]},"page":"197-209","publisher":"Elsevier","title":"PatternNet: A benchmark dataset for performance evaluation of remote sensing image retrieval","type":"article-journal","volume":"145"},"uris":["http://www.mendeley.com/documents/?uuid=7af9c309-4a75-3f76-b357-a7e54351a9ff"]}],"mendeley":{"formattedCitation":"(Zhou et al., 2018)","manualFormatting":"Zhou et al.'s (2018)","plainTextFormattedCitation":"(Zhou et al., 2018)","previouslyFormattedCitation":"(Zhou et al., 2018)"},"properties":{"noteIndex":0},"schema":"https://github.com/citation-style-language/schema/raw/master/csl-citation.json"}</w:instrText>
      </w:r>
      <w:r>
        <w:fldChar w:fldCharType="separate"/>
      </w:r>
      <w:r>
        <w:rPr>
          <w:noProof/>
        </w:rPr>
        <w:t>Zhou et al.'s</w:t>
      </w:r>
      <w:r w:rsidRPr="00FF2C8F">
        <w:rPr>
          <w:noProof/>
        </w:rPr>
        <w:t xml:space="preserve"> </w:t>
      </w:r>
      <w:r>
        <w:rPr>
          <w:noProof/>
        </w:rPr>
        <w:t>(</w:t>
      </w:r>
      <w:r w:rsidRPr="00FF2C8F">
        <w:rPr>
          <w:noProof/>
        </w:rPr>
        <w:t>2018)</w:t>
      </w:r>
      <w:r>
        <w:fldChar w:fldCharType="end"/>
      </w:r>
      <w:r>
        <w:t xml:space="preserve"> PatternNet</w:t>
      </w:r>
      <w:r w:rsidRPr="00FF2C8F">
        <w:t xml:space="preserve">, and </w:t>
      </w:r>
      <w:r>
        <w:t>(c)</w:t>
      </w:r>
      <w:r w:rsidRPr="00FF2C8F">
        <w:t xml:space="preserve"> shows examples of the class “seismic”</w:t>
      </w:r>
      <w:r>
        <w:t>, coming from the Kora 3D seismic survey</w:t>
      </w:r>
      <w:r w:rsidRPr="00FF2C8F">
        <w:t>.</w:t>
      </w:r>
      <w:bookmarkEnd w:id="33"/>
      <w:r>
        <w:t xml:space="preserve"> (c) shows color for the leftmost image as that is composed of a time slice whereas the other examples are vertical slices. The seismic data changes more rapidly in the vertical direction, therefore the changes are more visible when composing a three-channel image. Note the vertical slices are in fact colored and composed of three-channels, but the colors are almost imperceptible as the vertical slices present very similar content in their vicinities.</w:t>
      </w:r>
      <w:bookmarkEnd w:id="34"/>
      <w:r>
        <w:t xml:space="preserve">  </w:t>
      </w:r>
    </w:p>
    <w:p w14:paraId="30211295" w14:textId="77777777" w:rsidR="0053410A" w:rsidRDefault="0053410A" w:rsidP="0053410A">
      <w:pPr>
        <w:keepNext/>
      </w:pPr>
      <w:r>
        <w:rPr>
          <w:noProof/>
          <w:lang w:bidi="ar-SA"/>
        </w:rPr>
        <w:lastRenderedPageBreak/>
        <w:drawing>
          <wp:inline distT="0" distB="0" distL="0" distR="0" wp14:anchorId="0C8329FA" wp14:editId="1EEE2148">
            <wp:extent cx="5191125" cy="3135044"/>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91499" cy="3135270"/>
                    </a:xfrm>
                    <a:prstGeom prst="rect">
                      <a:avLst/>
                    </a:prstGeom>
                    <a:noFill/>
                  </pic:spPr>
                </pic:pic>
              </a:graphicData>
            </a:graphic>
          </wp:inline>
        </w:drawing>
      </w:r>
    </w:p>
    <w:p w14:paraId="7FD2A3F5" w14:textId="77777777" w:rsidR="0053410A" w:rsidRPr="005674C7" w:rsidRDefault="0053410A" w:rsidP="00607DF1">
      <w:pPr>
        <w:pStyle w:val="Caption"/>
      </w:pPr>
      <w:bookmarkStart w:id="35" w:name="_Ref23795978"/>
      <w:bookmarkStart w:id="36" w:name="_Toc23799393"/>
      <w:bookmarkStart w:id="37" w:name="_Toc26534492"/>
      <w:r>
        <w:t xml:space="preserve">Figure </w:t>
      </w:r>
      <w:r w:rsidR="00CE1F3C">
        <w:fldChar w:fldCharType="begin"/>
      </w:r>
      <w:r w:rsidR="00CE1F3C">
        <w:instrText xml:space="preserve"> SEQ Figure \* ARABIC </w:instrText>
      </w:r>
      <w:r w:rsidR="00CE1F3C">
        <w:fldChar w:fldCharType="separate"/>
      </w:r>
      <w:r>
        <w:rPr>
          <w:noProof/>
        </w:rPr>
        <w:t>6</w:t>
      </w:r>
      <w:r w:rsidR="00CE1F3C">
        <w:rPr>
          <w:noProof/>
        </w:rPr>
        <w:fldChar w:fldCharType="end"/>
      </w:r>
      <w:bookmarkEnd w:id="35"/>
      <w:r>
        <w:t xml:space="preserve">: </w:t>
      </w:r>
      <w:r w:rsidRPr="005674C7">
        <w:t xml:space="preserve">A representation of the simple CNN model we use. </w:t>
      </w:r>
      <w:r>
        <w:t xml:space="preserve">Numbers on top of the vertical bar indicate the number of channels whereas number on the side indicate the shape of each one of the channels for each particular layer. Pooling layers are operations that reduce the shape of the channel and do not need to be trained. </w:t>
      </w:r>
      <w:r w:rsidRPr="005674C7">
        <w:t>Note in practice we flatten the 10 x 10 x 32 array into a 32,000 x 1 array to be used as input for the final layer.</w:t>
      </w:r>
      <w:bookmarkEnd w:id="36"/>
      <w:bookmarkEnd w:id="37"/>
    </w:p>
    <w:p w14:paraId="4EE8F94C" w14:textId="77777777" w:rsidR="0053410A" w:rsidRDefault="0053410A" w:rsidP="0053410A"/>
    <w:p w14:paraId="5AB0A5DC" w14:textId="42243FFA" w:rsidR="00D82744" w:rsidRDefault="0053410A" w:rsidP="0053410A">
      <w:pPr>
        <w:pStyle w:val="SEGBodyText"/>
        <w:rPr>
          <w:bCs/>
        </w:rPr>
      </w:pPr>
      <w:r w:rsidRPr="00F66BCC">
        <w:rPr>
          <w:bCs/>
        </w:rPr>
        <w:t xml:space="preserve">With data and model ready, we need to specify the loss function and the optimizer to train the model. The loss function provides the model with a measure of how good or bad the model is performing. The optimizer is the algorithm to be used to reduce the loss, very generally a variation of stochastic gradient descent. We chose </w:t>
      </w:r>
      <w:r w:rsidRPr="00F66BCC">
        <w:rPr>
          <w:bCs/>
        </w:rPr>
        <w:fldChar w:fldCharType="begin" w:fldLock="1"/>
      </w:r>
      <w:r>
        <w:rPr>
          <w:bCs/>
        </w:rPr>
        <w:instrText>ADDIN CSL_CITATION {"citationItems":[{"id":"ITEM-1","itemData":{"author":[{"dropping-particle":"","family":"Kingma","given":"Diederik P","non-dropping-particle":"","parse-names":false,"suffix":""},{"dropping-particle":"","family":"Ba","given":"Jimmy","non-dropping-particle":"","parse-names":false,"suffix":""}],"container-title":"arXiv e-prints","id":"ITEM-1","issued":{"date-parts":[["2014","12"]]},"page":"arXiv:1412.6980","title":"Adam: A Method for Stochastic Optimization","type":"article-journal"},"uris":["http://www.mendeley.com/documents/?uuid=70d60d13-d257-4c9f-b1be-124d23f0b39e"]}],"mendeley":{"formattedCitation":"(Kingma and Ba, 2014)","manualFormatting":"Kingma and Ba's (2014)","plainTextFormattedCitation":"(Kingma and Ba, 2014)","previouslyFormattedCitation":"(Kingma and Ba, 2014)"},"properties":{"noteIndex":0},"schema":"https://github.com/citation-style-language/schema/raw/master/csl-citation.json"}</w:instrText>
      </w:r>
      <w:r w:rsidRPr="00F66BCC">
        <w:rPr>
          <w:bCs/>
        </w:rPr>
        <w:fldChar w:fldCharType="separate"/>
      </w:r>
      <w:r w:rsidRPr="00F66BCC">
        <w:rPr>
          <w:bCs/>
          <w:noProof/>
        </w:rPr>
        <w:t>Kingma and Ba's (2014)</w:t>
      </w:r>
      <w:r w:rsidRPr="00F66BCC">
        <w:rPr>
          <w:bCs/>
        </w:rPr>
        <w:fldChar w:fldCharType="end"/>
      </w:r>
      <w:r w:rsidRPr="00F66BCC">
        <w:rPr>
          <w:bCs/>
        </w:rPr>
        <w:t xml:space="preserve"> Adam optimizer with the parameters defined by the authors. We use cross-entropy as the loss function. When we minimize the cross-entropy, we incentivize the CNN to increase the probability the sample has to be assigned to the class aligned with the label provided to </w:t>
      </w:r>
      <w:r>
        <w:rPr>
          <w:bCs/>
        </w:rPr>
        <w:t>that</w:t>
      </w:r>
      <w:r w:rsidRPr="00F66BCC">
        <w:rPr>
          <w:bCs/>
        </w:rPr>
        <w:t xml:space="preserve"> sample.</w:t>
      </w:r>
      <w:r>
        <w:rPr>
          <w:bCs/>
        </w:rPr>
        <w:t xml:space="preserve"> We train the model for 25 epochs. An epoch is one pass in all data being used, 48 samples in this toy example case. The weights of the CNN model are randomly initialized with Glorot Uniform distribution </w:t>
      </w:r>
      <w:r>
        <w:rPr>
          <w:bCs/>
        </w:rPr>
        <w:fldChar w:fldCharType="begin" w:fldLock="1"/>
      </w:r>
      <w:r>
        <w:rPr>
          <w:bCs/>
        </w:rPr>
        <w:instrText>ADDIN CSL_CITATION {"citationItems":[{"id":"ITEM-1","itemData":{"author":[{"dropping-particle":"","family":"Glorot","given":"Xavier","non-dropping-particle":"","parse-names":false,"suffix":""},{"dropping-particle":"","family":"Bengio","given":"Yoshua","non-dropping-particle":"","parse-names":false,"suffix":""}],"container-title":"In Proceedings of the International Conference on Artificial Intelligence and Statistics (AISTATS’10). Society for Artificial Intelligence and Statistics","id":"ITEM-1","issued":{"date-parts":[["2010"]]},"title":"Understanding the difficulty of training deep feedforward neural networks","type":"paper-conference"},"uris":["http://www.mendeley.com/documents/?uuid=346d1b95-d311-46a8-a4af-86b545ab12c0"]}],"mendeley":{"formattedCitation":"(Glorot and Bengio, 2010)","plainTextFormattedCitation":"(Glorot and Bengio, 2010)","previouslyFormattedCitation":"(Glorot and Bengio, 2010)"},"properties":{"noteIndex":0},"schema":"https://github.com/citation-style-language/schema/raw/master/csl-citation.json"}</w:instrText>
      </w:r>
      <w:r>
        <w:rPr>
          <w:bCs/>
        </w:rPr>
        <w:fldChar w:fldCharType="separate"/>
      </w:r>
      <w:r w:rsidRPr="00B6171B">
        <w:rPr>
          <w:bCs/>
          <w:noProof/>
        </w:rPr>
        <w:t>(Glorot and Bengio, 2010)</w:t>
      </w:r>
      <w:r>
        <w:rPr>
          <w:bCs/>
        </w:rPr>
        <w:fldChar w:fldCharType="end"/>
      </w:r>
      <w:r>
        <w:rPr>
          <w:bCs/>
        </w:rPr>
        <w:t xml:space="preserve">, and our expectation is that training will modify the weights in such a manner that </w:t>
      </w:r>
      <w:r>
        <w:rPr>
          <w:bCs/>
        </w:rPr>
        <w:lastRenderedPageBreak/>
        <w:t xml:space="preserve">the CNN will predict the correct class for the samples we provide. </w:t>
      </w:r>
      <w:r>
        <w:rPr>
          <w:bCs/>
        </w:rPr>
        <w:fldChar w:fldCharType="begin"/>
      </w:r>
      <w:r>
        <w:rPr>
          <w:bCs/>
        </w:rPr>
        <w:instrText xml:space="preserve"> REF _Ref23797382 \h </w:instrText>
      </w:r>
      <w:r>
        <w:rPr>
          <w:bCs/>
        </w:rPr>
      </w:r>
      <w:r>
        <w:rPr>
          <w:bCs/>
        </w:rPr>
        <w:fldChar w:fldCharType="separate"/>
      </w:r>
      <w:r>
        <w:t xml:space="preserve">Figure </w:t>
      </w:r>
      <w:r>
        <w:rPr>
          <w:noProof/>
        </w:rPr>
        <w:t>7</w:t>
      </w:r>
      <w:r>
        <w:rPr>
          <w:bCs/>
        </w:rPr>
        <w:fldChar w:fldCharType="end"/>
      </w:r>
      <w:r>
        <w:rPr>
          <w:bCs/>
        </w:rPr>
        <w:t xml:space="preserve"> shows one oil well sample and the output of each one of the convolutional layers, as well as the resulting classification provided by the CNN on the last layer. </w:t>
      </w:r>
      <w:r>
        <w:rPr>
          <w:bCs/>
        </w:rPr>
        <w:fldChar w:fldCharType="begin"/>
      </w:r>
      <w:r>
        <w:rPr>
          <w:bCs/>
        </w:rPr>
        <w:instrText xml:space="preserve"> REF _Ref23799206 \h </w:instrText>
      </w:r>
      <w:r>
        <w:rPr>
          <w:bCs/>
        </w:rPr>
      </w:r>
      <w:r>
        <w:rPr>
          <w:bCs/>
        </w:rPr>
        <w:fldChar w:fldCharType="separate"/>
      </w:r>
      <w:r>
        <w:t xml:space="preserve">Figure </w:t>
      </w:r>
      <w:r>
        <w:rPr>
          <w:noProof/>
        </w:rPr>
        <w:t>8</w:t>
      </w:r>
      <w:r>
        <w:rPr>
          <w:bCs/>
        </w:rPr>
        <w:fldChar w:fldCharType="end"/>
      </w:r>
      <w:r>
        <w:rPr>
          <w:bCs/>
        </w:rPr>
        <w:t xml:space="preserve"> shows the results obtained after training the model for 25 epochs. The supplemental material contains extra examples for a fossil sample as well as one seismic sample. Video versions showing the evolution of the data transformation epoch-by-epoch is provided on online the online version of this manuscript. </w:t>
      </w:r>
    </w:p>
    <w:p w14:paraId="03B733F7" w14:textId="77777777" w:rsidR="00D82744" w:rsidRDefault="00D82744">
      <w:pPr>
        <w:spacing w:line="240" w:lineRule="auto"/>
        <w:rPr>
          <w:rFonts w:ascii="Times" w:eastAsiaTheme="minorEastAsia" w:hAnsi="Times"/>
          <w:bCs/>
          <w:lang w:bidi="ar-SA"/>
        </w:rPr>
      </w:pPr>
      <w:r>
        <w:rPr>
          <w:bCs/>
        </w:rPr>
        <w:br w:type="page"/>
      </w:r>
    </w:p>
    <w:p w14:paraId="45D7CD2D" w14:textId="77777777" w:rsidR="0053410A" w:rsidRDefault="0053410A" w:rsidP="00C17359">
      <w:pPr>
        <w:pStyle w:val="SEGBodyText"/>
        <w:keepNext/>
        <w:ind w:firstLine="0"/>
        <w:jc w:val="center"/>
      </w:pPr>
      <w:r w:rsidRPr="006226F7">
        <w:rPr>
          <w:bCs/>
          <w:noProof/>
        </w:rPr>
        <w:lastRenderedPageBreak/>
        <w:drawing>
          <wp:inline distT="0" distB="0" distL="0" distR="0" wp14:anchorId="307F893F" wp14:editId="27C0F14F">
            <wp:extent cx="5181600" cy="3108960"/>
            <wp:effectExtent l="0" t="0" r="0" b="0"/>
            <wp:docPr id="54" name="Picture 54" descr="C:\Users\admin\Desktop\basic_interpretability\images\training_steps\resized_oilwell010.jpg_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basic_interpretability\images\training_steps\resized_oilwell010.jpg_000.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81600" cy="3108960"/>
                    </a:xfrm>
                    <a:prstGeom prst="rect">
                      <a:avLst/>
                    </a:prstGeom>
                    <a:noFill/>
                    <a:ln>
                      <a:noFill/>
                    </a:ln>
                  </pic:spPr>
                </pic:pic>
              </a:graphicData>
            </a:graphic>
          </wp:inline>
        </w:drawing>
      </w:r>
    </w:p>
    <w:p w14:paraId="02E7128A" w14:textId="3F419CEF" w:rsidR="0053410A" w:rsidRPr="00F66BCC" w:rsidRDefault="0053410A" w:rsidP="00607DF1">
      <w:pPr>
        <w:pStyle w:val="Caption"/>
      </w:pPr>
      <w:bookmarkStart w:id="38" w:name="_Ref23797382"/>
      <w:bookmarkStart w:id="39" w:name="_Toc23799394"/>
      <w:bookmarkStart w:id="40" w:name="_Toc26534493"/>
      <w:r>
        <w:t xml:space="preserve">Figure </w:t>
      </w:r>
      <w:r w:rsidR="00CE1F3C">
        <w:fldChar w:fldCharType="begin"/>
      </w:r>
      <w:r w:rsidR="00CE1F3C">
        <w:instrText xml:space="preserve"> SEQ Figure \* ARABIC </w:instrText>
      </w:r>
      <w:r w:rsidR="00CE1F3C">
        <w:fldChar w:fldCharType="separate"/>
      </w:r>
      <w:r>
        <w:rPr>
          <w:noProof/>
        </w:rPr>
        <w:t>7</w:t>
      </w:r>
      <w:r w:rsidR="00CE1F3C">
        <w:rPr>
          <w:noProof/>
        </w:rPr>
        <w:fldChar w:fldCharType="end"/>
      </w:r>
      <w:bookmarkEnd w:id="38"/>
      <w:r>
        <w:t xml:space="preserve">: Example of how the data a transformed for different layers in our simple CNN model. When the model starts, the weights are randomly generated and the CNN assigns a fairly balanced probability the image can belong to each one of the classes. The image on top shows the input to the CNN. The first row shows the results of the first layer consisting of eight convolved outputs. The second row shows the results of the 16 filters of the second convolutional layer, after the first max pooling layer. The third row shows the results of the 32 filters of the third convolutional layer. The </w:t>
      </w:r>
      <w:r w:rsidR="00030D30">
        <w:t>fourth</w:t>
      </w:r>
      <w:r>
        <w:t xml:space="preserve"> row shows the flattened vector. Finally, the fifth and last row shows the results for each one of the three neurons on the final layer. Images not to scale.  We refer the reader to the online version containing a video showing the evolution of these images for each epoch. Blue is used for small values and yellow for large. Images not to scale.</w:t>
      </w:r>
      <w:bookmarkEnd w:id="39"/>
      <w:r>
        <w:t xml:space="preserve"> This image shows the output of different filters, not the filters themselves.</w:t>
      </w:r>
      <w:bookmarkEnd w:id="40"/>
      <w:r>
        <w:t xml:space="preserve"> </w:t>
      </w:r>
    </w:p>
    <w:p w14:paraId="75BEEDC7" w14:textId="77777777" w:rsidR="0053410A" w:rsidRDefault="0053410A" w:rsidP="00C17359">
      <w:pPr>
        <w:keepNext/>
        <w:jc w:val="center"/>
      </w:pPr>
      <w:r w:rsidRPr="006226F7">
        <w:rPr>
          <w:noProof/>
          <w:lang w:bidi="ar-SA"/>
        </w:rPr>
        <w:lastRenderedPageBreak/>
        <w:drawing>
          <wp:inline distT="0" distB="0" distL="0" distR="0" wp14:anchorId="2FF618C0" wp14:editId="0F20484F">
            <wp:extent cx="5181600" cy="3108960"/>
            <wp:effectExtent l="0" t="0" r="0" b="0"/>
            <wp:docPr id="193" name="Picture 193" descr="C:\Users\admin\Desktop\basic_interpretability\images\training_steps\resized_oilwell010.jpg_0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basic_interpretability\images\training_steps\resized_oilwell010.jpg_025.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81600" cy="3108960"/>
                    </a:xfrm>
                    <a:prstGeom prst="rect">
                      <a:avLst/>
                    </a:prstGeom>
                    <a:noFill/>
                    <a:ln>
                      <a:noFill/>
                    </a:ln>
                  </pic:spPr>
                </pic:pic>
              </a:graphicData>
            </a:graphic>
          </wp:inline>
        </w:drawing>
      </w:r>
    </w:p>
    <w:p w14:paraId="38B4ED99" w14:textId="77777777" w:rsidR="0053410A" w:rsidRDefault="0053410A" w:rsidP="00607DF1">
      <w:pPr>
        <w:pStyle w:val="Caption"/>
      </w:pPr>
      <w:bookmarkStart w:id="41" w:name="_Ref23799206"/>
      <w:bookmarkStart w:id="42" w:name="_Toc23799395"/>
      <w:bookmarkStart w:id="43" w:name="_Toc26534494"/>
      <w:r>
        <w:t xml:space="preserve">Figure </w:t>
      </w:r>
      <w:r w:rsidR="00CE1F3C">
        <w:fldChar w:fldCharType="begin"/>
      </w:r>
      <w:r w:rsidR="00CE1F3C">
        <w:instrText xml:space="preserve"> SEQ Figure \* ARABIC </w:instrText>
      </w:r>
      <w:r w:rsidR="00CE1F3C">
        <w:fldChar w:fldCharType="separate"/>
      </w:r>
      <w:r>
        <w:rPr>
          <w:noProof/>
        </w:rPr>
        <w:t>8</w:t>
      </w:r>
      <w:r w:rsidR="00CE1F3C">
        <w:rPr>
          <w:noProof/>
        </w:rPr>
        <w:fldChar w:fldCharType="end"/>
      </w:r>
      <w:bookmarkEnd w:id="41"/>
      <w:r>
        <w:t xml:space="preserve">: Same image as </w:t>
      </w:r>
      <w:r>
        <w:fldChar w:fldCharType="begin"/>
      </w:r>
      <w:r>
        <w:instrText xml:space="preserve"> REF _Ref23797382 \h </w:instrText>
      </w:r>
      <w:r>
        <w:fldChar w:fldCharType="separate"/>
      </w:r>
      <w:r>
        <w:t xml:space="preserve">Figure </w:t>
      </w:r>
      <w:r>
        <w:rPr>
          <w:noProof/>
        </w:rPr>
        <w:t>7</w:t>
      </w:r>
      <w:r>
        <w:fldChar w:fldCharType="end"/>
      </w:r>
      <w:r>
        <w:t xml:space="preserve"> after the model is trained for 25 epochs. We refer the reader to the online version for a video showing the epoch-by-epoch evolution. The model assigns the sample to the correct class with a high probability.</w:t>
      </w:r>
      <w:r w:rsidRPr="00E0572A">
        <w:t xml:space="preserve"> </w:t>
      </w:r>
      <w:r>
        <w:t>Blue is used for small values and yellow for large values. Images not to scale.</w:t>
      </w:r>
      <w:bookmarkEnd w:id="42"/>
      <w:bookmarkEnd w:id="43"/>
      <w:r>
        <w:t xml:space="preserve">  </w:t>
      </w:r>
    </w:p>
    <w:p w14:paraId="100BCC32" w14:textId="77777777" w:rsidR="0053410A" w:rsidRDefault="0053410A" w:rsidP="0053410A">
      <w:pPr>
        <w:pStyle w:val="SEGBodyText"/>
        <w:rPr>
          <w:bCs/>
        </w:rPr>
      </w:pPr>
      <w:r>
        <w:rPr>
          <w:bCs/>
        </w:rPr>
        <w:t xml:space="preserve">Despite </w:t>
      </w:r>
      <w:r>
        <w:rPr>
          <w:bCs/>
        </w:rPr>
        <w:fldChar w:fldCharType="begin"/>
      </w:r>
      <w:r>
        <w:rPr>
          <w:bCs/>
        </w:rPr>
        <w:instrText xml:space="preserve"> REF _Ref23799206 \h </w:instrText>
      </w:r>
      <w:r>
        <w:rPr>
          <w:bCs/>
        </w:rPr>
      </w:r>
      <w:r>
        <w:rPr>
          <w:bCs/>
        </w:rPr>
        <w:fldChar w:fldCharType="separate"/>
      </w:r>
      <w:r>
        <w:t xml:space="preserve">Figure </w:t>
      </w:r>
      <w:r>
        <w:rPr>
          <w:noProof/>
        </w:rPr>
        <w:t>8</w:t>
      </w:r>
      <w:r>
        <w:rPr>
          <w:bCs/>
        </w:rPr>
        <w:fldChar w:fldCharType="end"/>
      </w:r>
      <w:r>
        <w:rPr>
          <w:bCs/>
        </w:rPr>
        <w:t xml:space="preserve"> showing how the data are transformed by CNN from the input to the final decision, it still hard to understand what leads the model to make the classification. There are many techniques that can be used to better understand CNN behavior.  DNN interpretability is a research topic by itself </w:t>
      </w:r>
      <w:r>
        <w:rPr>
          <w:bCs/>
        </w:rPr>
        <w:fldChar w:fldCharType="begin" w:fldLock="1"/>
      </w:r>
      <w:r>
        <w:rPr>
          <w:bCs/>
        </w:rPr>
        <w:instrText>ADDIN CSL_CITATION {"citationItems":[{"id":"ITEM-1","itemData":{"DOI":"10.23915/distill.00007","author":[{"dropping-particle":"","family":"Olah","given":"Chris","non-dropping-particle":"","parse-names":false,"suffix":""},{"dropping-particle":"","family":"Mordvintsev","given":"Alexander","non-dropping-particle":"","parse-names":false,"suffix":""},{"dropping-particle":"","family":"Schubert","given":"Ludwig","non-dropping-particle":"","parse-names":false,"suffix":""}],"container-title":"Distill","id":"ITEM-1","issued":{"date-parts":[["2017"]]},"note":"https://distill.pub/2017/feature-visualization","title":"Feature Visualization","type":"article-journal"},"uris":["http://www.mendeley.com/documents/?uuid=173495c0-8322-4a7f-b026-bc1185657a6a"]},{"id":"ITEM-2","itemData":{"DOI":"10.23915/distill.00010","author":[{"dropping-particle":"","family":"Olah","given":"Chris","non-dropping-particle":"","parse-names":false,"suffix":""},{"dropping-particle":"","family":"Satyanarayan","given":"Arvind","non-dropping-particle":"","parse-names":false,"suffix":""},{"dropping-particle":"","family":"Johnson","given":"Ian","non-dropping-particle":"","parse-names":false,"suffix":""},{"dropping-particle":"","family":"Carter","given":"Shan","non-dropping-particle":"","parse-names":false,"suffix":""},{"dropping-particle":"","family":"Schubert","given":"Ludwig","non-dropping-particle":"","parse-names":false,"suffix":""},{"dropping-particle":"","family":"Ye","given":"Katherine","non-dropping-particle":"","parse-names":false,"suffix":""},{"dropping-particle":"","family":"Mordvintsev","given":"Alexander","non-dropping-particle":"","parse-names":false,"suffix":""}],"container-title":"Distill","id":"ITEM-2","issued":{"date-parts":[["2018"]]},"note":"https://distill.pub/2018/building-blocks","title":"The Building Blocks of Interpretability","type":"article-journal"},"uris":["http://www.mendeley.com/documents/?uuid=9c175a0a-4c26-4ca4-b472-f29eed38a0b4"]},{"id":"ITEM-3","itemData":{"DOI":"10.23915/distill.00015","ISSN":"2476-0757","author":[{"dropping-particle":"","family":"Carter","given":"Shan","non-dropping-particle":"","parse-names":false,"suffix":""},{"dropping-particle":"","family":"Armstrong","given":"Zan","non-dropping-particle":"","parse-names":false,"suffix":""},{"dropping-particle":"","family":"Schubert","given":"Ludwig","non-dropping-particle":"","parse-names":false,"suffix":""},{"dropping-particle":"","family":"Johnson","given":"Ian","non-dropping-particle":"","parse-names":false,"suffix":""},{"dropping-particle":"","family":"Olah","given":"Chris","non-dropping-particle":"","parse-names":false,"suffix":""}],"container-title":"Distill","id":"ITEM-3","issue":"3","issued":{"date-parts":[["2019","3","6"]]},"page":"e15","title":"Activation Atlas","type":"article-journal","volume":"4"},"uris":["http://www.mendeley.com/documents/?uuid=d5d078e7-9aa5-3d72-9ab0-002b1553da8b"]},{"id":"ITEM-4","itemData":{"author":[{"dropping-particle":"","family":"Simonyan","given":"Karen","non-dropping-particle":"","parse-names":false,"suffix":""},{"dropping-particle":"","family":"Vedaldi","given":"Andrea","non-dropping-particle":"","parse-names":false,"suffix":""},{"dropping-particle":"","family":"Zisserman","given":"Andrew","non-dropping-particle":"","parse-names":false,"suffix":""}],"container-title":"CoRR","id":"ITEM-4","issued":{"date-parts":[["2013"]]},"title":"Deep Inside Convolutional Networks: Visualising Image Classification Models and Saliency Maps","type":"article-journal","volume":"abs/1312.6"},"uris":["http://www.mendeley.com/documents/?uuid=34b3aa56-ea58-4788-a2d1-24d7824a9912"]},{"id":"ITEM-5","itemData":{"DOI":"10.1109/CVPR.2016.319","ISBN":" VO  -","author":[{"dropping-particle":"","family":"Zhou","given":"B","non-dropping-particle":"","parse-names":false,"suffix":""},{"dropping-particle":"","family":"Khosla","given":"A","non-dropping-particle":"","parse-names":false,"suffix":""},{"dropping-particle":"","family":"Lapedriza","given":"A","non-dropping-particle":"","parse-names":false,"suffix":""},{"dropping-particle":"","family":"Oliva","given":"A","non-dropping-particle":"","parse-names":false,"suffix":""},{"dropping-particle":"","family":"Torralba","given":"A","non-dropping-particle":"","parse-names":false,"suffix":""}],"container-title":"2016 IEEE Conference on Computer Vision and Pattern Recognition (CVPR)","id":"ITEM-5","issued":{"date-parts":[["2016"]]},"page":"2921-2929","title":"Learning Deep Features for Discriminative Localization","type":"paper-conference"},"uris":["http://www.mendeley.com/documents/?uuid=27bbc1a5-9f42-49e8-a83b-06facffac10d"]}],"mendeley":{"formattedCitation":"(Simonyan et al., 2013; Zhou et al., 2016; Olah et al., 2017, 2018; Carter et al., 2019)","manualFormatting":"(e.g. Simonyan et al., 2013; Zhou et al., 2016; Olah et al., 2017, 2018; Carter et al., 2019)","plainTextFormattedCitation":"(Simonyan et al., 2013; Zhou et al., 2016; Olah et al., 2017, 2018; Carter et al., 2019)","previouslyFormattedCitation":"(Simonyan et al., 2013; Zhou et al., 2016; Olah et al., 2017, 2018; Carter et al., 2019)"},"properties":{"noteIndex":0},"schema":"https://github.com/citation-style-language/schema/raw/master/csl-citation.json"}</w:instrText>
      </w:r>
      <w:r>
        <w:rPr>
          <w:bCs/>
        </w:rPr>
        <w:fldChar w:fldCharType="separate"/>
      </w:r>
      <w:r w:rsidRPr="00E97B82">
        <w:rPr>
          <w:bCs/>
          <w:noProof/>
        </w:rPr>
        <w:t>(</w:t>
      </w:r>
      <w:r>
        <w:rPr>
          <w:bCs/>
          <w:noProof/>
        </w:rPr>
        <w:t xml:space="preserve">e.g. </w:t>
      </w:r>
      <w:r w:rsidRPr="00E97B82">
        <w:rPr>
          <w:bCs/>
          <w:noProof/>
        </w:rPr>
        <w:t>Simonyan et al., 2013; Zhou et al., 2016; Olah et al., 2017, 2018; Carter et al., 2019)</w:t>
      </w:r>
      <w:r>
        <w:rPr>
          <w:bCs/>
        </w:rPr>
        <w:fldChar w:fldCharType="end"/>
      </w:r>
      <w:r>
        <w:rPr>
          <w:bCs/>
        </w:rPr>
        <w:t xml:space="preserve">. We chose two techniques to help uncover what parts of the images are important for the final classification: saliency maps </w:t>
      </w:r>
      <w:r>
        <w:rPr>
          <w:bCs/>
        </w:rPr>
        <w:fldChar w:fldCharType="begin" w:fldLock="1"/>
      </w:r>
      <w:r>
        <w:rPr>
          <w:bCs/>
        </w:rPr>
        <w:instrText>ADDIN CSL_CITATION {"citationItems":[{"id":"ITEM-1","itemData":{"author":[{"dropping-particle":"","family":"Simonyan","given":"Karen","non-dropping-particle":"","parse-names":false,"suffix":""},{"dropping-particle":"","family":"Vedaldi","given":"Andrea","non-dropping-particle":"","parse-names":false,"suffix":""},{"dropping-particle":"","family":"Zisserman","given":"Andrew","non-dropping-particle":"","parse-names":false,"suffix":""}],"container-title":"CoRR","id":"ITEM-1","issued":{"date-parts":[["2013"]]},"title":"Deep Inside Convolutional Networks: Visualising Image Classification Models and Saliency Maps","type":"article-journal","volume":"abs/1312.6"},"uris":["http://www.mendeley.com/documents/?uuid=34b3aa56-ea58-4788-a2d1-24d7824a9912"]}],"mendeley":{"formattedCitation":"(Simonyan et al., 2013)","plainTextFormattedCitation":"(Simonyan et al., 2013)","previouslyFormattedCitation":"(Simonyan et al., 2013)"},"properties":{"noteIndex":0},"schema":"https://github.com/citation-style-language/schema/raw/master/csl-citation.json"}</w:instrText>
      </w:r>
      <w:r>
        <w:rPr>
          <w:bCs/>
        </w:rPr>
        <w:fldChar w:fldCharType="separate"/>
      </w:r>
      <w:r w:rsidRPr="0047623B">
        <w:rPr>
          <w:bCs/>
          <w:noProof/>
        </w:rPr>
        <w:t>(Simonyan et al., 2013)</w:t>
      </w:r>
      <w:r>
        <w:rPr>
          <w:bCs/>
        </w:rPr>
        <w:fldChar w:fldCharType="end"/>
      </w:r>
      <w:r>
        <w:rPr>
          <w:bCs/>
        </w:rPr>
        <w:t xml:space="preserve"> and class activation mapping (CAM, </w:t>
      </w:r>
      <w:r>
        <w:rPr>
          <w:bCs/>
        </w:rPr>
        <w:fldChar w:fldCharType="begin" w:fldLock="1"/>
      </w:r>
      <w:r>
        <w:rPr>
          <w:bCs/>
        </w:rPr>
        <w:instrText>ADDIN CSL_CITATION {"citationItems":[{"id":"ITEM-1","itemData":{"DOI":"10.1109/CVPR.2016.319","ISBN":" VO  -","author":[{"dropping-particle":"","family":"Zhou","given":"B","non-dropping-particle":"","parse-names":false,"suffix":""},{"dropping-particle":"","family":"Khosla","given":"A","non-dropping-particle":"","parse-names":false,"suffix":""},{"dropping-particle":"","family":"Lapedriza","given":"A","non-dropping-particle":"","parse-names":false,"suffix":""},{"dropping-particle":"","family":"Oliva","given":"A","non-dropping-particle":"","parse-names":false,"suffix":""},{"dropping-particle":"","family":"Torralba","given":"A","non-dropping-particle":"","parse-names":false,"suffix":""}],"container-title":"2016 IEEE Conference on Computer Vision and Pattern Recognition (CVPR)","id":"ITEM-1","issued":{"date-parts":[["2016"]]},"page":"2921-2929","title":"Learning Deep Features for Discriminative Localization","type":"paper-conference"},"uris":["http://www.mendeley.com/documents/?uuid=27bbc1a5-9f42-49e8-a83b-06facffac10d"]}],"mendeley":{"formattedCitation":"(Zhou et al., 2016)","manualFormatting":"Zhou et al., 2016)","plainTextFormattedCitation":"(Zhou et al., 2016)","previouslyFormattedCitation":"(Zhou et al., 2016)"},"properties":{"noteIndex":0},"schema":"https://github.com/citation-style-language/schema/raw/master/csl-citation.json"}</w:instrText>
      </w:r>
      <w:r>
        <w:rPr>
          <w:bCs/>
        </w:rPr>
        <w:fldChar w:fldCharType="separate"/>
      </w:r>
      <w:r w:rsidRPr="0047623B">
        <w:rPr>
          <w:bCs/>
          <w:noProof/>
        </w:rPr>
        <w:t>Zhou et al., 2016)</w:t>
      </w:r>
      <w:r>
        <w:rPr>
          <w:bCs/>
        </w:rPr>
        <w:fldChar w:fldCharType="end"/>
      </w:r>
      <w:r>
        <w:rPr>
          <w:bCs/>
        </w:rPr>
        <w:t>. Both saliency maps and CAM are based on a similar principle based in the backpropagation concept. Saliency maps use backpropagation to calculate what regions of the input sample would create a larger difference in the final output, i.e. c</w:t>
      </w:r>
      <w:r w:rsidRPr="00E97B82">
        <w:rPr>
          <w:bCs/>
        </w:rPr>
        <w:t xml:space="preserve">ompute the gradient of </w:t>
      </w:r>
      <w:r>
        <w:rPr>
          <w:bCs/>
        </w:rPr>
        <w:t xml:space="preserve">the </w:t>
      </w:r>
      <w:r w:rsidRPr="00E97B82">
        <w:rPr>
          <w:bCs/>
        </w:rPr>
        <w:t>output</w:t>
      </w:r>
      <w:r>
        <w:rPr>
          <w:bCs/>
        </w:rPr>
        <w:t xml:space="preserve"> (or an internal neuron)</w:t>
      </w:r>
      <w:r w:rsidRPr="00E97B82">
        <w:rPr>
          <w:bCs/>
        </w:rPr>
        <w:t xml:space="preserve"> with respect to </w:t>
      </w:r>
      <w:r>
        <w:rPr>
          <w:bCs/>
        </w:rPr>
        <w:t xml:space="preserve">the </w:t>
      </w:r>
      <w:r w:rsidRPr="00E97B82">
        <w:rPr>
          <w:bCs/>
        </w:rPr>
        <w:t xml:space="preserve">input </w:t>
      </w:r>
      <w:r>
        <w:rPr>
          <w:bCs/>
        </w:rPr>
        <w:t xml:space="preserve">sample. Saliency maps can be improved with the implementation of guided-backpropagation </w:t>
      </w:r>
      <w:r>
        <w:rPr>
          <w:bCs/>
        </w:rPr>
        <w:fldChar w:fldCharType="begin" w:fldLock="1"/>
      </w:r>
      <w:r>
        <w:rPr>
          <w:bCs/>
        </w:rPr>
        <w:instrText>ADDIN CSL_CITATION {"citationItems":[{"id":"ITEM-1","itemData":{"author":[{"dropping-particle":"","family":"Springenberg","given":"Jost Tobias","non-dropping-particle":"","parse-names":false,"suffix":""},{"dropping-particle":"","family":"Dosovitskiy","given":"Alexey","non-dropping-particle":"","parse-names":false,"suffix":""},{"dropping-particle":"","family":"Brox","given":"Thomas","non-dropping-particle":"","parse-names":false,"suffix":""},{"dropping-particle":"","family":"Riedmiller","given":"Martin","non-dropping-particle":"","parse-names":false,"suffix":""}],"container-title":"arXiv e-prints","id":"ITEM-1","issued":{"date-parts":[["2014","12"]]},"page":"arXiv:1412.6806","title":"Striving for Simplicity: The All Convolutional Net","type":"article-journal"},"uris":["http://www.mendeley.com/documents/?uuid=51798407-a86a-49cc-be29-96edeb498a5a"]}],"mendeley":{"formattedCitation":"(Springenberg et al., 2014)","plainTextFormattedCitation":"(Springenberg et al., 2014)","previouslyFormattedCitation":"(Springenberg et al., 2014)"},"properties":{"noteIndex":0},"schema":"https://github.com/citation-style-language/schema/raw/master/csl-citation.json"}</w:instrText>
      </w:r>
      <w:r>
        <w:rPr>
          <w:bCs/>
        </w:rPr>
        <w:fldChar w:fldCharType="separate"/>
      </w:r>
      <w:r w:rsidRPr="00686F3B">
        <w:rPr>
          <w:bCs/>
          <w:noProof/>
        </w:rPr>
        <w:t>(Springenberg et al., 2014)</w:t>
      </w:r>
      <w:r>
        <w:rPr>
          <w:bCs/>
        </w:rPr>
        <w:fldChar w:fldCharType="end"/>
      </w:r>
      <w:r w:rsidRPr="00E97B82">
        <w:rPr>
          <w:bCs/>
        </w:rPr>
        <w:t>.</w:t>
      </w:r>
      <w:r>
        <w:rPr>
          <w:bCs/>
        </w:rPr>
        <w:t xml:space="preserve"> The idea of guided-backpropagation is to simply set the negative gradients to zero; saliency maps </w:t>
      </w:r>
      <w:r>
        <w:rPr>
          <w:bCs/>
        </w:rPr>
        <w:lastRenderedPageBreak/>
        <w:t xml:space="preserve">with guided-backpropagation usually produce more aesthetically pleasing results. CAM produces a heatmap showing what regions of the sample are most important for the final decision. CAMs, however, use the results of the last convolutional layer. The choice to use </w:t>
      </w:r>
      <w:r w:rsidRPr="00CA1DDD">
        <w:rPr>
          <w:bCs/>
        </w:rPr>
        <w:t xml:space="preserve">the </w:t>
      </w:r>
      <w:r>
        <w:rPr>
          <w:bCs/>
        </w:rPr>
        <w:t xml:space="preserve">last convolutional layer is to be able to </w:t>
      </w:r>
      <w:r w:rsidRPr="00CA1DDD">
        <w:rPr>
          <w:bCs/>
        </w:rPr>
        <w:t xml:space="preserve">utilize spatial information that gets </w:t>
      </w:r>
      <w:r>
        <w:rPr>
          <w:bCs/>
        </w:rPr>
        <w:t xml:space="preserve">lost in the final fully connected portion of a CNN. CAM averages the gradient of the filters on the final convolutional layer with respect to the input sample. We implement grad-CAM </w:t>
      </w:r>
      <w:r>
        <w:rPr>
          <w:bCs/>
        </w:rPr>
        <w:fldChar w:fldCharType="begin" w:fldLock="1"/>
      </w:r>
      <w:r>
        <w:rPr>
          <w:bCs/>
        </w:rPr>
        <w:instrText>ADDIN CSL_CITATION {"citationItems":[{"id":"ITEM-1","itemData":{"DOI":"10.1109/ICCV.2017.74","ISBN":" VO  -","author":[{"dropping-particle":"","family":"Selvaraju","given":"R R","non-dropping-particle":"","parse-names":false,"suffix":""},{"dropping-particle":"","family":"Cogswell","given":"M","non-dropping-particle":"","parse-names":false,"suffix":""},{"dropping-particle":"","family":"Das","given":"A","non-dropping-particle":"","parse-names":false,"suffix":""},{"dropping-particle":"","family":"Vedantam","given":"R","non-dropping-particle":"","parse-names":false,"suffix":""},{"dropping-particle":"","family":"Parikh","given":"D","non-dropping-particle":"","parse-names":false,"suffix":""},{"dropping-particle":"","family":"Batra","given":"D","non-dropping-particle":"","parse-names":false,"suffix":""}],"container-title":"2017 IEEE International Conference on Computer Vision (ICCV)","id":"ITEM-1","issued":{"date-parts":[["2017"]]},"page":"618-626","title":"Grad-CAM: Visual Explanations from Deep Networks via Gradient-Based Localization","type":"paper-conference"},"uris":["http://www.mendeley.com/documents/?uuid=b812880d-5352-4d8b-bf5a-1dc7a743c93b"]}],"mendeley":{"formattedCitation":"(Selvaraju et al., 2017)","plainTextFormattedCitation":"(Selvaraju et al., 2017)","previouslyFormattedCitation":"(Selvaraju et al., 2017)"},"properties":{"noteIndex":0},"schema":"https://github.com/citation-style-language/schema/raw/master/csl-citation.json"}</w:instrText>
      </w:r>
      <w:r>
        <w:rPr>
          <w:bCs/>
        </w:rPr>
        <w:fldChar w:fldCharType="separate"/>
      </w:r>
      <w:r w:rsidRPr="00CA1DDD">
        <w:rPr>
          <w:bCs/>
          <w:noProof/>
        </w:rPr>
        <w:t>(Selvaraju et al., 2017)</w:t>
      </w:r>
      <w:r>
        <w:rPr>
          <w:bCs/>
        </w:rPr>
        <w:fldChar w:fldCharType="end"/>
      </w:r>
      <w:r>
        <w:rPr>
          <w:bCs/>
        </w:rPr>
        <w:t xml:space="preserve"> to show what areas are important for the classification performed by our CNN model on examples of our toy dataset. Grad-CAM is a CAM implemented with guided-backpropagation. </w:t>
      </w:r>
      <w:r>
        <w:rPr>
          <w:bCs/>
        </w:rPr>
        <w:fldChar w:fldCharType="begin"/>
      </w:r>
      <w:r>
        <w:rPr>
          <w:bCs/>
        </w:rPr>
        <w:instrText xml:space="preserve"> REF _Ref23851703 \h </w:instrText>
      </w:r>
      <w:r>
        <w:rPr>
          <w:bCs/>
        </w:rPr>
      </w:r>
      <w:r>
        <w:rPr>
          <w:bCs/>
        </w:rPr>
        <w:fldChar w:fldCharType="separate"/>
      </w:r>
      <w:r>
        <w:t xml:space="preserve">Figure </w:t>
      </w:r>
      <w:r>
        <w:rPr>
          <w:noProof/>
        </w:rPr>
        <w:t>9</w:t>
      </w:r>
      <w:r>
        <w:rPr>
          <w:bCs/>
        </w:rPr>
        <w:fldChar w:fldCharType="end"/>
      </w:r>
      <w:r>
        <w:rPr>
          <w:bCs/>
        </w:rPr>
        <w:t xml:space="preserve"> shows the saliency map and grad-CAM computed for one sample of each one of the classes in our toy dataset. </w:t>
      </w:r>
    </w:p>
    <w:p w14:paraId="2FA543D3" w14:textId="77777777" w:rsidR="0053410A" w:rsidRDefault="0053410A" w:rsidP="0053410A">
      <w:pPr>
        <w:pStyle w:val="SEGBodyText"/>
        <w:rPr>
          <w:bCs/>
        </w:rPr>
      </w:pPr>
      <w:r>
        <w:rPr>
          <w:bCs/>
        </w:rPr>
        <w:t xml:space="preserve">To further illustrate the usefulness of saliency maps and grad-CAM, we now abandon our toy dataset and CNN model and use VGG16 </w:t>
      </w:r>
      <w:r>
        <w:rPr>
          <w:bCs/>
        </w:rPr>
        <w:fldChar w:fldCharType="begin" w:fldLock="1"/>
      </w:r>
      <w:r>
        <w:rPr>
          <w:bCs/>
        </w:rPr>
        <w:instrText>ADDIN CSL_CITATION {"citationItems":[{"id":"ITEM-1","itemData":{"abstract":"In this work we investigate the effect of the convolutional network depth on its accuracy in the large-scale image recognition setting. Our main contribution is a thorough evaluation of networks of increasing depth using an architecture with very small (3x3) convolution filters, which shows that a significant improvement on the prior-art configurations can be achieved by pushing the depth to 16-19 weight layers. These findings were the basis of our ImageNet Challenge 2014 submission, where our team secured the first and the second places in the localisation and classification tracks respectively. We also show that our representations generalise well to other datasets, where they achieve state-of-the-art results. We have made our two best-performing ConvNet models publicly available to facilitate further research on the use of deep visual representations in computer vision.","author":[{"dropping-particle":"","family":"Simonyan","given":"Karen","non-dropping-particle":"","parse-names":false,"suffix":""},{"dropping-particle":"","family":"Zisserman","given":"Andrew","non-dropping-particle":"","parse-names":false,"suffix":""}],"container-title":"ArXiv e–prints","id":"ITEM-1","issued":{"date-parts":[["2014","9","4"]]},"title":"Very Deep Convolutional Networks for Large-Scale Image Recognition","type":"article-journal"},"uris":["http://www.mendeley.com/documents/?uuid=e8192c43-95e0-3fe8-8025-a4d202a93436"]}],"mendeley":{"formattedCitation":"(Simonyan and Zisserman, 2014)","plainTextFormattedCitation":"(Simonyan and Zisserman, 2014)","previouslyFormattedCitation":"(Simonyan and Zisserman, 2014)"},"properties":{"noteIndex":0},"schema":"https://github.com/citation-style-language/schema/raw/master/csl-citation.json"}</w:instrText>
      </w:r>
      <w:r>
        <w:rPr>
          <w:bCs/>
        </w:rPr>
        <w:fldChar w:fldCharType="separate"/>
      </w:r>
      <w:r w:rsidRPr="001B451A">
        <w:rPr>
          <w:bCs/>
          <w:noProof/>
        </w:rPr>
        <w:t>(Simonyan and Zisserman, 2014)</w:t>
      </w:r>
      <w:r>
        <w:rPr>
          <w:bCs/>
        </w:rPr>
        <w:fldChar w:fldCharType="end"/>
      </w:r>
      <w:r>
        <w:rPr>
          <w:bCs/>
        </w:rPr>
        <w:t xml:space="preserve"> trained with the ILSVRC dataset. VGG16. VGG16 is a CNN model with 13 convolutional layers and three fully connected layers. </w:t>
      </w:r>
      <w:r>
        <w:rPr>
          <w:bCs/>
        </w:rPr>
        <w:fldChar w:fldCharType="begin"/>
      </w:r>
      <w:r>
        <w:rPr>
          <w:bCs/>
        </w:rPr>
        <w:instrText xml:space="preserve"> REF _Ref23862378 \h </w:instrText>
      </w:r>
      <w:r>
        <w:rPr>
          <w:bCs/>
        </w:rPr>
      </w:r>
      <w:r>
        <w:rPr>
          <w:bCs/>
        </w:rPr>
        <w:fldChar w:fldCharType="separate"/>
      </w:r>
      <w:r>
        <w:t xml:space="preserve">Figure </w:t>
      </w:r>
      <w:r>
        <w:rPr>
          <w:noProof/>
        </w:rPr>
        <w:t>10</w:t>
      </w:r>
      <w:r>
        <w:rPr>
          <w:bCs/>
        </w:rPr>
        <w:fldChar w:fldCharType="end"/>
      </w:r>
      <w:r>
        <w:rPr>
          <w:bCs/>
        </w:rPr>
        <w:t xml:space="preserve"> show the saliency map and grad-CAM for two images never seen by the CNN model before. Note the model focused on the places useful to provide the classification for each one of the images, however due to the unusual cat pose, it fails to correctly identify the animal in </w:t>
      </w:r>
      <w:r>
        <w:rPr>
          <w:bCs/>
        </w:rPr>
        <w:fldChar w:fldCharType="begin"/>
      </w:r>
      <w:r>
        <w:rPr>
          <w:bCs/>
        </w:rPr>
        <w:instrText xml:space="preserve"> REF _Ref23862378 \h </w:instrText>
      </w:r>
      <w:r>
        <w:rPr>
          <w:bCs/>
        </w:rPr>
      </w:r>
      <w:r>
        <w:rPr>
          <w:bCs/>
        </w:rPr>
        <w:fldChar w:fldCharType="separate"/>
      </w:r>
      <w:r>
        <w:t xml:space="preserve">Figure </w:t>
      </w:r>
      <w:r>
        <w:rPr>
          <w:noProof/>
        </w:rPr>
        <w:t>10</w:t>
      </w:r>
      <w:r>
        <w:rPr>
          <w:bCs/>
        </w:rPr>
        <w:fldChar w:fldCharType="end"/>
      </w:r>
      <w:r>
        <w:rPr>
          <w:bCs/>
        </w:rPr>
        <w:t xml:space="preserve">b. Visualization of saliency maps, grad-CAM and other variations can be very helpful to understand CNNs behavior. </w:t>
      </w:r>
      <w:r>
        <w:rPr>
          <w:bCs/>
        </w:rPr>
        <w:fldChar w:fldCharType="begin" w:fldLock="1"/>
      </w:r>
      <w:r>
        <w:rPr>
          <w:bCs/>
        </w:rPr>
        <w:instrText>ADDIN CSL_CITATION {"citationItems":[{"id":"ITEM-1","itemData":{"DOI":"10.1371/journal.pmed.1002683","author":[{"dropping-particle":"","family":"Zech","given":"John R","non-dropping-particle":"","parse-names":false,"suffix":""},{"dropping-particle":"","family":"Badgeley","given":"Marcus A","non-dropping-particle":"","parse-names":false,"suffix":""},{"dropping-particle":"","family":"Liu","given":"Manway","non-dropping-particle":"","parse-names":false,"suffix":""},{"dropping-particle":"","family":"Costa","given":"Anthony B","non-dropping-particle":"","parse-names":false,"suffix":""},{"dropping-particle":"","family":"Titano","given":"Joseph J","non-dropping-particle":"","parse-names":false,"suffix":""},{"dropping-particle":"","family":"Oermann","given":"Eric Karl","non-dropping-particle":"","parse-names":false,"suffix":""}],"container-title":"PLOS Medicine","editor":[{"dropping-particle":"","family":"Sheikh","given":"Aziz","non-dropping-particle":"","parse-names":false,"suffix":""}],"id":"ITEM-1","issue":"11","issued":{"date-parts":[["2018","11"]]},"page":"e1002683","publisher":"Public Library of Science (PLoS)","title":"Variable generalization performance of a deep learning model to detect pneumonia in chest radiographs: A cross-sectional study","type":"article-journal","volume":"15"},"uris":["http://www.mendeley.com/documents/?uuid=dcbf484e-c2ca-4dc9-acde-3654b279810f"]}],"mendeley":{"formattedCitation":"(Zech et al., 2018)","manualFormatting":"Zech et al. (2018)","plainTextFormattedCitation":"(Zech et al., 2018)","previouslyFormattedCitation":"(Zech et al., 2018)"},"properties":{"noteIndex":0},"schema":"https://github.com/citation-style-language/schema/raw/master/csl-citation.json"}</w:instrText>
      </w:r>
      <w:r>
        <w:rPr>
          <w:bCs/>
        </w:rPr>
        <w:fldChar w:fldCharType="separate"/>
      </w:r>
      <w:r>
        <w:rPr>
          <w:bCs/>
          <w:noProof/>
        </w:rPr>
        <w:t>Zech et al.</w:t>
      </w:r>
      <w:r w:rsidRPr="00D917F1">
        <w:rPr>
          <w:bCs/>
          <w:noProof/>
        </w:rPr>
        <w:t xml:space="preserve"> </w:t>
      </w:r>
      <w:r>
        <w:rPr>
          <w:bCs/>
          <w:noProof/>
        </w:rPr>
        <w:t>(</w:t>
      </w:r>
      <w:r w:rsidRPr="00D917F1">
        <w:rPr>
          <w:bCs/>
          <w:noProof/>
        </w:rPr>
        <w:t>2018)</w:t>
      </w:r>
      <w:r>
        <w:rPr>
          <w:bCs/>
        </w:rPr>
        <w:fldChar w:fldCharType="end"/>
      </w:r>
      <w:r>
        <w:rPr>
          <w:bCs/>
        </w:rPr>
        <w:t xml:space="preserve"> trained CNN models to identify patients with pneumonia based on their radiographies. The authors noted that the </w:t>
      </w:r>
      <w:r w:rsidRPr="00D917F1">
        <w:rPr>
          <w:bCs/>
        </w:rPr>
        <w:t xml:space="preserve">CNN learned to </w:t>
      </w:r>
      <w:r>
        <w:rPr>
          <w:bCs/>
        </w:rPr>
        <w:t xml:space="preserve">identify a </w:t>
      </w:r>
      <w:r w:rsidRPr="00D917F1">
        <w:rPr>
          <w:bCs/>
        </w:rPr>
        <w:t xml:space="preserve">metal token that radiology technicians place on the patient </w:t>
      </w:r>
      <w:r>
        <w:rPr>
          <w:bCs/>
        </w:rPr>
        <w:t xml:space="preserve">and actually focused on that information to provide the classification. CNN models then can actually use such information to predict disease such tokens strongly correlate with disease prevalence. </w:t>
      </w:r>
    </w:p>
    <w:p w14:paraId="7227CF30" w14:textId="77777777" w:rsidR="0053410A" w:rsidRDefault="0053410A" w:rsidP="00C17359">
      <w:pPr>
        <w:pStyle w:val="SEGBodyText"/>
        <w:keepNext/>
        <w:ind w:firstLine="0"/>
        <w:jc w:val="center"/>
      </w:pPr>
      <w:r>
        <w:rPr>
          <w:noProof/>
        </w:rPr>
        <w:lastRenderedPageBreak/>
        <w:drawing>
          <wp:inline distT="0" distB="0" distL="0" distR="0" wp14:anchorId="6482A7E8" wp14:editId="03706BBE">
            <wp:extent cx="4714875" cy="4836318"/>
            <wp:effectExtent l="0" t="0" r="0" b="254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21933" cy="4843558"/>
                    </a:xfrm>
                    <a:prstGeom prst="rect">
                      <a:avLst/>
                    </a:prstGeom>
                    <a:noFill/>
                  </pic:spPr>
                </pic:pic>
              </a:graphicData>
            </a:graphic>
          </wp:inline>
        </w:drawing>
      </w:r>
    </w:p>
    <w:p w14:paraId="7C4466F6" w14:textId="77777777" w:rsidR="0053410A" w:rsidRDefault="0053410A" w:rsidP="00607DF1">
      <w:pPr>
        <w:pStyle w:val="Caption"/>
      </w:pPr>
      <w:bookmarkStart w:id="44" w:name="_Ref23851703"/>
      <w:bookmarkStart w:id="45" w:name="_Toc26534495"/>
      <w:r>
        <w:t xml:space="preserve">Figure </w:t>
      </w:r>
      <w:r w:rsidR="00CE1F3C">
        <w:fldChar w:fldCharType="begin"/>
      </w:r>
      <w:r w:rsidR="00CE1F3C">
        <w:instrText xml:space="preserve"> SEQ Figure \* ARABIC </w:instrText>
      </w:r>
      <w:r w:rsidR="00CE1F3C">
        <w:fldChar w:fldCharType="separate"/>
      </w:r>
      <w:r>
        <w:rPr>
          <w:noProof/>
        </w:rPr>
        <w:t>9</w:t>
      </w:r>
      <w:r w:rsidR="00CE1F3C">
        <w:rPr>
          <w:noProof/>
        </w:rPr>
        <w:fldChar w:fldCharType="end"/>
      </w:r>
      <w:bookmarkEnd w:id="44"/>
      <w:r>
        <w:t xml:space="preserve">: </w:t>
      </w:r>
      <w:r w:rsidRPr="00CA1DDD">
        <w:t>Samples from our small dataset, saliency map and grad-CAM generated with our simple model.</w:t>
      </w:r>
      <w:r>
        <w:t xml:space="preserve"> (a), (b), and (c)</w:t>
      </w:r>
      <w:r w:rsidRPr="00CA1DDD">
        <w:t xml:space="preserve"> show original image, saliency map computed with backpropagation, and grad-CAM. Saliency map shows gradient are spread for </w:t>
      </w:r>
      <w:r>
        <w:t>(a</w:t>
      </w:r>
      <w:r w:rsidRPr="00CA1DDD">
        <w:t xml:space="preserve">) and </w:t>
      </w:r>
      <w:r>
        <w:t>(c</w:t>
      </w:r>
      <w:r w:rsidRPr="00CA1DDD">
        <w:t xml:space="preserve">) and more focused on </w:t>
      </w:r>
      <w:r>
        <w:t>(b</w:t>
      </w:r>
      <w:r w:rsidRPr="00CA1DDD">
        <w:t xml:space="preserve">). Grad-CAM for </w:t>
      </w:r>
      <w:r>
        <w:t>(a</w:t>
      </w:r>
      <w:r w:rsidRPr="00CA1DDD">
        <w:t xml:space="preserve">) and </w:t>
      </w:r>
      <w:r>
        <w:t>(b</w:t>
      </w:r>
      <w:r w:rsidRPr="00CA1DDD">
        <w:t>) highlight areas that very clearly dominate the class in the picture. Note how the shadow of the oil well is important for its classification.</w:t>
      </w:r>
      <w:bookmarkEnd w:id="45"/>
    </w:p>
    <w:p w14:paraId="672ED563" w14:textId="77777777" w:rsidR="0053410A" w:rsidRDefault="0053410A" w:rsidP="0053410A">
      <w:pPr>
        <w:pStyle w:val="SEGBodyText"/>
        <w:rPr>
          <w:bCs/>
        </w:rPr>
      </w:pPr>
      <w:r>
        <w:rPr>
          <w:bCs/>
        </w:rPr>
        <w:t xml:space="preserve">The dataset and the CNN we use to show the key components of CNN are small and simple. Compare our toy dataset composed of 48 samples with the MNIST dataset </w:t>
      </w:r>
      <w:r>
        <w:rPr>
          <w:bCs/>
        </w:rPr>
        <w:fldChar w:fldCharType="begin" w:fldLock="1"/>
      </w:r>
      <w:r>
        <w:rPr>
          <w:bCs/>
        </w:rPr>
        <w:instrText>ADDIN CSL_CITATION {"citationItems":[{"id":"ITEM-1","itemData":{"author":[{"dropping-particle":"","family":"LeCun","given":"Yann","non-dropping-particle":"","parse-names":false,"suffix":""}],"container-title":"http://yann. lecun. com/exdb/mnist/","id":"ITEM-1","issued":{"date-parts":[["1998"]]},"title":"The MNIST database of handwritten digits","type":"article-journal"},"uris":["http://www.mendeley.com/documents/?uuid=5c5747b4-2dd1-4aa2-9eec-ecaa69c71d15"]}],"mendeley":{"formattedCitation":"(LeCun, 1998)","plainTextFormattedCitation":"(LeCun, 1998)","previouslyFormattedCitation":"(LeCun, 1998)"},"properties":{"noteIndex":0},"schema":"https://github.com/citation-style-language/schema/raw/master/csl-citation.json"}</w:instrText>
      </w:r>
      <w:r>
        <w:rPr>
          <w:bCs/>
        </w:rPr>
        <w:fldChar w:fldCharType="separate"/>
      </w:r>
      <w:r w:rsidRPr="00391769">
        <w:rPr>
          <w:bCs/>
          <w:noProof/>
        </w:rPr>
        <w:t>(LeCun, 1998)</w:t>
      </w:r>
      <w:r>
        <w:rPr>
          <w:bCs/>
        </w:rPr>
        <w:fldChar w:fldCharType="end"/>
      </w:r>
      <w:r>
        <w:rPr>
          <w:bCs/>
        </w:rPr>
        <w:t xml:space="preserve"> with tens of thousands of samples, or the previously referenced ILSVRC with hundreds of thousands of samples. Although greater development of DNN and CNN occurred concomitantly with the increase of available samples, research is also conducted with the objective to create </w:t>
      </w:r>
      <w:r>
        <w:rPr>
          <w:bCs/>
        </w:rPr>
        <w:lastRenderedPageBreak/>
        <w:t xml:space="preserve">robust CNN models using relatively few samples </w:t>
      </w:r>
      <w:r>
        <w:rPr>
          <w:bCs/>
        </w:rPr>
        <w:fldChar w:fldCharType="begin" w:fldLock="1"/>
      </w:r>
      <w:r>
        <w:rPr>
          <w:bCs/>
        </w:rPr>
        <w:instrText>ADDIN CSL_CITATION {"citationItems":[{"id":"ITEM-1","itemData":{"DOI":"10.3390/rs11111374","ISSN":"2072-4292","abstract":"&lt;p&gt;The reemergence of Deep Neural Networks (DNNs) has lead to high-performance supervised learning algorithms for the Electro-Optical (EO) domain classification and detection problems. This success is because generating huge labeled datasets has become possible using modern crowdsourcing labeling platforms such as Amazon’s Mechanical Turk that recruit ordinary people to label data. Unlike the EO domain, labeling the Synthetic Aperture Radar (SAR) domain data can be much more challenging, and for various reasons, using crowdsourcing platforms is not feasible for labeling the SAR domain data. As a result, training deep networks using supervised learning is more challenging in the SAR domain. In the paper, we present a new framework to train a deep neural network for classifying Synthetic Aperture Radar (SAR) images by eliminating the need for a huge labeled dataset. Our idea is based on transferring knowledge from a related EO domain problem, where labeled data are easy to obtain. We transfer knowledge from the EO domain through learning a shared invariant cross-domain embedding space that is also discriminative for classification. To this end, we train two deep encoders that are coupled through their last year to map data points from the EO and the SAR domains to the shared embedding space such that the distance between the distributions of the two domains is minimized in the latent embedding space. We use the Sliced Wasserstein Distance (SWD) to measure and minimize the distance between these two distributions and use a limited number of SAR label data points to match the distributions class-conditionally. As a result of this training procedure, a classifier trained from the embedding space to the label space using mostly the EO data would generalize well on the SAR domain. We provide a theoretical analysis to demonstrate why our approach is effective and validate our algorithm on the problem of ship classification in the SAR domain by comparing against several other competing learning approaches.&lt;/p&gt;","author":[{"dropping-particle":"","family":"Rostami","given":"Mohammad","non-dropping-particle":"","parse-names":false,"suffix":""},{"dropping-particle":"","family":"Kolouri","given":"Soheil","non-dropping-particle":"","parse-names":false,"suffix":""},{"dropping-particle":"","family":"Eaton","given":"Eric","non-dropping-particle":"","parse-names":false,"suffix":""},{"dropping-particle":"","family":"Kim","given":"Kyungnam","non-dropping-particle":"","parse-names":false,"suffix":""}],"container-title":"Remote Sensing","id":"ITEM-1","issue":"11","issued":{"date-parts":[["2019","6","8"]]},"page":"1374","publisher":"Multidisciplinary Digital Publishing Institute","title":"Deep Transfer Learning for Few-Shot SAR Image Classification","type":"article-journal","volume":"11"},"uris":["http://www.mendeley.com/documents/?uuid=52bdc2a4-89a1-36eb-a4fb-930ca8ff8ae6"]},{"id":"ITEM-2","itemData":{"author":[{"dropping-particle":"","family":"Koch","given":"Gregory R","non-dropping-particle":"","parse-names":false,"suffix":""}],"container-title":"32nd International Conference on Machine Learning","id":"ITEM-2","issued":{"date-parts":[["2015"]]},"publisher":"JMLR","title":"Siamese Neural Networks for One-Shot Image Recognition","type":"paper-conference"},"uris":["http://www.mendeley.com/documents/?uuid=49cdda21-69e9-4b0c-bbd7-5fa3163dd611"]},{"id":"ITEM-3","itemData":{"author":[{"dropping-particle":"","family":"Schroff","given":"Florian","non-dropping-particle":"","parse-names":false,"suffix":""},{"dropping-particle":"","family":"Kalenichenko","given":"Dmitry","non-dropping-particle":"","parse-names":false,"suffix":""},{"dropping-particle":"","family":"Philbin","given":"James","non-dropping-particle":"","parse-names":false,"suffix":""}],"container-title":"The IEEE Conference on Computer Vision and Pattern Recognition (CVPR)","id":"ITEM-3","issued":{"date-parts":[["2015","6"]]},"title":"FaceNet: A Unified Embedding for Face Recognition and Clustering","type":"paper-conference"},"uris":["http://www.mendeley.com/documents/?uuid=1d0790e6-5088-47be-b379-61b05e79dc68"]}],"mendeley":{"formattedCitation":"(Koch, 2015; Schroff et al., 2015; Rostami et al., 2019)","manualFormatting":"(e.g. Koch, 2015; Schroff et al., 2015; Rostami et al., 2019)","plainTextFormattedCitation":"(Koch, 2015; Schroff et al., 2015; Rostami et al., 2019)","previouslyFormattedCitation":"(Koch, 2015; Schroff et al., 2015; Rostami et al., 2019)"},"properties":{"noteIndex":0},"schema":"https://github.com/citation-style-language/schema/raw/master/csl-citation.json"}</w:instrText>
      </w:r>
      <w:r>
        <w:rPr>
          <w:bCs/>
        </w:rPr>
        <w:fldChar w:fldCharType="separate"/>
      </w:r>
      <w:r w:rsidRPr="00391769">
        <w:rPr>
          <w:bCs/>
          <w:noProof/>
        </w:rPr>
        <w:t>(</w:t>
      </w:r>
      <w:r>
        <w:rPr>
          <w:bCs/>
          <w:noProof/>
        </w:rPr>
        <w:t xml:space="preserve">e.g. </w:t>
      </w:r>
      <w:r w:rsidRPr="00391769">
        <w:rPr>
          <w:bCs/>
          <w:noProof/>
        </w:rPr>
        <w:t>Koch, 2015; Schroff et al., 2015; Rostami et al., 2019)</w:t>
      </w:r>
      <w:r>
        <w:rPr>
          <w:bCs/>
        </w:rPr>
        <w:fldChar w:fldCharType="end"/>
      </w:r>
      <w:r>
        <w:rPr>
          <w:bCs/>
        </w:rPr>
        <w:t xml:space="preserve">. </w:t>
      </w:r>
    </w:p>
    <w:p w14:paraId="0ABD3812" w14:textId="77777777" w:rsidR="0053410A" w:rsidRDefault="0053410A" w:rsidP="0053410A">
      <w:pPr>
        <w:pStyle w:val="SEGBodyText"/>
        <w:rPr>
          <w:bCs/>
        </w:rPr>
      </w:pPr>
      <w:r>
        <w:rPr>
          <w:bCs/>
        </w:rPr>
        <w:t xml:space="preserve">As our toy dataset is simple, a CNN with only three convolutional layers and one fully connected layer is enough to correctly classify all the samples. Compare this simple structure with VGG19 </w:t>
      </w:r>
      <w:r>
        <w:rPr>
          <w:bCs/>
        </w:rPr>
        <w:fldChar w:fldCharType="begin" w:fldLock="1"/>
      </w:r>
      <w:r>
        <w:rPr>
          <w:bCs/>
        </w:rPr>
        <w:instrText>ADDIN CSL_CITATION {"citationItems":[{"id":"ITEM-1","itemData":{"abstract":"In this work we investigate the effect of the convolutional network depth on its accuracy in the large-scale image recognition setting. Our main contribution is a thorough evaluation of networks of increasing depth using an architecture with very small (3x3) convolution filters, which shows that a significant improvement on the prior-art configurations can be achieved by pushing the depth to 16-19 weight layers. These findings were the basis of our ImageNet Challenge 2014 submission, where our team secured the first and the second places in the localisation and classification tracks respectively. We also show that our representations generalise well to other datasets, where they achieve state-of-the-art results. We have made our two best-performing ConvNet models publicly available to facilitate further research on the use of deep visual representations in computer vision.","author":[{"dropping-particle":"","family":"Simonyan","given":"Karen","non-dropping-particle":"","parse-names":false,"suffix":""},{"dropping-particle":"","family":"Zisserman","given":"Andrew","non-dropping-particle":"","parse-names":false,"suffix":""}],"container-title":"ArXiv e–prints","id":"ITEM-1","issued":{"date-parts":[["2014","9","4"]]},"title":"Very Deep Convolutional Networks for Large-Scale Image Recognition","type":"article-journal"},"uris":["http://www.mendeley.com/documents/?uuid=e8192c43-95e0-3fe8-8025-a4d202a93436"]}],"mendeley":{"formattedCitation":"(Simonyan and Zisserman, 2014)","plainTextFormattedCitation":"(Simonyan and Zisserman, 2014)","previouslyFormattedCitation":"(Simonyan and Zisserman, 2014)"},"properties":{"noteIndex":0},"schema":"https://github.com/citation-style-language/schema/raw/master/csl-citation.json"}</w:instrText>
      </w:r>
      <w:r>
        <w:rPr>
          <w:bCs/>
        </w:rPr>
        <w:fldChar w:fldCharType="separate"/>
      </w:r>
      <w:r w:rsidRPr="001B451A">
        <w:rPr>
          <w:bCs/>
          <w:noProof/>
        </w:rPr>
        <w:t>(Simonyan and Zisserman, 2014)</w:t>
      </w:r>
      <w:r>
        <w:rPr>
          <w:bCs/>
        </w:rPr>
        <w:fldChar w:fldCharType="end"/>
      </w:r>
      <w:r>
        <w:rPr>
          <w:bCs/>
        </w:rPr>
        <w:t xml:space="preserve"> that contains a CNN model with 16 convolutional layers and three fully connected layers, or Inception V3 </w:t>
      </w:r>
      <w:r>
        <w:rPr>
          <w:bCs/>
        </w:rPr>
        <w:fldChar w:fldCharType="begin" w:fldLock="1"/>
      </w:r>
      <w:r>
        <w:rPr>
          <w:bCs/>
        </w:rPr>
        <w:instrText>ADDIN CSL_CITATION {"citationItems":[{"id":"ITEM-1","itemData":{"author":[{"dropping-particle":"","family":"Szegedy","given":"Christian","non-dropping-particle":"","parse-names":false,"suffix":""},{"dropping-particle":"","family":"Liu","given":"Wei","non-dropping-particle":"","parse-names":false,"suffix":""},{"dropping-particle":"","family":"Jia","given":"Yangqing","non-dropping-particle":"","parse-names":false,"suffix":""},{"dropping-particle":"","family":"Sermanet","given":"Pierre","non-dropping-particle":"","parse-names":false,"suffix":""},{"dropping-particle":"","family":"Reed","given":"Scott E","non-dropping-particle":"","parse-names":false,"suffix":""},{"dropping-particle":"","family":"Anguelov","given":"Dragomir","non-dropping-particle":"","parse-names":false,"suffix":""},{"dropping-particle":"","family":"Erhan","given":"Dumitru","non-dropping-particle":"","parse-names":false,"suffix":""},{"dropping-particle":"","family":"Vanhoucke","given":"Vincent","non-dropping-particle":"","parse-names":false,"suffix":""},{"dropping-particle":"","family":"Rabinovich","given":"Andrew","non-dropping-particle":"","parse-names":false,"suffix":""}],"container-title":"CoRR","id":"ITEM-1","issued":{"date-parts":[["2014"]]},"title":"Going Deeper with Convolutions","type":"article-journal","volume":"abs/1409.4"},"uris":["http://www.mendeley.com/documents/?uuid=68cc5b41-206a-44ff-a9a4-fbca1d0a6e37"]},{"id":"ITEM-2","itemData":{"author":[{"dropping-particle":"","family":"Szegedy","given":"Christian","non-dropping-particle":"","parse-names":false,"suffix":""},{"dropping-particle":"","family":"Vanhoucke","given":"Vincent","non-dropping-particle":"","parse-names":false,"suffix":""},{"dropping-particle":"","family":"Ioffe","given":"Sergey","non-dropping-particle":"","parse-names":false,"suffix":""},{"dropping-particle":"","family":"Shlens","given":"Jonathon","non-dropping-particle":"","parse-names":false,"suffix":""},{"dropping-particle":"","family":"Wojna","given":"Zbigniew","non-dropping-particle":"","parse-names":false,"suffix":""}],"container-title":"arXiv e-prints","id":"ITEM-2","issued":{"date-parts":[["2015","12"]]},"page":"arXiv:1512.00567","title":"Rethinking the Inception Architecture for Computer Vision","type":"article-journal"},"uris":["http://www.mendeley.com/documents/?uuid=6122b197-b3d8-44b5-9cfd-299fcd8c6e6f"]}],"mendeley":{"formattedCitation":"(Szegedy et al., 2014, 2015)","plainTextFormattedCitation":"(Szegedy et al., 2014, 2015)","previouslyFormattedCitation":"(Szegedy et al., 2014, 2015)"},"properties":{"noteIndex":0},"schema":"https://github.com/citation-style-language/schema/raw/master/csl-citation.json"}</w:instrText>
      </w:r>
      <w:r>
        <w:rPr>
          <w:bCs/>
        </w:rPr>
        <w:fldChar w:fldCharType="separate"/>
      </w:r>
      <w:r w:rsidRPr="001B451A">
        <w:rPr>
          <w:bCs/>
          <w:noProof/>
        </w:rPr>
        <w:t>(Szegedy et al., 2014, 2015)</w:t>
      </w:r>
      <w:r>
        <w:rPr>
          <w:bCs/>
        </w:rPr>
        <w:fldChar w:fldCharType="end"/>
      </w:r>
      <w:r>
        <w:rPr>
          <w:bCs/>
        </w:rPr>
        <w:t xml:space="preserve"> that uses blocks of convolutional layers with different filter sizes (5 x 5, 3 x 3, and 1 x 1), implements concatenation, and ends up being more than 40 layers deep. ResNets </w:t>
      </w:r>
      <w:r>
        <w:rPr>
          <w:bCs/>
        </w:rPr>
        <w:fldChar w:fldCharType="begin" w:fldLock="1"/>
      </w:r>
      <w:r>
        <w:rPr>
          <w:bCs/>
        </w:rPr>
        <w:instrText>ADDIN CSL_CITATION {"citationItems":[{"id":"ITEM-1","itemData":{"ISBN":"978-3-319-46493-0","abstract":"Deep residual networks have emerged as a family of extremely deep architectures showing compelling accuracy and nice convergence behaviors. In this paper, we analyze the propagation formulations behind the residual building blocks, which suggest that the forward and backward signals can be directly propagated from one block to any other block, when using identity mappings as the skip connections and after-addition activation. A series of ablation experiments support the importance of these identity mappings. This motivates us to propose a new residual unit, which makes training easier and improves generalization. We report improved results using a 1001-layer ResNet on CIFAR-10 (4.62 % error) and CIFAR-100, and a 200-layer ResNet on ImageNet. Code is available at: https://github.com/KaimingHe/resnet-1k-layers.","author":[{"dropping-particle":"","family":"He","given":"Kaiming","non-dropping-particle":"","parse-names":false,"suffix":""},{"dropping-particle":"","family":"Zhang","given":"Xiangyu","non-dropping-particle":"","parse-names":false,"suffix":""},{"dropping-particle":"","family":"Ren","given":"Shaoqing","non-dropping-particle":"","parse-names":false,"suffix":""},{"dropping-particle":"","family":"Sun","given":"Jian","non-dropping-particle":"","parse-names":false,"suffix":""}],"container-title":"Computer Vision -- ECCV 2016","editor":[{"dropping-particle":"","family":"Leibe","given":"Bastian","non-dropping-particle":"","parse-names":false,"suffix":""},{"dropping-particle":"","family":"Matas","given":"Jiri","non-dropping-particle":"","parse-names":false,"suffix":""},{"dropping-particle":"","family":"Sebe","given":"Nicu","non-dropping-particle":"","parse-names":false,"suffix":""},{"dropping-particle":"","family":"Welling","given":"Max","non-dropping-particle":"","parse-names":false,"suffix":""}],"id":"ITEM-1","issued":{"date-parts":[["2016"]]},"page":"630-645","publisher":"Springer International Publishing","publisher-place":"Cham","title":"Identity Mappings in Deep Residual Networks","type":"paper-conference"},"uris":["http://www.mendeley.com/documents/?uuid=6badc2da-912d-41d5-89b8-3f9f33f056b5"]}],"mendeley":{"formattedCitation":"(He et al., 2016)","plainTextFormattedCitation":"(He et al., 2016)","previouslyFormattedCitation":"(He et al., 2016)"},"properties":{"noteIndex":0},"schema":"https://github.com/citation-style-language/schema/raw/master/csl-citation.json"}</w:instrText>
      </w:r>
      <w:r>
        <w:rPr>
          <w:bCs/>
        </w:rPr>
        <w:fldChar w:fldCharType="separate"/>
      </w:r>
      <w:r w:rsidRPr="001B451A">
        <w:rPr>
          <w:bCs/>
          <w:noProof/>
        </w:rPr>
        <w:t>(He et al., 2016)</w:t>
      </w:r>
      <w:r>
        <w:rPr>
          <w:bCs/>
        </w:rPr>
        <w:fldChar w:fldCharType="end"/>
      </w:r>
      <w:r>
        <w:rPr>
          <w:bCs/>
        </w:rPr>
        <w:t xml:space="preserve"> and DenseNets </w:t>
      </w:r>
      <w:r>
        <w:rPr>
          <w:bCs/>
        </w:rPr>
        <w:fldChar w:fldCharType="begin" w:fldLock="1"/>
      </w:r>
      <w:r>
        <w:rPr>
          <w:bCs/>
        </w:rPr>
        <w:instrText>ADDIN CSL_CITATION {"citationItems":[{"id":"ITEM-1","itemData":{"author":[{"dropping-particle":"","family":"Huang","given":"Gao","non-dropping-particle":"","parse-names":false,"suffix":""},{"dropping-particle":"","family":"Liu","given":"Zhuang","non-dropping-particle":"","parse-names":false,"suffix":""},{"dropping-particle":"","family":"Weinberger","given":"Kilian Q","non-dropping-particle":"","parse-names":false,"suffix":""}],"container-title":"CoRR","id":"ITEM-1","issued":{"date-parts":[["2016"]]},"title":"Densely Connected Convolutional Networks","type":"article-journal","volume":"abs/1608.0"},"uris":["http://www.mendeley.com/documents/?uuid=ffaecd66-3ffb-472d-b45f-05acd978b80c"]}],"mendeley":{"formattedCitation":"(Huang et al., 2016)","plainTextFormattedCitation":"(Huang et al., 2016)","previouslyFormattedCitation":"(Huang et al., 2016)"},"properties":{"noteIndex":0},"schema":"https://github.com/citation-style-language/schema/raw/master/csl-citation.json"}</w:instrText>
      </w:r>
      <w:r>
        <w:rPr>
          <w:bCs/>
        </w:rPr>
        <w:fldChar w:fldCharType="separate"/>
      </w:r>
      <w:r w:rsidRPr="001B451A">
        <w:rPr>
          <w:bCs/>
          <w:noProof/>
        </w:rPr>
        <w:t>(Huang et al., 2016)</w:t>
      </w:r>
      <w:r>
        <w:rPr>
          <w:bCs/>
        </w:rPr>
        <w:fldChar w:fldCharType="end"/>
      </w:r>
      <w:r>
        <w:rPr>
          <w:bCs/>
        </w:rPr>
        <w:t xml:space="preserve"> are hundreds of layers deep. </w:t>
      </w:r>
      <w:r>
        <w:rPr>
          <w:bCs/>
        </w:rPr>
        <w:fldChar w:fldCharType="begin" w:fldLock="1"/>
      </w:r>
      <w:r>
        <w:rPr>
          <w:bCs/>
        </w:rPr>
        <w:instrText>ADDIN CSL_CITATION {"citationItems":[{"id":"ITEM-1","itemData":{"DOI":"10.1190/tle37070529.1","ISSN":"1070-485X","author":[{"dropping-particle":"","family":"Waldeland","given":"Anders U.","non-dropping-particle":"","parse-names":false,"suffix":""},{"dropping-particle":"","family":"Jensen","given":"Are Charles","non-dropping-particle":"","parse-names":false,"suffix":""},{"dropping-particle":"","family":"Gelius","given":"Leiv-J.","non-dropping-particle":"","parse-names":false,"suffix":""},{"dropping-particle":"","family":"Solberg","given":"Anne H. Schistad","non-dropping-particle":"","parse-names":false,"suffix":""}],"container-title":"The Leading Edge","id":"ITEM-1","issue":"7","issued":{"date-parts":[["2018","7"]]},"page":"529-537","title":"Convolutional neural networks for automated seismic interpretation","type":"article-journal","volume":"37"},"uris":["http://www.mendeley.com/documents/?uuid=29d7c4e9-cc07-3255-b1c8-95336df59141"]}],"mendeley":{"formattedCitation":"(Waldeland et al., 2018)","manualFormatting":"Waldeland et al's. (2018)","plainTextFormattedCitation":"(Waldeland et al., 2018)","previouslyFormattedCitation":"(Waldeland et al., 2018)"},"properties":{"noteIndex":0},"schema":"https://github.com/citation-style-language/schema/raw/master/csl-citation.json"}</w:instrText>
      </w:r>
      <w:r>
        <w:rPr>
          <w:bCs/>
        </w:rPr>
        <w:fldChar w:fldCharType="separate"/>
      </w:r>
      <w:r w:rsidRPr="002A6579">
        <w:rPr>
          <w:bCs/>
          <w:noProof/>
        </w:rPr>
        <w:t>Waldeland et al</w:t>
      </w:r>
      <w:r>
        <w:rPr>
          <w:bCs/>
          <w:noProof/>
        </w:rPr>
        <w:t>'s</w:t>
      </w:r>
      <w:r w:rsidRPr="002A6579">
        <w:rPr>
          <w:bCs/>
          <w:noProof/>
        </w:rPr>
        <w:t xml:space="preserve">. </w:t>
      </w:r>
      <w:r>
        <w:rPr>
          <w:bCs/>
          <w:noProof/>
        </w:rPr>
        <w:t>(</w:t>
      </w:r>
      <w:r w:rsidRPr="002A6579">
        <w:rPr>
          <w:bCs/>
          <w:noProof/>
        </w:rPr>
        <w:t>2018)</w:t>
      </w:r>
      <w:r>
        <w:rPr>
          <w:bCs/>
        </w:rPr>
        <w:fldChar w:fldCharType="end"/>
      </w:r>
      <w:r>
        <w:rPr>
          <w:bCs/>
        </w:rPr>
        <w:t xml:space="preserve"> CNN model for seismic facies classification contains five convolutional layers. </w:t>
      </w:r>
      <w:r>
        <w:rPr>
          <w:bCs/>
        </w:rPr>
        <w:fldChar w:fldCharType="begin" w:fldLock="1"/>
      </w:r>
      <w:r>
        <w:rPr>
          <w:bCs/>
        </w:rPr>
        <w:instrText>ADDIN CSL_CITATION {"citationItems":[{"id":"ITEM-1","itemData":{"DOI":"10.1190/geo2018-0646.1","author":[{"dropping-particle":"","family":"Wu","given":"Xinming","non-dropping-particle":"","parse-names":false,"suffix":""},{"dropping-particle":"","family":"Liang","given":"Luming","non-dropping-particle":"","parse-names":false,"suffix":""},{"dropping-particle":"","family":"Shi","given":"Yunzhi","non-dropping-particle":"","parse-names":false,"suffix":""},{"dropping-particle":"","family":"Fomel","given":"Sergey","non-dropping-particle":"","parse-names":false,"suffix":""}],"container-title":"GEOPHYSICS","id":"ITEM-1","issued":{"date-parts":[["2019","2"]]},"page":"1-36","publisher":"Society of Exploration Geophysicists","title":"FaultSeg3D: using synthetic datasets to train an end-to-end convolutional neural network for 3D seismic fault segmentation","type":"article-journal"},"uris":["http://www.mendeley.com/documents/?uuid=5128ffac-8dde-4ddf-8a80-1f0aaf031465"]}],"mendeley":{"formattedCitation":"(Wu et al., 2019)","manualFormatting":"Wu et al's. (2019)","plainTextFormattedCitation":"(Wu et al., 2019)","previouslyFormattedCitation":"(Wu et al., 2019)"},"properties":{"noteIndex":0},"schema":"https://github.com/citation-style-language/schema/raw/master/csl-citation.json"}</w:instrText>
      </w:r>
      <w:r>
        <w:rPr>
          <w:bCs/>
        </w:rPr>
        <w:fldChar w:fldCharType="separate"/>
      </w:r>
      <w:r w:rsidRPr="002A6579">
        <w:rPr>
          <w:bCs/>
          <w:noProof/>
        </w:rPr>
        <w:t>Wu et al</w:t>
      </w:r>
      <w:r>
        <w:rPr>
          <w:bCs/>
          <w:noProof/>
        </w:rPr>
        <w:t>'s</w:t>
      </w:r>
      <w:r w:rsidRPr="002A6579">
        <w:rPr>
          <w:bCs/>
          <w:noProof/>
        </w:rPr>
        <w:t xml:space="preserve">. </w:t>
      </w:r>
      <w:r>
        <w:rPr>
          <w:bCs/>
          <w:noProof/>
        </w:rPr>
        <w:t>(</w:t>
      </w:r>
      <w:r w:rsidRPr="002A6579">
        <w:rPr>
          <w:bCs/>
          <w:noProof/>
        </w:rPr>
        <w:t>2019)</w:t>
      </w:r>
      <w:r>
        <w:rPr>
          <w:bCs/>
        </w:rPr>
        <w:fldChar w:fldCharType="end"/>
      </w:r>
      <w:r>
        <w:rPr>
          <w:bCs/>
        </w:rPr>
        <w:t xml:space="preserve"> FaultSeg, based on </w:t>
      </w:r>
      <w:r>
        <w:rPr>
          <w:bCs/>
        </w:rPr>
        <w:fldChar w:fldCharType="begin" w:fldLock="1"/>
      </w:r>
      <w:r>
        <w:rPr>
          <w:bCs/>
        </w:rPr>
        <w:instrText>ADDIN CSL_CITATION {"citationItems":[{"id":"ITEM-1","itemData":{"ISBN":"978-3-319-24574-4","abstract":"There is large consent that successful training of deep networks requires many thousand annotated training samples. In this paper, we present a network and training strategy that relies on the strong use of data augmentation to use the available annotated samples more efficiently. The architecture consists of a contracting path to capture context and a symmetric expanding path that enables precise localization. We show that such a network can be trained end-to-end from very few images and outperforms the prior best method (a sliding-window convolutional network) on the ISBI challenge for segmentation of neuronal structures in electron microscopic stacks. Using the same network trained on transmitted light microscopy images (phase contrast and DIC) we won the ISBI cell tracking challenge 2015 in these categories by a large margin. Moreover, the network is fast. Segmentation of a 512x512 image takes less than a second on a recent GPU. The full implementation (based on Caffe) and the trained networks are available at http://lmb.informatik.uni-freiburg.de/people/ronneber/u-net .","author":[{"dropping-particle":"","family":"Ronneberger","given":"Olaf","non-dropping-particle":"","parse-names":false,"suffix":""},{"dropping-particle":"","family":"Fischer","given":"Philipp","non-dropping-particle":"","parse-names":false,"suffix":""},{"dropping-particle":"","family":"Brox","given":"Thomas","non-dropping-particle":"","parse-names":false,"suffix":""}],"container-title":"Medical Image Computing and Computer-Assisted Intervention -- MICCAI 2015","editor":[{"dropping-particle":"","family":"Navab","given":"Nassir","non-dropping-particle":"","parse-names":false,"suffix":""},{"dropping-particle":"","family":"Hornegger","given":"Joachim","non-dropping-particle":"","parse-names":false,"suffix":""},{"dropping-particle":"","family":"Wells","given":"William M","non-dropping-particle":"","parse-names":false,"suffix":""},{"dropping-particle":"","family":"Frangi","given":"Alejandro F","non-dropping-particle":"","parse-names":false,"suffix":""}],"id":"ITEM-1","issued":{"date-parts":[["2015"]]},"page":"234-241","publisher":"Springer International Publishing","publisher-place":"Cham","title":"U-Net: Convolutional Networks for Biomedical Image Segmentation","type":"paper-conference"},"uris":["http://www.mendeley.com/documents/?uuid=cf98ccb0-f1d9-4fe8-b6a3-6e9a94166ec7"]}],"mendeley":{"formattedCitation":"(Ronneberger et al., 2015)","manualFormatting":"Ronneberger et al.'s (2015)","plainTextFormattedCitation":"(Ronneberger et al., 2015)","previouslyFormattedCitation":"(Ronneberger et al., 2015)"},"properties":{"noteIndex":0},"schema":"https://github.com/citation-style-language/schema/raw/master/csl-citation.json"}</w:instrText>
      </w:r>
      <w:r>
        <w:rPr>
          <w:bCs/>
        </w:rPr>
        <w:fldChar w:fldCharType="separate"/>
      </w:r>
      <w:r w:rsidRPr="002A6579">
        <w:rPr>
          <w:bCs/>
          <w:noProof/>
        </w:rPr>
        <w:t>Ronneberger et al.</w:t>
      </w:r>
      <w:r>
        <w:rPr>
          <w:bCs/>
          <w:noProof/>
        </w:rPr>
        <w:t>'s</w:t>
      </w:r>
      <w:r w:rsidRPr="002A6579">
        <w:rPr>
          <w:bCs/>
          <w:noProof/>
        </w:rPr>
        <w:t xml:space="preserve"> </w:t>
      </w:r>
      <w:r>
        <w:rPr>
          <w:bCs/>
          <w:noProof/>
        </w:rPr>
        <w:t>(</w:t>
      </w:r>
      <w:r w:rsidRPr="002A6579">
        <w:rPr>
          <w:bCs/>
          <w:noProof/>
        </w:rPr>
        <w:t>2015)</w:t>
      </w:r>
      <w:r>
        <w:rPr>
          <w:bCs/>
        </w:rPr>
        <w:fldChar w:fldCharType="end"/>
      </w:r>
      <w:r>
        <w:rPr>
          <w:bCs/>
        </w:rPr>
        <w:t xml:space="preserve"> U-net, used for seismic fault segmentation has tens of convolutional layers. </w:t>
      </w:r>
    </w:p>
    <w:p w14:paraId="181CBCBE" w14:textId="68F9D7A3" w:rsidR="00A32BB7" w:rsidRDefault="0053410A" w:rsidP="0053410A">
      <w:pPr>
        <w:pStyle w:val="SEGBodyText"/>
        <w:rPr>
          <w:bCs/>
        </w:rPr>
      </w:pPr>
      <w:r>
        <w:rPr>
          <w:bCs/>
        </w:rPr>
        <w:t xml:space="preserve">Activation maximization </w:t>
      </w:r>
      <w:r>
        <w:rPr>
          <w:bCs/>
        </w:rPr>
        <w:fldChar w:fldCharType="begin" w:fldLock="1"/>
      </w:r>
      <w:r>
        <w:rPr>
          <w:bCs/>
        </w:rPr>
        <w:instrText>ADDIN CSL_CITATION {"citationItems":[{"id":"ITEM-1","itemData":{"DOI":"10.23915/distill.00007","author":[{"dropping-particle":"","family":"Olah","given":"Chris","non-dropping-particle":"","parse-names":false,"suffix":""},{"dropping-particle":"","family":"Mordvintsev","given":"Alexander","non-dropping-particle":"","parse-names":false,"suffix":""},{"dropping-particle":"","family":"Schubert","given":"Ludwig","non-dropping-particle":"","parse-names":false,"suffix":""}],"container-title":"Distill","id":"ITEM-1","issued":{"date-parts":[["2017"]]},"note":"https://distill.pub/2017/feature-visualization","title":"Feature Visualization","type":"article-journal"},"uris":["http://www.mendeley.com/documents/?uuid=173495c0-8322-4a7f-b026-bc1185657a6a"]}],"mendeley":{"formattedCitation":"(Olah et al., 2017)","manualFormatting":"(e.g Olah et al., 2017)","plainTextFormattedCitation":"(Olah et al., 2017)","previouslyFormattedCitation":"(Olah et al., 2017)"},"properties":{"noteIndex":0},"schema":"https://github.com/citation-style-language/schema/raw/master/csl-citation.json"}</w:instrText>
      </w:r>
      <w:r>
        <w:rPr>
          <w:bCs/>
        </w:rPr>
        <w:fldChar w:fldCharType="separate"/>
      </w:r>
      <w:r w:rsidRPr="00263666">
        <w:rPr>
          <w:bCs/>
          <w:noProof/>
        </w:rPr>
        <w:t>(</w:t>
      </w:r>
      <w:r>
        <w:rPr>
          <w:bCs/>
          <w:noProof/>
        </w:rPr>
        <w:t xml:space="preserve">e.g </w:t>
      </w:r>
      <w:r w:rsidRPr="00263666">
        <w:rPr>
          <w:bCs/>
          <w:noProof/>
        </w:rPr>
        <w:t>Olah et al., 2017)</w:t>
      </w:r>
      <w:r>
        <w:rPr>
          <w:bCs/>
        </w:rPr>
        <w:fldChar w:fldCharType="end"/>
      </w:r>
      <w:r>
        <w:rPr>
          <w:bCs/>
        </w:rPr>
        <w:t xml:space="preserve"> provides another way to try to understand what a CNN expects. Again making use of backpropagation, the activation maximization idea is to create </w:t>
      </w:r>
      <w:r w:rsidRPr="00575A17">
        <w:rPr>
          <w:bCs/>
        </w:rPr>
        <w:t xml:space="preserve">an input to the </w:t>
      </w:r>
      <w:r>
        <w:rPr>
          <w:bCs/>
        </w:rPr>
        <w:t xml:space="preserve">CNN such that the output of a </w:t>
      </w:r>
      <w:r w:rsidRPr="00575A17">
        <w:rPr>
          <w:bCs/>
        </w:rPr>
        <w:t xml:space="preserve">given </w:t>
      </w:r>
      <w:r>
        <w:rPr>
          <w:bCs/>
        </w:rPr>
        <w:t>neuron is maximized</w:t>
      </w:r>
      <w:r w:rsidRPr="00575A17">
        <w:rPr>
          <w:bCs/>
        </w:rPr>
        <w:t xml:space="preserve">. </w:t>
      </w:r>
      <w:r>
        <w:rPr>
          <w:bCs/>
        </w:rPr>
        <w:t xml:space="preserve">In practice, we use an objective function </w:t>
      </w:r>
      <w:r w:rsidRPr="00575A17">
        <w:rPr>
          <w:bCs/>
        </w:rPr>
        <w:t xml:space="preserve">to maximize the mean of </w:t>
      </w:r>
      <w:r>
        <w:rPr>
          <w:bCs/>
        </w:rPr>
        <w:t xml:space="preserve">a selected neuron’s </w:t>
      </w:r>
      <w:r w:rsidRPr="00575A17">
        <w:rPr>
          <w:bCs/>
        </w:rPr>
        <w:t xml:space="preserve">output. </w:t>
      </w:r>
      <w:r>
        <w:rPr>
          <w:bCs/>
        </w:rPr>
        <w:t xml:space="preserve">The CNN then starts classifying a random noise image. </w:t>
      </w:r>
      <w:r w:rsidRPr="00575A17">
        <w:rPr>
          <w:bCs/>
        </w:rPr>
        <w:t xml:space="preserve">Then, we </w:t>
      </w:r>
      <w:r>
        <w:rPr>
          <w:bCs/>
        </w:rPr>
        <w:t xml:space="preserve">compute </w:t>
      </w:r>
      <w:r w:rsidRPr="00575A17">
        <w:rPr>
          <w:bCs/>
        </w:rPr>
        <w:t xml:space="preserve">the gradients </w:t>
      </w:r>
      <w:r>
        <w:rPr>
          <w:bCs/>
        </w:rPr>
        <w:t xml:space="preserve">using backpropagation </w:t>
      </w:r>
      <w:r w:rsidRPr="00575A17">
        <w:rPr>
          <w:bCs/>
        </w:rPr>
        <w:t xml:space="preserve">to perform gradient ascent on the </w:t>
      </w:r>
      <w:r>
        <w:rPr>
          <w:bCs/>
        </w:rPr>
        <w:t>random noise image</w:t>
      </w:r>
      <w:r w:rsidRPr="00575A17">
        <w:rPr>
          <w:bCs/>
        </w:rPr>
        <w:t xml:space="preserve">. Iteratively, we build an input that </w:t>
      </w:r>
      <w:r>
        <w:rPr>
          <w:bCs/>
        </w:rPr>
        <w:t xml:space="preserve">maximizes the neuron’s output. </w:t>
      </w:r>
      <w:r>
        <w:rPr>
          <w:bCs/>
        </w:rPr>
        <w:fldChar w:fldCharType="begin"/>
      </w:r>
      <w:r>
        <w:rPr>
          <w:bCs/>
        </w:rPr>
        <w:instrText xml:space="preserve"> REF _Ref23863103 \h </w:instrText>
      </w:r>
      <w:r>
        <w:rPr>
          <w:bCs/>
        </w:rPr>
      </w:r>
      <w:r>
        <w:rPr>
          <w:bCs/>
        </w:rPr>
        <w:fldChar w:fldCharType="separate"/>
      </w:r>
      <w:r>
        <w:t xml:space="preserve">Figure </w:t>
      </w:r>
      <w:r>
        <w:rPr>
          <w:noProof/>
        </w:rPr>
        <w:t>11</w:t>
      </w:r>
      <w:r>
        <w:rPr>
          <w:bCs/>
        </w:rPr>
        <w:fldChar w:fldCharType="end"/>
      </w:r>
      <w:r>
        <w:rPr>
          <w:bCs/>
        </w:rPr>
        <w:t xml:space="preserve"> shows examples of activation maximization performed using VGG16 for the “ourzel” and “trilobite” classes. The online version of this manuscript contains videos showing how the images change from the starting noise to the final output. We implement a simple version that only tries to improve the visualization using total variation (TV) </w:t>
      </w:r>
      <w:r>
        <w:rPr>
          <w:bCs/>
        </w:rPr>
        <w:lastRenderedPageBreak/>
        <w:t xml:space="preserve">regularization. The choice of TV regularization is justified as activation maximization based on the optimization of an objective function that maximizes the output of a selected neuron as we implement can be highly affected by high frequency artifacts. In fact, generating appropriate activation maximization results is somewhat challenging. </w:t>
      </w:r>
      <w:r>
        <w:rPr>
          <w:bCs/>
        </w:rPr>
        <w:fldChar w:fldCharType="begin" w:fldLock="1"/>
      </w:r>
      <w:r>
        <w:rPr>
          <w:bCs/>
        </w:rPr>
        <w:instrText>ADDIN CSL_CITATION {"citationItems":[{"id":"ITEM-1","itemData":{"DOI":"10.23915/distill.00007","author":[{"dropping-particle":"","family":"Olah","given":"Chris","non-dropping-particle":"","parse-names":false,"suffix":""},{"dropping-particle":"","family":"Mordvintsev","given":"Alexander","non-dropping-particle":"","parse-names":false,"suffix":""},{"dropping-particle":"","family":"Schubert","given":"Ludwig","non-dropping-particle":"","parse-names":false,"suffix":""}],"container-title":"Distill","id":"ITEM-1","issued":{"date-parts":[["2017"]]},"note":"https://distill.pub/2017/feature-visualization","title":"Feature Visualization","type":"article-journal"},"uris":["http://www.mendeley.com/documents/?uuid=173495c0-8322-4a7f-b026-bc1185657a6a"]}],"mendeley":{"formattedCitation":"(Olah et al., 2017)","manualFormatting":"Olah et al. (2017)","plainTextFormattedCitation":"(Olah et al., 2017)","previouslyFormattedCitation":"(Olah et al., 2017)"},"properties":{"noteIndex":0},"schema":"https://github.com/citation-style-language/schema/raw/master/csl-citation.json"}</w:instrText>
      </w:r>
      <w:r>
        <w:rPr>
          <w:bCs/>
        </w:rPr>
        <w:fldChar w:fldCharType="separate"/>
      </w:r>
      <w:r>
        <w:rPr>
          <w:bCs/>
          <w:noProof/>
        </w:rPr>
        <w:t>Olah et al.</w:t>
      </w:r>
      <w:r w:rsidRPr="003D3DB3">
        <w:rPr>
          <w:bCs/>
          <w:noProof/>
        </w:rPr>
        <w:t xml:space="preserve"> </w:t>
      </w:r>
      <w:r>
        <w:rPr>
          <w:bCs/>
          <w:noProof/>
        </w:rPr>
        <w:t>(</w:t>
      </w:r>
      <w:r w:rsidRPr="003D3DB3">
        <w:rPr>
          <w:bCs/>
          <w:noProof/>
        </w:rPr>
        <w:t>2017)</w:t>
      </w:r>
      <w:r>
        <w:rPr>
          <w:bCs/>
        </w:rPr>
        <w:fldChar w:fldCharType="end"/>
      </w:r>
      <w:r>
        <w:rPr>
          <w:bCs/>
        </w:rPr>
        <w:t xml:space="preserve"> provided details on different approaches to generate better visualizations, such as regularizations, upscaling, and randomly shifting the image during the optimization process. </w:t>
      </w:r>
    </w:p>
    <w:p w14:paraId="53D27AA1" w14:textId="77777777" w:rsidR="00A32BB7" w:rsidRDefault="00A32BB7">
      <w:pPr>
        <w:spacing w:line="240" w:lineRule="auto"/>
        <w:rPr>
          <w:rFonts w:ascii="Times" w:eastAsiaTheme="minorEastAsia" w:hAnsi="Times"/>
          <w:bCs/>
          <w:lang w:bidi="ar-SA"/>
        </w:rPr>
      </w:pPr>
      <w:r>
        <w:rPr>
          <w:bCs/>
        </w:rPr>
        <w:br w:type="page"/>
      </w:r>
    </w:p>
    <w:p w14:paraId="21819353" w14:textId="77777777" w:rsidR="0053410A" w:rsidRDefault="0053410A" w:rsidP="00C17359">
      <w:pPr>
        <w:pStyle w:val="SEGBodyText"/>
        <w:keepNext/>
        <w:ind w:firstLine="0"/>
        <w:jc w:val="center"/>
      </w:pPr>
      <w:r>
        <w:rPr>
          <w:noProof/>
        </w:rPr>
        <w:lastRenderedPageBreak/>
        <w:drawing>
          <wp:inline distT="0" distB="0" distL="0" distR="0" wp14:anchorId="0AE20030" wp14:editId="1B2DF2B4">
            <wp:extent cx="5133975" cy="4001968"/>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39411" cy="4006205"/>
                    </a:xfrm>
                    <a:prstGeom prst="rect">
                      <a:avLst/>
                    </a:prstGeom>
                    <a:noFill/>
                  </pic:spPr>
                </pic:pic>
              </a:graphicData>
            </a:graphic>
          </wp:inline>
        </w:drawing>
      </w:r>
    </w:p>
    <w:p w14:paraId="02FDA9E1" w14:textId="60BACEF9" w:rsidR="0053410A" w:rsidRPr="005971B4" w:rsidRDefault="0053410A" w:rsidP="00607DF1">
      <w:pPr>
        <w:pStyle w:val="Caption"/>
      </w:pPr>
      <w:bookmarkStart w:id="46" w:name="_Ref23862378"/>
      <w:bookmarkStart w:id="47" w:name="_Toc26534496"/>
      <w:r>
        <w:t xml:space="preserve">Figure </w:t>
      </w:r>
      <w:r w:rsidR="00CE1F3C">
        <w:fldChar w:fldCharType="begin"/>
      </w:r>
      <w:r w:rsidR="00CE1F3C">
        <w:instrText xml:space="preserve"> SEQ Figure \* ARABIC </w:instrText>
      </w:r>
      <w:r w:rsidR="00CE1F3C">
        <w:fldChar w:fldCharType="separate"/>
      </w:r>
      <w:r>
        <w:rPr>
          <w:noProof/>
        </w:rPr>
        <w:t>10</w:t>
      </w:r>
      <w:r w:rsidR="00CE1F3C">
        <w:rPr>
          <w:noProof/>
        </w:rPr>
        <w:fldChar w:fldCharType="end"/>
      </w:r>
      <w:bookmarkEnd w:id="46"/>
      <w:r>
        <w:t xml:space="preserve">: </w:t>
      </w:r>
      <w:r w:rsidRPr="005971B4">
        <w:t xml:space="preserve">A picture of a dog, picture of a </w:t>
      </w:r>
      <w:r w:rsidR="00030D30" w:rsidRPr="005971B4">
        <w:t>cat, saliency</w:t>
      </w:r>
      <w:r w:rsidRPr="005971B4">
        <w:t xml:space="preserve"> maps</w:t>
      </w:r>
      <w:r>
        <w:t>, and grad-</w:t>
      </w:r>
      <w:r w:rsidR="00030D30">
        <w:t xml:space="preserve">CAM </w:t>
      </w:r>
      <w:r w:rsidR="00030D30" w:rsidRPr="005971B4">
        <w:t>generated</w:t>
      </w:r>
      <w:r w:rsidRPr="005971B4">
        <w:t xml:space="preserve"> with VGG16. </w:t>
      </w:r>
      <w:r>
        <w:t>(a)</w:t>
      </w:r>
      <w:r w:rsidRPr="005971B4">
        <w:t xml:space="preserve"> and </w:t>
      </w:r>
      <w:r>
        <w:t>(b</w:t>
      </w:r>
      <w:r w:rsidRPr="005971B4">
        <w:t xml:space="preserve">) show original image, </w:t>
      </w:r>
      <w:r>
        <w:t>saliency map</w:t>
      </w:r>
      <w:r w:rsidRPr="005971B4">
        <w:t xml:space="preserve">, and Grad CAM. </w:t>
      </w:r>
      <w:r>
        <w:t>The original image (a)</w:t>
      </w:r>
      <w:r w:rsidRPr="005971B4">
        <w:t xml:space="preserve"> was classified as </w:t>
      </w:r>
      <w:r>
        <w:t>a R</w:t>
      </w:r>
      <w:r w:rsidRPr="005971B4">
        <w:t xml:space="preserve">hodesian ridgeback (0.21), </w:t>
      </w:r>
      <w:r>
        <w:t xml:space="preserve">whereas the </w:t>
      </w:r>
      <w:r w:rsidRPr="005971B4">
        <w:t xml:space="preserve">second highest class for </w:t>
      </w:r>
      <w:r>
        <w:t xml:space="preserve">(a) </w:t>
      </w:r>
      <w:r w:rsidRPr="005971B4">
        <w:t xml:space="preserve">was </w:t>
      </w:r>
      <w:r>
        <w:t xml:space="preserve">a </w:t>
      </w:r>
      <w:r w:rsidRPr="005971B4">
        <w:t xml:space="preserve">redbone (0.16), two different dog breeds. Note </w:t>
      </w:r>
      <w:r>
        <w:t>ILSVRC</w:t>
      </w:r>
      <w:r w:rsidRPr="005971B4">
        <w:t xml:space="preserve"> has 1,000 classes and </w:t>
      </w:r>
      <w:r>
        <w:t xml:space="preserve">the </w:t>
      </w:r>
      <w:r w:rsidRPr="005971B4">
        <w:t xml:space="preserve">probability to all classes sums to 1.0. </w:t>
      </w:r>
      <w:r>
        <w:t>The original image</w:t>
      </w:r>
      <w:r w:rsidRPr="005971B4">
        <w:t xml:space="preserve"> in </w:t>
      </w:r>
      <w:r>
        <w:t>(b)</w:t>
      </w:r>
      <w:r w:rsidRPr="005971B4">
        <w:t xml:space="preserve"> was classified as </w:t>
      </w:r>
      <w:r>
        <w:t xml:space="preserve">a </w:t>
      </w:r>
      <w:r w:rsidRPr="005971B4">
        <w:t xml:space="preserve">spider monkey (0.69), the second highest class for </w:t>
      </w:r>
      <w:r>
        <w:t>(b)</w:t>
      </w:r>
      <w:r w:rsidRPr="005971B4">
        <w:t xml:space="preserve"> was </w:t>
      </w:r>
      <w:r>
        <w:t xml:space="preserve">a </w:t>
      </w:r>
      <w:r w:rsidRPr="005971B4">
        <w:t xml:space="preserve">howler monkey (0.08). </w:t>
      </w:r>
      <w:r>
        <w:t xml:space="preserve">Saliency maps </w:t>
      </w:r>
      <w:r w:rsidRPr="005971B4">
        <w:t>compute the gradient of the image with respect to the class assigned by the CNN model. We rescale the gradients from 0 to 255 to present them as color image</w:t>
      </w:r>
      <w:r>
        <w:t>s</w:t>
      </w:r>
      <w:r w:rsidRPr="005971B4">
        <w:t xml:space="preserve">. Grad-CAM is also based on gradients and computes the importance of </w:t>
      </w:r>
      <w:r>
        <w:t xml:space="preserve">the </w:t>
      </w:r>
      <w:r w:rsidRPr="005971B4">
        <w:t xml:space="preserve">output filters towards the final decision. Grad-CAM implements guided backpropagation, in which negative gradients or gradients associated with a negative value of the filter are zeroed, rejecting elements that act negatively towards the decision, thus highlighting </w:t>
      </w:r>
      <w:r>
        <w:t xml:space="preserve">the </w:t>
      </w:r>
      <w:r w:rsidRPr="005971B4">
        <w:t xml:space="preserve">most relevant zones for the model. Although the CNN model focuses on the areas in which the animals are located to provide the final classification, it is incapable of noticing the details of </w:t>
      </w:r>
      <w:r>
        <w:t>(b)</w:t>
      </w:r>
      <w:r w:rsidRPr="005971B4">
        <w:t>. This is very likely due to the fact that ILSVRC contains many pictures of monkeys on trees and few (if any?) pictures of cats on trees.</w:t>
      </w:r>
      <w:bookmarkEnd w:id="47"/>
    </w:p>
    <w:p w14:paraId="586ABE3B" w14:textId="77777777" w:rsidR="0053410A" w:rsidRDefault="0053410A" w:rsidP="0053410A"/>
    <w:p w14:paraId="1210BEB2" w14:textId="77777777" w:rsidR="0053410A" w:rsidRDefault="0053410A" w:rsidP="00C17359">
      <w:pPr>
        <w:keepNext/>
        <w:jc w:val="center"/>
      </w:pPr>
      <w:r>
        <w:rPr>
          <w:noProof/>
          <w:lang w:bidi="ar-SA"/>
        </w:rPr>
        <w:lastRenderedPageBreak/>
        <w:drawing>
          <wp:inline distT="0" distB="0" distL="0" distR="0" wp14:anchorId="4CC49EE2" wp14:editId="2E10267C">
            <wp:extent cx="4848225" cy="4134141"/>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52013" cy="4137371"/>
                    </a:xfrm>
                    <a:prstGeom prst="rect">
                      <a:avLst/>
                    </a:prstGeom>
                    <a:noFill/>
                  </pic:spPr>
                </pic:pic>
              </a:graphicData>
            </a:graphic>
          </wp:inline>
        </w:drawing>
      </w:r>
    </w:p>
    <w:p w14:paraId="2770744E" w14:textId="77777777" w:rsidR="0053410A" w:rsidRPr="005971B4" w:rsidRDefault="0053410A" w:rsidP="00607DF1">
      <w:pPr>
        <w:pStyle w:val="Caption"/>
      </w:pPr>
      <w:bookmarkStart w:id="48" w:name="_Ref23863103"/>
      <w:bookmarkStart w:id="49" w:name="_Toc26534497"/>
      <w:r>
        <w:t xml:space="preserve">Figure </w:t>
      </w:r>
      <w:r w:rsidR="00CE1F3C">
        <w:fldChar w:fldCharType="begin"/>
      </w:r>
      <w:r w:rsidR="00CE1F3C">
        <w:instrText xml:space="preserve"> SEQ Figure \* ARABIC </w:instrText>
      </w:r>
      <w:r w:rsidR="00CE1F3C">
        <w:fldChar w:fldCharType="separate"/>
      </w:r>
      <w:r>
        <w:rPr>
          <w:noProof/>
        </w:rPr>
        <w:t>11</w:t>
      </w:r>
      <w:r w:rsidR="00CE1F3C">
        <w:rPr>
          <w:noProof/>
        </w:rPr>
        <w:fldChar w:fldCharType="end"/>
      </w:r>
      <w:bookmarkEnd w:id="48"/>
      <w:r>
        <w:t xml:space="preserve">: </w:t>
      </w:r>
      <w:r w:rsidRPr="005971B4">
        <w:t xml:space="preserve">Results of activation maximization for </w:t>
      </w:r>
      <w:r>
        <w:t>ILSVRC</w:t>
      </w:r>
      <w:r w:rsidRPr="005971B4">
        <w:t xml:space="preserve"> for classes </w:t>
      </w:r>
      <w:r>
        <w:t>(a)</w:t>
      </w:r>
      <w:r w:rsidRPr="005971B4">
        <w:t xml:space="preserve"> “ourzel” and </w:t>
      </w:r>
      <w:r>
        <w:t>(b)</w:t>
      </w:r>
      <w:r w:rsidRPr="005971B4">
        <w:t xml:space="preserve"> “trilobite”. The input in this case are random values and the algorithm uses backpropagation to update the input in such </w:t>
      </w:r>
      <w:r>
        <w:t xml:space="preserve">a </w:t>
      </w:r>
      <w:r w:rsidRPr="005971B4">
        <w:t xml:space="preserve">way that the output of a particular neuron is maximized. Note how the activation maximization of </w:t>
      </w:r>
      <w:r>
        <w:t>(a)</w:t>
      </w:r>
      <w:r w:rsidRPr="005971B4">
        <w:t xml:space="preserve"> seems to compose beak-like shapes whereas the activation maximization of </w:t>
      </w:r>
      <w:r>
        <w:t>(b)</w:t>
      </w:r>
      <w:r w:rsidRPr="005971B4">
        <w:t xml:space="preserve"> seems to be composed of “trilobite” texture</w:t>
      </w:r>
      <w:r>
        <w:t>s</w:t>
      </w:r>
      <w:r w:rsidRPr="005971B4">
        <w:t>.</w:t>
      </w:r>
      <w:bookmarkEnd w:id="49"/>
    </w:p>
    <w:p w14:paraId="202A8C4F" w14:textId="77777777" w:rsidR="0053410A" w:rsidRPr="00A67BC1" w:rsidRDefault="0053410A" w:rsidP="0053410A"/>
    <w:p w14:paraId="1B55807A" w14:textId="77777777" w:rsidR="0053410A" w:rsidRDefault="00C17359" w:rsidP="00C17359">
      <w:pPr>
        <w:pStyle w:val="Heading2"/>
      </w:pPr>
      <w:bookmarkStart w:id="50" w:name="_Toc26534570"/>
      <w:r>
        <w:t>CNN</w:t>
      </w:r>
      <w:r w:rsidR="0053410A">
        <w:t xml:space="preserve"> as a seismic facies classification tool</w:t>
      </w:r>
      <w:bookmarkEnd w:id="50"/>
    </w:p>
    <w:p w14:paraId="3A2E90A0" w14:textId="77777777" w:rsidR="0053410A" w:rsidRDefault="0053410A" w:rsidP="0053410A">
      <w:pPr>
        <w:pStyle w:val="SEGBodyText"/>
        <w:keepNext/>
      </w:pPr>
      <w:r>
        <w:t xml:space="preserve">We now provide a simple application of CNN to classify seismic facies. We use the CNN model described by </w:t>
      </w:r>
      <w:r>
        <w:fldChar w:fldCharType="begin" w:fldLock="1"/>
      </w:r>
      <w:r>
        <w:instrText>ADDIN CSL_CITATION {"citationItems":[{"id":"ITEM-1","itemData":{"DOI":"10.1190/tle37070529.1","ISSN":"1070-485X","author":[{"dropping-particle":"","family":"Waldeland","given":"Anders U.","non-dropping-particle":"","parse-names":false,"suffix":""},{"dropping-particle":"","family":"Jensen","given":"Are Charles","non-dropping-particle":"","parse-names":false,"suffix":""},{"dropping-particle":"","family":"Gelius","given":"Leiv-J.","non-dropping-particle":"","parse-names":false,"suffix":""},{"dropping-particle":"","family":"Solberg","given":"Anne H. Schistad","non-dropping-particle":"","parse-names":false,"suffix":""}],"container-title":"The Leading Edge","id":"ITEM-1","issue":"7","issued":{"date-parts":[["2018","7"]]},"page":"529-537","title":"Convolutional neural networks for automated seismic interpretation","type":"article-journal","volume":"37"},"uris":["http://www.mendeley.com/documents/?uuid=29d7c4e9-cc07-3255-b1c8-95336df59141"]}],"mendeley":{"formattedCitation":"(Waldeland et al., 2018)","manualFormatting":"Waldeland et al. (2018)","plainTextFormattedCitation":"(Waldeland et al., 2018)","previouslyFormattedCitation":"(Waldeland et al., 2018)"},"properties":{"noteIndex":0},"schema":"https://github.com/citation-style-language/schema/raw/master/csl-citation.json"}</w:instrText>
      </w:r>
      <w:r>
        <w:fldChar w:fldCharType="separate"/>
      </w:r>
      <w:r w:rsidRPr="00BA71DB">
        <w:rPr>
          <w:noProof/>
        </w:rPr>
        <w:t xml:space="preserve">Waldeland et al. </w:t>
      </w:r>
      <w:r>
        <w:rPr>
          <w:noProof/>
        </w:rPr>
        <w:t>(</w:t>
      </w:r>
      <w:r w:rsidRPr="00BA71DB">
        <w:rPr>
          <w:noProof/>
        </w:rPr>
        <w:t>2018)</w:t>
      </w:r>
      <w:r>
        <w:fldChar w:fldCharType="end"/>
      </w:r>
      <w:r>
        <w:t xml:space="preserve"> that uses as input 3D seismic volumes of 65 x 65 x 65 and outputs a single categorical value. Hence, we say this is a classification task. The objective of the CNN model is to use the input information, i.e. the mini 3D seismic cube, and to classify the label of the center voxel. Strictly speaking, the model will attempt to learn the mapping function of the input data to whatever we ask it to classify. Thus, the quality of the </w:t>
      </w:r>
      <w:r>
        <w:lastRenderedPageBreak/>
        <w:t xml:space="preserve">labels is very important now, as the labels are what the model needs to learn. For this task, we use a 3D seismic data acquired by PGS using towed streamer acquisition with two sources and three receiver cables with a maximum offset of 6000 m along the current offshore Louisiana shelf edge. The data map several salt diapirs and minibasins and we select a small subsection containing for our experiment. The volume we use for this experiment has a sample increment of 4 ms, with 37.5 m between lines and 12.5 m between CDPs, with respective dimensions of 1,996 x 326 x 682. The labels we provide for the CNN model are: conformal sedimentary layers (CSL), salt, and mass transport deposits (MTD). </w:t>
      </w:r>
      <w:r>
        <w:fldChar w:fldCharType="begin"/>
      </w:r>
      <w:r>
        <w:instrText xml:space="preserve"> REF _Ref23887655 \h </w:instrText>
      </w:r>
      <w:r>
        <w:fldChar w:fldCharType="separate"/>
      </w:r>
      <w:r>
        <w:t xml:space="preserve">Figure </w:t>
      </w:r>
      <w:r>
        <w:rPr>
          <w:noProof/>
        </w:rPr>
        <w:t>12</w:t>
      </w:r>
      <w:r>
        <w:fldChar w:fldCharType="end"/>
      </w:r>
      <w:r>
        <w:t xml:space="preserve"> shows the total number of labeled samples for each one of the classes. To create this dataset, we simply selected examples of each one of the three classes from 21 different inlines. This “interpretation” process took roughly 20 minutes. For training, we select 20% of the data to be validation. We train the model for 15 epochs using Adam to minimize the cross-entropy loss. Our implementation was not optimized for data input-output management, but the training was completed in roughly one hour using a GeForce RTX 2060. </w:t>
      </w:r>
      <w:r>
        <w:fldChar w:fldCharType="begin"/>
      </w:r>
      <w:r>
        <w:instrText xml:space="preserve"> REF _Ref23888699 \h </w:instrText>
      </w:r>
      <w:r>
        <w:fldChar w:fldCharType="separate"/>
      </w:r>
      <w:r>
        <w:t xml:space="preserve">Figure </w:t>
      </w:r>
      <w:r>
        <w:rPr>
          <w:noProof/>
        </w:rPr>
        <w:t>13</w:t>
      </w:r>
      <w:r>
        <w:fldChar w:fldCharType="end"/>
      </w:r>
      <w:r>
        <w:t xml:space="preserve"> shows how the accuracy and loss change for every training epoch. To obtain a seismic facies volume, we use the trained model to classify every fifth trace and we use bilinear </w:t>
      </w:r>
      <w:r>
        <w:lastRenderedPageBreak/>
        <w:t xml:space="preserve">interpolation on the time slices. </w:t>
      </w:r>
      <w:r>
        <w:fldChar w:fldCharType="begin"/>
      </w:r>
      <w:r>
        <w:instrText xml:space="preserve"> REF _Ref23887900 \h </w:instrText>
      </w:r>
      <w:r>
        <w:fldChar w:fldCharType="separate"/>
      </w:r>
      <w:r>
        <w:t xml:space="preserve">Figure </w:t>
      </w:r>
      <w:r>
        <w:rPr>
          <w:noProof/>
        </w:rPr>
        <w:t>14</w:t>
      </w:r>
      <w:r>
        <w:fldChar w:fldCharType="end"/>
      </w:r>
      <w:r>
        <w:t xml:space="preserve"> shows examples of the labeled data we use to train the model as well as the classes provided by the CNN for the whole volume. </w:t>
      </w:r>
    </w:p>
    <w:p w14:paraId="276F2ED5" w14:textId="77777777" w:rsidR="0053410A" w:rsidRDefault="0053410A" w:rsidP="00C17359">
      <w:pPr>
        <w:pStyle w:val="SEGBodyText"/>
        <w:keepNext/>
        <w:ind w:firstLine="0"/>
        <w:jc w:val="center"/>
      </w:pPr>
      <w:r>
        <w:rPr>
          <w:noProof/>
        </w:rPr>
        <w:drawing>
          <wp:inline distT="0" distB="0" distL="0" distR="0" wp14:anchorId="3CA1297B" wp14:editId="0DC123A3">
            <wp:extent cx="4400550" cy="2883865"/>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403857" cy="2886032"/>
                    </a:xfrm>
                    <a:prstGeom prst="rect">
                      <a:avLst/>
                    </a:prstGeom>
                  </pic:spPr>
                </pic:pic>
              </a:graphicData>
            </a:graphic>
          </wp:inline>
        </w:drawing>
      </w:r>
    </w:p>
    <w:p w14:paraId="6F6459A6" w14:textId="77777777" w:rsidR="0053410A" w:rsidRDefault="0053410A" w:rsidP="00607DF1">
      <w:pPr>
        <w:pStyle w:val="Caption"/>
      </w:pPr>
      <w:bookmarkStart w:id="51" w:name="_Ref23887655"/>
      <w:bookmarkStart w:id="52" w:name="_Toc26534498"/>
      <w:r>
        <w:t xml:space="preserve">Figure </w:t>
      </w:r>
      <w:r w:rsidR="00CE1F3C">
        <w:fldChar w:fldCharType="begin"/>
      </w:r>
      <w:r w:rsidR="00CE1F3C">
        <w:instrText xml:space="preserve"> SEQ Figure \* ARABIC </w:instrText>
      </w:r>
      <w:r w:rsidR="00CE1F3C">
        <w:fldChar w:fldCharType="separate"/>
      </w:r>
      <w:r>
        <w:rPr>
          <w:noProof/>
        </w:rPr>
        <w:t>12</w:t>
      </w:r>
      <w:r w:rsidR="00CE1F3C">
        <w:rPr>
          <w:noProof/>
        </w:rPr>
        <w:fldChar w:fldCharType="end"/>
      </w:r>
      <w:bookmarkEnd w:id="51"/>
      <w:r>
        <w:t>: Histogram showing the number of samples for each one of the three target classes: salt, conformal sedimentary layers (CSL), and mass transport deposit (MTD). Note we tried to provide a somewhat balanced number of samples per class.</w:t>
      </w:r>
      <w:bookmarkEnd w:id="52"/>
      <w:r>
        <w:t xml:space="preserve"> </w:t>
      </w:r>
    </w:p>
    <w:p w14:paraId="77D01EF3" w14:textId="77777777" w:rsidR="0053410A" w:rsidRDefault="0053410A" w:rsidP="00C17359">
      <w:pPr>
        <w:pStyle w:val="SEGBodyText"/>
        <w:keepNext/>
      </w:pPr>
      <w:r>
        <w:rPr>
          <w:noProof/>
        </w:rPr>
        <w:lastRenderedPageBreak/>
        <w:drawing>
          <wp:inline distT="0" distB="0" distL="0" distR="0" wp14:anchorId="4580D06C" wp14:editId="79C89F84">
            <wp:extent cx="4305300" cy="4314959"/>
            <wp:effectExtent l="0" t="0" r="0" b="952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310537" cy="4320208"/>
                    </a:xfrm>
                    <a:prstGeom prst="rect">
                      <a:avLst/>
                    </a:prstGeom>
                  </pic:spPr>
                </pic:pic>
              </a:graphicData>
            </a:graphic>
          </wp:inline>
        </w:drawing>
      </w:r>
    </w:p>
    <w:p w14:paraId="064054FB" w14:textId="77777777" w:rsidR="0053410A" w:rsidRPr="00F66BCC" w:rsidRDefault="0053410A" w:rsidP="00607DF1">
      <w:pPr>
        <w:pStyle w:val="Caption"/>
      </w:pPr>
      <w:bookmarkStart w:id="53" w:name="_Ref23888699"/>
      <w:bookmarkStart w:id="54" w:name="_Toc26534499"/>
      <w:r>
        <w:t xml:space="preserve">Figure </w:t>
      </w:r>
      <w:r w:rsidR="00CE1F3C">
        <w:fldChar w:fldCharType="begin"/>
      </w:r>
      <w:r w:rsidR="00CE1F3C">
        <w:instrText xml:space="preserve"> SEQ Figure \* ARABIC </w:instrText>
      </w:r>
      <w:r w:rsidR="00CE1F3C">
        <w:fldChar w:fldCharType="separate"/>
      </w:r>
      <w:r>
        <w:rPr>
          <w:noProof/>
        </w:rPr>
        <w:t>13</w:t>
      </w:r>
      <w:r w:rsidR="00CE1F3C">
        <w:rPr>
          <w:noProof/>
        </w:rPr>
        <w:fldChar w:fldCharType="end"/>
      </w:r>
      <w:bookmarkEnd w:id="53"/>
      <w:r>
        <w:t>: Model accuracy and loss evolution for 15 epochs of training. Note the accuracy for both training and validation sets reaches 1.0 at epoch four, whereas the loss continues to slowly decrease. The loss is plotted using logarithmic scale.</w:t>
      </w:r>
      <w:bookmarkEnd w:id="54"/>
      <w:r>
        <w:t xml:space="preserve">  </w:t>
      </w:r>
    </w:p>
    <w:p w14:paraId="6D08C8AB" w14:textId="77777777" w:rsidR="0053410A" w:rsidRPr="00F66BCC" w:rsidRDefault="0053410A" w:rsidP="0053410A">
      <w:pPr>
        <w:pStyle w:val="SEGBodyText"/>
        <w:rPr>
          <w:bCs/>
        </w:rPr>
      </w:pPr>
    </w:p>
    <w:p w14:paraId="05073DC3" w14:textId="77777777" w:rsidR="0053410A" w:rsidRDefault="0053410A" w:rsidP="0053410A">
      <w:pPr>
        <w:pStyle w:val="SEGBodyText"/>
        <w:keepNext/>
        <w:ind w:firstLine="0"/>
      </w:pPr>
      <w:r>
        <w:rPr>
          <w:noProof/>
        </w:rPr>
        <w:lastRenderedPageBreak/>
        <w:drawing>
          <wp:inline distT="0" distB="0" distL="0" distR="0" wp14:anchorId="209C7474" wp14:editId="6B474E72">
            <wp:extent cx="6010275" cy="5503290"/>
            <wp:effectExtent l="0" t="0" r="0" b="254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36325" cy="5527143"/>
                    </a:xfrm>
                    <a:prstGeom prst="rect">
                      <a:avLst/>
                    </a:prstGeom>
                    <a:noFill/>
                  </pic:spPr>
                </pic:pic>
              </a:graphicData>
            </a:graphic>
          </wp:inline>
        </w:drawing>
      </w:r>
    </w:p>
    <w:p w14:paraId="01D91C37" w14:textId="77777777" w:rsidR="0053410A" w:rsidRDefault="0053410A" w:rsidP="00607DF1">
      <w:pPr>
        <w:pStyle w:val="Caption"/>
      </w:pPr>
      <w:bookmarkStart w:id="55" w:name="_Ref23887900"/>
      <w:bookmarkStart w:id="56" w:name="_Toc26534500"/>
      <w:r>
        <w:t xml:space="preserve">Figure </w:t>
      </w:r>
      <w:r w:rsidR="00CE1F3C">
        <w:fldChar w:fldCharType="begin"/>
      </w:r>
      <w:r w:rsidR="00CE1F3C">
        <w:instrText xml:space="preserve"> SEQ Figure \* ARABIC </w:instrText>
      </w:r>
      <w:r w:rsidR="00CE1F3C">
        <w:fldChar w:fldCharType="separate"/>
      </w:r>
      <w:r>
        <w:rPr>
          <w:noProof/>
        </w:rPr>
        <w:t>14</w:t>
      </w:r>
      <w:r w:rsidR="00CE1F3C">
        <w:rPr>
          <w:noProof/>
        </w:rPr>
        <w:fldChar w:fldCharType="end"/>
      </w:r>
      <w:bookmarkEnd w:id="55"/>
      <w:r>
        <w:t xml:space="preserve">: </w:t>
      </w:r>
      <w:r w:rsidRPr="004B19BD">
        <w:t xml:space="preserve">Human interpretation and CNN classification results. </w:t>
      </w:r>
      <w:r>
        <w:t>(a)</w:t>
      </w:r>
      <w:r w:rsidRPr="004B19BD">
        <w:t xml:space="preserve"> shows seismic amplitude and examples of interpretation of </w:t>
      </w:r>
      <w:r w:rsidRPr="00713CDA">
        <w:t>conformal sedimentary layers (CSL)</w:t>
      </w:r>
      <w:r w:rsidRPr="004B19BD">
        <w:t xml:space="preserve">, salt, and MTD in different inlines. The </w:t>
      </w:r>
      <w:r>
        <w:t>black</w:t>
      </w:r>
      <w:r w:rsidRPr="004B19BD">
        <w:t xml:space="preserve"> polygons show the interpreted seismic facies that will be used to train the CNN; the yellow arrows in each one of the panels show examples of the same seismic facies present in that class not interpreted, therefore not using for training or validation. </w:t>
      </w:r>
      <w:r>
        <w:t>(b)</w:t>
      </w:r>
      <w:r w:rsidRPr="004B19BD">
        <w:t xml:space="preserve"> The resulting interpretation of the trained CNN model away from the training data overlaid on seismic amplitude. Seismic interpreters will quickly notice areas wherein they agree with CNN provided facies, as well as many areas in which they would disagree. Green arrows </w:t>
      </w:r>
      <w:r>
        <w:t>indicate</w:t>
      </w:r>
      <w:r w:rsidRPr="004B19BD">
        <w:t xml:space="preserve"> locations in which the model seems to correctly classify </w:t>
      </w:r>
      <w:r>
        <w:t xml:space="preserve">the </w:t>
      </w:r>
      <w:r w:rsidRPr="004B19BD">
        <w:t xml:space="preserve">seismic </w:t>
      </w:r>
      <w:r>
        <w:t xml:space="preserve">image </w:t>
      </w:r>
      <w:r w:rsidRPr="004B19BD">
        <w:t xml:space="preserve">as most interpreters would; red arrows </w:t>
      </w:r>
      <w:r>
        <w:t>indicate</w:t>
      </w:r>
      <w:r w:rsidRPr="004B19BD">
        <w:t xml:space="preserve"> locations in which CNN provided facies</w:t>
      </w:r>
      <w:r>
        <w:t xml:space="preserve"> predictions that</w:t>
      </w:r>
      <w:r w:rsidRPr="004B19BD">
        <w:t xml:space="preserve"> needs to be improved. It is evident that the CNN is overpredicting</w:t>
      </w:r>
      <w:r>
        <w:t xml:space="preserve"> the distributions</w:t>
      </w:r>
      <w:r w:rsidRPr="004B19BD">
        <w:t xml:space="preserve"> MTD, very likely due </w:t>
      </w:r>
      <w:r>
        <w:t>to an insufficient number of</w:t>
      </w:r>
      <w:r w:rsidRPr="004B19BD">
        <w:t xml:space="preserve"> training samples.</w:t>
      </w:r>
      <w:bookmarkEnd w:id="56"/>
    </w:p>
    <w:p w14:paraId="011C0A34" w14:textId="77777777" w:rsidR="0053410A" w:rsidRPr="00446E24" w:rsidRDefault="0053410A" w:rsidP="0053410A"/>
    <w:p w14:paraId="2BC0246B" w14:textId="77777777" w:rsidR="0053410A" w:rsidRDefault="00C17359" w:rsidP="00C17359">
      <w:pPr>
        <w:pStyle w:val="Heading2"/>
      </w:pPr>
      <w:bookmarkStart w:id="57" w:name="_Toc26534571"/>
      <w:r>
        <w:lastRenderedPageBreak/>
        <w:t>Limitations and</w:t>
      </w:r>
      <w:r w:rsidR="0053410A">
        <w:t xml:space="preserve"> suggestions for further study</w:t>
      </w:r>
      <w:bookmarkEnd w:id="57"/>
    </w:p>
    <w:p w14:paraId="0541D7D6" w14:textId="77777777" w:rsidR="0053410A" w:rsidRPr="00F66BCC" w:rsidRDefault="0053410A" w:rsidP="0053410A">
      <w:pPr>
        <w:pStyle w:val="SEGBodyText"/>
        <w:rPr>
          <w:bCs/>
        </w:rPr>
      </w:pPr>
      <w:r w:rsidRPr="00F66BCC">
        <w:rPr>
          <w:bCs/>
        </w:rPr>
        <w:t>Although we believe appropriate training data will allow CNN models to generate better results, and despite our decent results using very few training data for 3D CNN seismic facies classification task, at this moment we are unsure when should interpreters apply supervised learning in contrast to unsupervised learning algorithms. We hypothesize unsupervised learning techniques are more appropriate during exploration stages, when the interpreter is still unsure on what to expect of the data. Unsupervised learning methods can help provide a better overview of the data, highlighting different architectural elements “without being specifically asked to do so”. Then, for more detailed interpretation, supervised learning</w:t>
      </w:r>
      <w:r>
        <w:rPr>
          <w:bCs/>
        </w:rPr>
        <w:t xml:space="preserve"> techniques including</w:t>
      </w:r>
      <w:r w:rsidRPr="00F66BCC">
        <w:rPr>
          <w:bCs/>
        </w:rPr>
        <w:t xml:space="preserve"> CNNs, random forest</w:t>
      </w:r>
      <w:r>
        <w:rPr>
          <w:bCs/>
        </w:rPr>
        <w:t xml:space="preserve"> </w:t>
      </w:r>
      <w:r>
        <w:rPr>
          <w:bCs/>
        </w:rPr>
        <w:fldChar w:fldCharType="begin" w:fldLock="1"/>
      </w:r>
      <w:r>
        <w:rPr>
          <w:bCs/>
        </w:rPr>
        <w:instrText>ADDIN CSL_CITATION {"citationItems":[{"id":"ITEM-1","itemData":{"DOI":"10.1190/INT-2018-0246.1","ISSN":"2324-8858","abstract":"AbstractAutomated seismic facies classification using machine-learning algorithms is becoming more common in the geophysics industry. Seismic attributes are frequently used as input because they may express geologic patterns or depositional environments better than the original seismic amplitude. Selecting appropriate attributes becomes a crucial part of the seismic facies classification analysis. For unsupervised learning, principal component analysis can reduce the dimensions of the data while maintaining the highest variance possible. For supervised learning, the best attribute subset can be built by selecting input attributes that are relevant to the output class and avoiding using redundant attributes that are similar to each other. Multiple attributes are tested to classify salt diapirs, mass transport deposits (MTDs), and the conformal reflector ?background? for a 3D seismic marine survey acquired on the northern Gulf of Mexico shelf. We have analyzed attribute-to-attribute correlation and the correlation between the input attributes to the output classes to understand which attributes are relevant and which attributes are redundant. We found that amplitude and texture attribute families are able to differentiate salt, MTDs, and conformal reflectors. Our attribute selection workflow is also applied to the Barnett Shale play to differentiate limestone and shale facies. Multivariate analysis using filter, wrapper, and embedded algorithms was used to rank attributes by importance, so then the best attribute subset for classification is chosen. We find that attribute selection algorithms for supervised learning not only reduce computational cost but also enhance the performance of the classification.","author":[{"dropping-particle":"","family":"Kim","given":"Yuji","non-dropping-particle":"","parse-names":false,"suffix":""},{"dropping-particle":"","family":"Hardisty","given":"Robert","non-dropping-particle":"","parse-names":false,"suffix":""},{"dropping-particle":"","family":"Marfurt","given":"Kurt J","non-dropping-particle":"","parse-names":false,"suffix":""}],"container-title":"Interpretation","id":"ITEM-1","issue":"3","issued":{"date-parts":[["2019","5","29"]]},"note":"doi: 10.1190/INT-2018-0246.1","page":"SE281-SE297","publisher":"Society of Exploration Geophysicists","title":"Attribute selection in seismic facies classification: Application to a Gulf of Mexico 3D seismic survey and the Barnett Shale","type":"article-journal","volume":"7"},"uris":["http://www.mendeley.com/documents/?uuid=6c91a40d-eec1-4a48-9a1f-ceff50dca140"]}],"mendeley":{"formattedCitation":"(Kim et al., 2019)","manualFormatting":"(e.g. Kim et al., 2019)","plainTextFormattedCitation":"(Kim et al., 2019)","previouslyFormattedCitation":"(Kim et al., 2019)"},"properties":{"noteIndex":0},"schema":"https://github.com/citation-style-language/schema/raw/master/csl-citation.json"}</w:instrText>
      </w:r>
      <w:r>
        <w:rPr>
          <w:bCs/>
        </w:rPr>
        <w:fldChar w:fldCharType="separate"/>
      </w:r>
      <w:r w:rsidRPr="00713CDA">
        <w:rPr>
          <w:bCs/>
          <w:noProof/>
        </w:rPr>
        <w:t>(</w:t>
      </w:r>
      <w:r>
        <w:rPr>
          <w:bCs/>
          <w:noProof/>
        </w:rPr>
        <w:t xml:space="preserve">e.g. </w:t>
      </w:r>
      <w:r w:rsidRPr="00713CDA">
        <w:rPr>
          <w:bCs/>
          <w:noProof/>
        </w:rPr>
        <w:t>Kim et al., 2019)</w:t>
      </w:r>
      <w:r>
        <w:rPr>
          <w:bCs/>
        </w:rPr>
        <w:fldChar w:fldCharType="end"/>
      </w:r>
      <w:r w:rsidRPr="00F66BCC">
        <w:rPr>
          <w:bCs/>
        </w:rPr>
        <w:t>, probabilistic neural networks</w:t>
      </w:r>
      <w:r>
        <w:rPr>
          <w:bCs/>
        </w:rPr>
        <w:t xml:space="preserve"> </w:t>
      </w:r>
      <w:r>
        <w:rPr>
          <w:bCs/>
        </w:rPr>
        <w:fldChar w:fldCharType="begin" w:fldLock="1"/>
      </w:r>
      <w:r>
        <w:rPr>
          <w:bCs/>
        </w:rPr>
        <w:instrText>ADDIN CSL_CITATION {"citationItems":[{"id":"ITEM-1","itemData":{"DOI":"doi:10.1190/segam2019-3216841.1","abstract":"In the last decade, machine learning algorithms such as Artificial Neural Networks (ANN), Support Vector Machines (SVM), and Self-organizing Maps (SOM) have been adopted by geoscientists both to extract more detailed information and to accelerate the interpretation of their data. In this study, we present a novel technique called Exhaustive PNN which uses Probabilistic Neural Networks to determine the best suite of seismic attributes to perform a supervised seismic facies classification to differentiate salt from the background seismic response in a Eugene Island seismic survey, offshore Louisiana.Presentation Date: Tuesday, September 17, 2019Session Start Time: 8:30 AMPresentation Time: 11:25 AMLocation: 221CPresentation Type: Oral","author":[{"dropping-particle":"","family":"Lubo-Robles","given":"David","non-dropping-particle":"","parse-names":false,"suffix":""},{"dropping-particle":"","family":"Ha","given":"Thang","non-dropping-particle":"","parse-names":false,"suffix":""},{"dropping-particle":"","family":"Lakshmivarahan","given":"S","non-dropping-particle":"","parse-names":false,"suffix":""},{"dropping-particle":"","family":"Marfurt","given":"Kurt J","non-dropping-particle":"","parse-names":false,"suffix":""}],"collection-title":"SEG Technical Program Expanded Abstracts","container-title":"SEG Technical Program Expanded Abstracts 2019","id":"ITEM-1","issued":{"date-parts":[["2019","8","1"]]},"note":"doi:10.1190/segam2019-3216841.1","page":"2273-2277","publisher":"Society of Exploration Geophysicists","title":"Supervised seismic facies classification using probabilistic neural networks: Which attributes should the interpreter use?","type":"paper-conference"},"uris":["http://www.mendeley.com/documents/?uuid=c536ba4e-beba-492d-bd91-1e867da7ea8b"]},{"id":"ITEM-2","itemData":{"author":[{"dropping-particle":"","family":"Russell","given":"Brian Henderson","non-dropping-particle":"","parse-names":false,"suffix":""}],"id":"ITEM-2","issued":{"date-parts":[["2004","1"]]},"publisher":"University of Calgary (Canada)","title":"The application of multivariate statistics and neural networks to the prediction of reservoir parameters using seismic attributes","type":"thesis"},"uris":["http://www.mendeley.com/documents/?uuid=0e947ba3-cd62-4020-ae30-919efc29756c"]}],"mendeley":{"formattedCitation":"(Russell, 2004; Lubo-Robles et al., 2019)","manualFormatting":"(e.g. Russell, 2004; Lubo-Robles et al., 2019)","plainTextFormattedCitation":"(Russell, 2004; Lubo-Robles et al., 2019)","previouslyFormattedCitation":"(Russell, 2004; Lubo-Robles et al., 2019)"},"properties":{"noteIndex":0},"schema":"https://github.com/citation-style-language/schema/raw/master/csl-citation.json"}</w:instrText>
      </w:r>
      <w:r>
        <w:rPr>
          <w:bCs/>
        </w:rPr>
        <w:fldChar w:fldCharType="separate"/>
      </w:r>
      <w:r w:rsidRPr="00713CDA">
        <w:rPr>
          <w:bCs/>
          <w:noProof/>
        </w:rPr>
        <w:t>(</w:t>
      </w:r>
      <w:r>
        <w:rPr>
          <w:bCs/>
          <w:noProof/>
        </w:rPr>
        <w:t xml:space="preserve">e.g. </w:t>
      </w:r>
      <w:r w:rsidRPr="00713CDA">
        <w:rPr>
          <w:bCs/>
          <w:noProof/>
        </w:rPr>
        <w:t>Russell, 2004; Lubo-Robles et al., 2019)</w:t>
      </w:r>
      <w:r>
        <w:rPr>
          <w:bCs/>
        </w:rPr>
        <w:fldChar w:fldCharType="end"/>
      </w:r>
      <w:r w:rsidRPr="00F66BCC">
        <w:rPr>
          <w:bCs/>
        </w:rPr>
        <w:t>, among others, are likely to provide more details for specific regions of interest.</w:t>
      </w:r>
    </w:p>
    <w:p w14:paraId="4A01F190" w14:textId="77777777" w:rsidR="0053410A" w:rsidRDefault="0053410A" w:rsidP="0053410A">
      <w:pPr>
        <w:pStyle w:val="SEGBodyText"/>
        <w:rPr>
          <w:bCs/>
        </w:rPr>
      </w:pPr>
      <w:r w:rsidRPr="00F66BCC">
        <w:rPr>
          <w:bCs/>
        </w:rPr>
        <w:t xml:space="preserve">Our implementation of </w:t>
      </w:r>
      <w:r>
        <w:rPr>
          <w:bCs/>
        </w:rPr>
        <w:t>saliency maps with simple backpropagation</w:t>
      </w:r>
      <w:r w:rsidRPr="00F66BCC">
        <w:rPr>
          <w:bCs/>
        </w:rPr>
        <w:t xml:space="preserve"> and Grad-CAM produced results too close to zero for the 3D CNN seismic classification example</w:t>
      </w:r>
      <w:r>
        <w:rPr>
          <w:bCs/>
        </w:rPr>
        <w:t>, which might be an indication of vanishing gradients</w:t>
      </w:r>
      <w:r w:rsidRPr="00F66BCC">
        <w:rPr>
          <w:bCs/>
        </w:rPr>
        <w:t xml:space="preserve">. Currently we are unsure whether </w:t>
      </w:r>
      <w:r>
        <w:rPr>
          <w:bCs/>
        </w:rPr>
        <w:t>this unsatisfactory result, with gradients too close to numerical precision,</w:t>
      </w:r>
      <w:r w:rsidRPr="00F66BCC">
        <w:rPr>
          <w:bCs/>
        </w:rPr>
        <w:t xml:space="preserve"> is caused to our poor training data or due to some detail </w:t>
      </w:r>
      <w:r>
        <w:rPr>
          <w:bCs/>
        </w:rPr>
        <w:t xml:space="preserve">missing </w:t>
      </w:r>
      <w:r w:rsidRPr="00F66BCC">
        <w:rPr>
          <w:bCs/>
        </w:rPr>
        <w:t xml:space="preserve">in </w:t>
      </w:r>
      <w:r>
        <w:rPr>
          <w:bCs/>
        </w:rPr>
        <w:t>our implementation</w:t>
      </w:r>
      <w:r w:rsidRPr="00F66BCC">
        <w:rPr>
          <w:bCs/>
        </w:rPr>
        <w:t xml:space="preserve">. </w:t>
      </w:r>
      <w:r>
        <w:rPr>
          <w:bCs/>
        </w:rPr>
        <w:t>Nonetheless, s</w:t>
      </w:r>
      <w:r w:rsidRPr="00F66BCC">
        <w:rPr>
          <w:bCs/>
        </w:rPr>
        <w:t>uch techniques can be useful to help interpreters understand why their models succeed</w:t>
      </w:r>
      <w:r>
        <w:rPr>
          <w:bCs/>
        </w:rPr>
        <w:t xml:space="preserve">s </w:t>
      </w:r>
      <w:r w:rsidRPr="00F66BCC">
        <w:rPr>
          <w:bCs/>
        </w:rPr>
        <w:t>or fail</w:t>
      </w:r>
      <w:r>
        <w:rPr>
          <w:bCs/>
        </w:rPr>
        <w:t>s</w:t>
      </w:r>
      <w:r w:rsidRPr="00F66BCC">
        <w:rPr>
          <w:bCs/>
        </w:rPr>
        <w:t xml:space="preserve"> in different contexts. Other estimations of uncertainty and interpretability can be even more helpful. For example, </w:t>
      </w:r>
      <w:r w:rsidRPr="00F66BCC">
        <w:rPr>
          <w:bCs/>
        </w:rPr>
        <w:fldChar w:fldCharType="begin" w:fldLock="1"/>
      </w:r>
      <w:r w:rsidRPr="00F66BCC">
        <w:rPr>
          <w:bCs/>
        </w:rPr>
        <w:instrText>ADDIN CSL_CITATION {"citationItems":[{"id":"ITEM-1","itemData":{"DOI":"10.1109/MLSP.2018.8516998","ISBN":"VO -","author":[{"dropping-particle":"","family":"Wickstrøm","given":"K","non-dropping-particle":"","parse-names":false,"suffix":""},{"dropping-particle":"","family":"Kampffmeyer","given":"M","non-dropping-particle":"","parse-names":false,"suffix":""},{"dropping-particle":"","family":"Jenssen","given":"R","non-dropping-particle":"","parse-names":false,"suffix":""}],"container-title":"2018 IEEE 28th International Workshop on Machine Learning for Signal Processing (MLSP)","id":"ITEM-1","issued":{"date-parts":[["2018"]]},"page":"1-6","title":"Uncertainty modeling and interpretability in convolutional neural networks for polyp segmentation","type":"paper-conference"},"uris":["http://www.mendeley.com/documents/?uuid=313088bc-c994-43d7-b1b1-38639b16aac7"]}],"mendeley":{"formattedCitation":"(Wickstrøm et al., 2018)","manualFormatting":"Wickstrøm et al. (2018)","plainTextFormattedCitation":"(Wickstrøm et al., 2018)","previouslyFormattedCitation":"(Wickstrøm et al., 2018)"},"properties":{"noteIndex":0},"schema":"https://github.com/citation-style-language/schema/raw/master/csl-citation.json"}</w:instrText>
      </w:r>
      <w:r w:rsidRPr="00F66BCC">
        <w:rPr>
          <w:bCs/>
        </w:rPr>
        <w:fldChar w:fldCharType="separate"/>
      </w:r>
      <w:r w:rsidRPr="00F66BCC">
        <w:rPr>
          <w:bCs/>
          <w:noProof/>
        </w:rPr>
        <w:t>Wickstrøm et al. (2018)</w:t>
      </w:r>
      <w:r w:rsidRPr="00F66BCC">
        <w:rPr>
          <w:bCs/>
        </w:rPr>
        <w:fldChar w:fldCharType="end"/>
      </w:r>
      <w:r w:rsidRPr="00F66BCC">
        <w:rPr>
          <w:bCs/>
        </w:rPr>
        <w:t xml:space="preserve"> use</w:t>
      </w:r>
      <w:r>
        <w:rPr>
          <w:bCs/>
        </w:rPr>
        <w:t>d</w:t>
      </w:r>
      <w:r w:rsidRPr="00F66BCC">
        <w:rPr>
          <w:bCs/>
        </w:rPr>
        <w:t xml:space="preserve"> measures of uncertainty based on dropout to map areas of low confidence during segmentation of polyp images. We believe the application of a similar methodology can be incorporated in many CNN models used for seismic facies classification, helping interpreters define areas of high and low confidence. </w:t>
      </w:r>
    </w:p>
    <w:p w14:paraId="479D0814" w14:textId="77777777" w:rsidR="0053410A" w:rsidRPr="00F66BCC" w:rsidRDefault="0053410A" w:rsidP="0053410A">
      <w:pPr>
        <w:pStyle w:val="SEGBodyText"/>
        <w:rPr>
          <w:bCs/>
        </w:rPr>
      </w:pPr>
      <w:r>
        <w:rPr>
          <w:bCs/>
        </w:rPr>
        <w:lastRenderedPageBreak/>
        <w:t xml:space="preserve">In this manuscript, our goal was to provide insight into CNN used in classification. Many applications of CNN with seismic datasets are actually based on CNNs using a 3D or 2D input to output a 3D or 2D output. In contrast, Waldeland et al.’s (2018) CNN used for 3D input and 3D convolutions to predict a single categorical output. </w:t>
      </w:r>
      <w:r>
        <w:rPr>
          <w:bCs/>
        </w:rPr>
        <w:fldChar w:fldCharType="begin" w:fldLock="1"/>
      </w:r>
      <w:r>
        <w:rPr>
          <w:bCs/>
        </w:rPr>
        <w:instrText>ADDIN CSL_CITATION {"citationItems":[{"id":"ITEM-1","itemData":{"DOI":"10.1190/segam2018-2997085.1","author":[{"dropping-particle":"","family":"Zhao","given":"Tao","non-dropping-particle":"","parse-names":false,"suffix":""}],"container-title":"SEG Technical Program Expanded Abstracts 2018","id":"ITEM-1","issued":{"date-parts":[["2018","8","27"]]},"page":"2046-2050","publisher":"Society of Exploration Geophysicists","title":"Seismic facies classification using different deep convolutional neural networks","type":"paper-conference"},"uris":["http://www.mendeley.com/documents/?uuid=667d31d6-ac1b-37ad-bac2-ccc81f9f01be"]}],"mendeley":{"formattedCitation":"(Zhao, 2018)","manualFormatting":"Zhao (2018)","plainTextFormattedCitation":"(Zhao, 2018)","previouslyFormattedCitation":"(Zhao, 2018)"},"properties":{"noteIndex":0},"schema":"https://github.com/citation-style-language/schema/raw/master/csl-citation.json"}</w:instrText>
      </w:r>
      <w:r>
        <w:rPr>
          <w:bCs/>
        </w:rPr>
        <w:fldChar w:fldCharType="separate"/>
      </w:r>
      <w:r>
        <w:rPr>
          <w:bCs/>
          <w:noProof/>
        </w:rPr>
        <w:t>Zhao</w:t>
      </w:r>
      <w:r w:rsidRPr="0021047A">
        <w:rPr>
          <w:bCs/>
          <w:noProof/>
        </w:rPr>
        <w:t xml:space="preserve"> </w:t>
      </w:r>
      <w:r>
        <w:rPr>
          <w:bCs/>
          <w:noProof/>
        </w:rPr>
        <w:t>(</w:t>
      </w:r>
      <w:r w:rsidRPr="0021047A">
        <w:rPr>
          <w:bCs/>
          <w:noProof/>
        </w:rPr>
        <w:t>2018)</w:t>
      </w:r>
      <w:r>
        <w:rPr>
          <w:bCs/>
        </w:rPr>
        <w:fldChar w:fldCharType="end"/>
      </w:r>
      <w:r>
        <w:rPr>
          <w:bCs/>
        </w:rPr>
        <w:t xml:space="preserve"> compared results of seismic facies segmentation using a classification CNN that uses as input 2D data and outputs a single pixel answer, and a seismic segmentation that uses 2D data as output and outputs 2D data as well. </w:t>
      </w:r>
      <w:r>
        <w:rPr>
          <w:bCs/>
        </w:rPr>
        <w:fldChar w:fldCharType="begin" w:fldLock="1"/>
      </w:r>
      <w:r>
        <w:rPr>
          <w:bCs/>
        </w:rPr>
        <w:instrText>ADDIN CSL_CITATION {"citationItems":[{"id":"ITEM-1","itemData":{"DOI":"10.1190/segam2018-2997085.1","author":[{"dropping-particle":"","family":"Zhao","given":"Tao","non-dropping-particle":"","parse-names":false,"suffix":""}],"container-title":"SEG Technical Program Expanded Abstracts 2018","id":"ITEM-1","issued":{"date-parts":[["2018","8","27"]]},"page":"2046-2050","publisher":"Society of Exploration Geophysicists","title":"Seismic facies classification using different deep convolutional neural networks","type":"paper-conference"},"uris":["http://www.mendeley.com/documents/?uuid=667d31d6-ac1b-37ad-bac2-ccc81f9f01be"]}],"mendeley":{"formattedCitation":"(Zhao, 2018)","manualFormatting":"Zhao (2018)","plainTextFormattedCitation":"(Zhao, 2018)","previouslyFormattedCitation":"(Zhao, 2018)"},"properties":{"noteIndex":0},"schema":"https://github.com/citation-style-language/schema/raw/master/csl-citation.json"}</w:instrText>
      </w:r>
      <w:r>
        <w:rPr>
          <w:bCs/>
        </w:rPr>
        <w:fldChar w:fldCharType="separate"/>
      </w:r>
      <w:r>
        <w:rPr>
          <w:bCs/>
          <w:noProof/>
        </w:rPr>
        <w:t>Zhao</w:t>
      </w:r>
      <w:r w:rsidRPr="0021047A">
        <w:rPr>
          <w:bCs/>
          <w:noProof/>
        </w:rPr>
        <w:t xml:space="preserve"> </w:t>
      </w:r>
      <w:r>
        <w:rPr>
          <w:bCs/>
          <w:noProof/>
        </w:rPr>
        <w:t>(</w:t>
      </w:r>
      <w:r w:rsidRPr="0021047A">
        <w:rPr>
          <w:bCs/>
          <w:noProof/>
        </w:rPr>
        <w:t>2018)</w:t>
      </w:r>
      <w:r>
        <w:rPr>
          <w:bCs/>
        </w:rPr>
        <w:fldChar w:fldCharType="end"/>
      </w:r>
      <w:r>
        <w:rPr>
          <w:bCs/>
        </w:rPr>
        <w:t xml:space="preserve"> found better results for the 2D input-2D output, with more continuous and less noisy results. </w:t>
      </w:r>
      <w:r>
        <w:rPr>
          <w:bCs/>
        </w:rPr>
        <w:fldChar w:fldCharType="begin" w:fldLock="1"/>
      </w:r>
      <w:r>
        <w:rPr>
          <w:bCs/>
        </w:rPr>
        <w:instrText>ADDIN CSL_CITATION {"citationItems":[{"id":"ITEM-1","itemData":{"DOI":"10.1190/geo2018-0646.1","author":[{"dropping-particle":"","family":"Wu","given":"Xinming","non-dropping-particle":"","parse-names":false,"suffix":""},{"dropping-particle":"","family":"Liang","given":"Luming","non-dropping-particle":"","parse-names":false,"suffix":""},{"dropping-particle":"","family":"Shi","given":"Yunzhi","non-dropping-particle":"","parse-names":false,"suffix":""},{"dropping-particle":"","family":"Fomel","given":"Sergey","non-dropping-particle":"","parse-names":false,"suffix":""}],"container-title":"GEOPHYSICS","id":"ITEM-1","issued":{"date-parts":[["2019","2"]]},"page":"1-36","publisher":"Society of Exploration Geophysicists","title":"FaultSeg3D: using synthetic datasets to train an end-to-end convolutional neural network for 3D seismic fault segmentation","type":"article-journal"},"uris":["http://www.mendeley.com/documents/?uuid=5128ffac-8dde-4ddf-8a80-1f0aaf031465"]}],"mendeley":{"formattedCitation":"(Wu et al., 2019)","manualFormatting":"Wu et al.'s (2019)","plainTextFormattedCitation":"(Wu et al., 2019)","previouslyFormattedCitation":"(Wu et al., 2019)"},"properties":{"noteIndex":0},"schema":"https://github.com/citation-style-language/schema/raw/master/csl-citation.json"}</w:instrText>
      </w:r>
      <w:r>
        <w:rPr>
          <w:bCs/>
        </w:rPr>
        <w:fldChar w:fldCharType="separate"/>
      </w:r>
      <w:r>
        <w:rPr>
          <w:bCs/>
          <w:noProof/>
        </w:rPr>
        <w:t>Wu et al.'s</w:t>
      </w:r>
      <w:r w:rsidRPr="00124CD4">
        <w:rPr>
          <w:bCs/>
          <w:noProof/>
        </w:rPr>
        <w:t xml:space="preserve"> </w:t>
      </w:r>
      <w:r>
        <w:rPr>
          <w:bCs/>
          <w:noProof/>
        </w:rPr>
        <w:t>(</w:t>
      </w:r>
      <w:r w:rsidRPr="00124CD4">
        <w:rPr>
          <w:bCs/>
          <w:noProof/>
        </w:rPr>
        <w:t>2019)</w:t>
      </w:r>
      <w:r>
        <w:rPr>
          <w:bCs/>
        </w:rPr>
        <w:fldChar w:fldCharType="end"/>
      </w:r>
      <w:r>
        <w:rPr>
          <w:bCs/>
        </w:rPr>
        <w:t xml:space="preserve"> and </w:t>
      </w:r>
      <w:r>
        <w:rPr>
          <w:bCs/>
        </w:rPr>
        <w:fldChar w:fldCharType="begin" w:fldLock="1"/>
      </w:r>
      <w:r>
        <w:rPr>
          <w:bCs/>
        </w:rPr>
        <w:instrText>ADDIN CSL_CITATION {"citationItems":[{"id":"ITEM-1","itemData":{"DOI":"10.1190/INT-2018-0235.1","ISSN":"2324-8858","abstract":"AbstractSalt boundary interpretation is important for the understanding of salt tectonics and velocity model building for seismic migration. Conventional methods consist of computing salt attributes and extracting salt boundaries. We have formulated the problem as 3D image segmentation and evaluated an efficient approach based on deep convolutional neural networks (CNNs) with an encoder-decoder architecture. To train the model, we design a data generator that extracts randomly positioned subvolumes from large-scale 3D training data set followed by data augmentation, then feed a large number of subvolumes into the network while using salt/nonsalt binary labels generated by thresholding the velocity model as ground truth labels. We test the model on validation data sets and compare the blind test predictions with the ground truth. Our results indicate that our method is capable of automatically capturing subtle salt features from the 3D seismic image with less or no need for manual input. We further test the model on a field example to indicate the generalization of this deep CNN method across different data sets.","author":[{"dropping-particle":"","family":"Shi","given":"Yunzhi","non-dropping-particle":"","parse-names":false,"suffix":""},{"dropping-particle":"","family":"Wu","given":"Xinming","non-dropping-particle":"","parse-names":false,"suffix":""},{"dropping-particle":"","family":"Fomel","given":"Sergey","non-dropping-particle":"","parse-names":false,"suffix":""}],"container-title":"Interpretation","id":"ITEM-1","issue":"3","issued":{"date-parts":[["2019","4","8"]]},"note":"doi: 10.1190/INT-2018-0235.1","page":"SE113-SE122","publisher":"Society of Exploration Geophysicists","title":"SaltSeg: Automatic 3D salt segmentation using a deep convolutional neural network","type":"article-journal","volume":"7"},"uris":["http://www.mendeley.com/documents/?uuid=40fde236-871b-479c-ba72-a98128d6c934"]}],"mendeley":{"formattedCitation":"(Shi et al., 2019)","manualFormatting":"Shi et al.'s (2019)","plainTextFormattedCitation":"(Shi et al., 2019)","previouslyFormattedCitation":"(Shi et al., 2019)"},"properties":{"noteIndex":0},"schema":"https://github.com/citation-style-language/schema/raw/master/csl-citation.json"}</w:instrText>
      </w:r>
      <w:r>
        <w:rPr>
          <w:bCs/>
        </w:rPr>
        <w:fldChar w:fldCharType="separate"/>
      </w:r>
      <w:r>
        <w:rPr>
          <w:bCs/>
          <w:noProof/>
        </w:rPr>
        <w:t>Shi et al.'s</w:t>
      </w:r>
      <w:r w:rsidRPr="00124CD4">
        <w:rPr>
          <w:bCs/>
          <w:noProof/>
        </w:rPr>
        <w:t xml:space="preserve"> </w:t>
      </w:r>
      <w:r>
        <w:rPr>
          <w:bCs/>
          <w:noProof/>
        </w:rPr>
        <w:t>(</w:t>
      </w:r>
      <w:r w:rsidRPr="00124CD4">
        <w:rPr>
          <w:bCs/>
          <w:noProof/>
        </w:rPr>
        <w:t>2019)</w:t>
      </w:r>
      <w:r>
        <w:rPr>
          <w:bCs/>
        </w:rPr>
        <w:fldChar w:fldCharType="end"/>
      </w:r>
      <w:r>
        <w:rPr>
          <w:bCs/>
        </w:rPr>
        <w:t xml:space="preserve"> CNN for seismic facies segmentation, for example, are based on 3D input and 3D outputs</w:t>
      </w:r>
    </w:p>
    <w:p w14:paraId="6E4BB27E" w14:textId="77777777" w:rsidR="0053410A" w:rsidRDefault="00C17359" w:rsidP="00C17359">
      <w:pPr>
        <w:pStyle w:val="Heading2"/>
      </w:pPr>
      <w:bookmarkStart w:id="58" w:name="_Toc26534572"/>
      <w:r>
        <w:t>Conclusions</w:t>
      </w:r>
      <w:bookmarkEnd w:id="58"/>
    </w:p>
    <w:p w14:paraId="690B73B2" w14:textId="382269B5" w:rsidR="0053410A" w:rsidRDefault="0053410A" w:rsidP="0053410A">
      <w:pPr>
        <w:pStyle w:val="SEGBodyText"/>
      </w:pPr>
      <w:r>
        <w:t xml:space="preserve">Despite the recent increase in interest in ML applications, the complexity and unfamiliarity with the technology has limited its acceptance by many practicing geoscientists.  Geoscientists and engineers have years of training in deductive, </w:t>
      </w:r>
      <w:r w:rsidR="00942B6C">
        <w:t>physics</w:t>
      </w:r>
      <w:r>
        <w:t xml:space="preserve">-based reasoning. </w:t>
      </w:r>
      <w:r w:rsidR="00942B6C">
        <w:t xml:space="preserve">The classic approach is to </w:t>
      </w:r>
      <w:r w:rsidR="00FB22E6">
        <w:t xml:space="preserve">apply </w:t>
      </w:r>
      <w:r w:rsidR="00942B6C">
        <w:t xml:space="preserve">a physics-based model to a process (e.g. wave propagation in </w:t>
      </w:r>
      <w:r w:rsidR="00FB22E6">
        <w:t xml:space="preserve">the </w:t>
      </w:r>
      <w:r w:rsidR="00942B6C">
        <w:t>case of seismic observations), and find the parameters for th</w:t>
      </w:r>
      <w:r w:rsidR="00FB22E6">
        <w:t>e</w:t>
      </w:r>
      <w:r w:rsidR="00942B6C">
        <w:t xml:space="preserve"> model (e.g. subsurface velocity)</w:t>
      </w:r>
      <w:r w:rsidR="00FB22E6">
        <w:t xml:space="preserve"> that predict the measured results</w:t>
      </w:r>
      <w:r w:rsidR="00942B6C">
        <w:t xml:space="preserve">. </w:t>
      </w:r>
      <w:r>
        <w:t>ML applications in general, and CNNs in particular</w:t>
      </w:r>
      <w:r w:rsidR="00942B6C">
        <w:t xml:space="preserve">, update </w:t>
      </w:r>
      <w:r>
        <w:t xml:space="preserve">their own </w:t>
      </w:r>
      <w:r w:rsidR="00825477">
        <w:t xml:space="preserve">internal </w:t>
      </w:r>
      <w:r w:rsidR="00942B6C">
        <w:t xml:space="preserve">parameters </w:t>
      </w:r>
      <w:r>
        <w:t>in the form of weights and non-linear components. These model</w:t>
      </w:r>
      <w:r w:rsidR="00942B6C">
        <w:t xml:space="preserve"> parameters</w:t>
      </w:r>
      <w:r>
        <w:t xml:space="preserve"> are generally based on statistics rather than on principals of physics and geology. Our </w:t>
      </w:r>
      <w:r w:rsidR="00FB22E6">
        <w:t xml:space="preserve">objective in this tutorial has been </w:t>
      </w:r>
      <w:r>
        <w:t xml:space="preserve">to remove some of the black-box component from ML and show that the estimation of unknown parameters is closely related to the estimation of the deconvolution operators routinely used by seismic processors.  We have shown step-by-step how a CNN transforms the data from input to output. We also show that with only a small amount of </w:t>
      </w:r>
      <w:r>
        <w:lastRenderedPageBreak/>
        <w:t>interpretation training data, that a CNN can provide useful results. These results will improve with better model</w:t>
      </w:r>
      <w:r w:rsidR="00942B6C">
        <w:t xml:space="preserve"> architecture</w:t>
      </w:r>
      <w:r>
        <w:t xml:space="preserve">s, better labels, and more experience.  </w:t>
      </w:r>
    </w:p>
    <w:p w14:paraId="13008922" w14:textId="77777777" w:rsidR="00D82744" w:rsidRDefault="00D82744">
      <w:pPr>
        <w:spacing w:line="240" w:lineRule="auto"/>
        <w:rPr>
          <w:rFonts w:asciiTheme="majorHAnsi" w:hAnsiTheme="majorHAnsi"/>
          <w:b/>
          <w:bCs/>
          <w:iCs/>
          <w:szCs w:val="28"/>
        </w:rPr>
      </w:pPr>
      <w:r>
        <w:br w:type="page"/>
      </w:r>
    </w:p>
    <w:p w14:paraId="77627177" w14:textId="26512B8D" w:rsidR="0053410A" w:rsidRDefault="004F4884" w:rsidP="004F4884">
      <w:pPr>
        <w:pStyle w:val="Heading2"/>
      </w:pPr>
      <w:bookmarkStart w:id="59" w:name="_Toc26534573"/>
      <w:r>
        <w:lastRenderedPageBreak/>
        <w:t>A</w:t>
      </w:r>
      <w:r w:rsidR="0053410A">
        <w:t>cknowledgments</w:t>
      </w:r>
      <w:bookmarkEnd w:id="59"/>
    </w:p>
    <w:p w14:paraId="16A7E176" w14:textId="77777777" w:rsidR="0053410A" w:rsidRDefault="0053410A" w:rsidP="0053410A">
      <w:pPr>
        <w:pStyle w:val="SEGBodyText"/>
      </w:pPr>
      <w:r>
        <w:t xml:space="preserve">Pires de Lima acknowledges CNPq (grant no. 203589/2014-9) for graduate sponsorship and CPRM for granting absence of leave. Funding for this project was provided by the industry sponsors of the OU Attribute-Assisted Seismic Processing and Interpretation Consortium. </w:t>
      </w:r>
      <w:r w:rsidRPr="00446E24">
        <w:t>We would like to thank the PGS for providing a license to their data for use in research and education.</w:t>
      </w:r>
      <w:r>
        <w:t xml:space="preserve"> We thank New Zealand Petroleum and Minerals for providing good 3D seismic data for the research community at large. </w:t>
      </w:r>
    </w:p>
    <w:p w14:paraId="41812FD4" w14:textId="77777777" w:rsidR="0053410A" w:rsidRDefault="0053410A" w:rsidP="004F4884">
      <w:pPr>
        <w:pStyle w:val="Heading2"/>
      </w:pPr>
      <w:bookmarkStart w:id="60" w:name="_Toc26534574"/>
      <w:r>
        <w:t>References</w:t>
      </w:r>
      <w:bookmarkEnd w:id="60"/>
    </w:p>
    <w:p w14:paraId="1414A831" w14:textId="77777777" w:rsidR="0053410A" w:rsidRDefault="0053410A" w:rsidP="0053410A">
      <w:pPr>
        <w:pStyle w:val="SEGBodyText"/>
        <w:spacing w:before="120" w:beforeAutospacing="0" w:after="0" w:afterAutospacing="0" w:line="240" w:lineRule="auto"/>
        <w:ind w:left="720" w:hanging="720"/>
      </w:pPr>
      <w:r>
        <w:t>Abadi, M. et al., 2016, TensorFlow: A system for large-scale machine learning, in 12th USENIX Symposium on Operating Systems Design and Implementation (OSDI 16): 265–283.</w:t>
      </w:r>
    </w:p>
    <w:p w14:paraId="778520E9" w14:textId="77777777" w:rsidR="0053410A" w:rsidRDefault="0053410A" w:rsidP="0053410A">
      <w:pPr>
        <w:pStyle w:val="SEGBodyText"/>
        <w:spacing w:before="120" w:beforeAutospacing="0" w:after="0" w:afterAutospacing="0" w:line="240" w:lineRule="auto"/>
        <w:ind w:left="720" w:hanging="720"/>
      </w:pPr>
      <w:r>
        <w:t>Alfarraj, M., and G. AlRegib, 2019, Semisupervised sequence modeling for elastic impedance inversion: Interpretation, 7, SE237–SE249, doi:10.1190/INT-2018-0250.1.</w:t>
      </w:r>
    </w:p>
    <w:p w14:paraId="494C84ED" w14:textId="25FF247C" w:rsidR="0053410A" w:rsidRDefault="0053410A" w:rsidP="0053410A">
      <w:pPr>
        <w:pStyle w:val="SEGBodyText"/>
        <w:spacing w:before="120" w:beforeAutospacing="0" w:after="0" w:afterAutospacing="0" w:line="240" w:lineRule="auto"/>
        <w:ind w:left="720" w:hanging="720"/>
      </w:pPr>
      <w:r>
        <w:t xml:space="preserve">Araya-Polo, M., T. Dahlke1, C. Frogner, C. Zhang, T. Poggio, and D. Hohl, 2017, Automated fault detection without seismic processing: The Leading Edge, 36, 208–214, </w:t>
      </w:r>
      <w:r w:rsidR="000E191D">
        <w:t>doi:</w:t>
      </w:r>
      <w:r>
        <w:t>/10.1190/tle36030208.1.</w:t>
      </w:r>
    </w:p>
    <w:p w14:paraId="179462B9" w14:textId="77777777" w:rsidR="0053410A" w:rsidRDefault="0053410A" w:rsidP="0053410A">
      <w:pPr>
        <w:pStyle w:val="SEGBodyText"/>
        <w:spacing w:before="120" w:beforeAutospacing="0" w:after="0" w:afterAutospacing="0" w:line="240" w:lineRule="auto"/>
        <w:ind w:left="720" w:hanging="720"/>
      </w:pPr>
      <w:r>
        <w:t>Ayodele, T. O., 2010, Types of machine learning algorithms, in New advances in machine learning: IntechOpen.</w:t>
      </w:r>
    </w:p>
    <w:p w14:paraId="329C18E4" w14:textId="77777777" w:rsidR="0053410A" w:rsidRDefault="0053410A" w:rsidP="0053410A">
      <w:pPr>
        <w:pStyle w:val="SEGBodyText"/>
        <w:spacing w:before="120" w:beforeAutospacing="0" w:after="0" w:afterAutospacing="0" w:line="240" w:lineRule="auto"/>
        <w:ind w:left="720" w:hanging="720"/>
      </w:pPr>
      <w:r>
        <w:t>Baldwin, J. L., R. M. Bateman, and C. L. Wheatley, 1990, Application of a neural network to the problem of mineral identification from well logs: Society of Professional Well Log Analysts.</w:t>
      </w:r>
    </w:p>
    <w:p w14:paraId="2973B9D2" w14:textId="77777777" w:rsidR="0053410A" w:rsidRDefault="0053410A" w:rsidP="0053410A">
      <w:pPr>
        <w:pStyle w:val="SEGBodyText"/>
        <w:spacing w:before="120" w:beforeAutospacing="0" w:after="0" w:afterAutospacing="0" w:line="240" w:lineRule="auto"/>
        <w:ind w:left="720" w:hanging="720"/>
      </w:pPr>
      <w:r>
        <w:t>Bischoff, A. P., A. Nicol, and M. Beggs, 2017, Stratigraphy of architectural elements in a buried volcanic system and implications for hydrocarbon exploration: Interpretation, 5, SK141–SK159, doi:10.1190/INT-2016-0201.1.</w:t>
      </w:r>
    </w:p>
    <w:p w14:paraId="57AC82B5" w14:textId="77777777" w:rsidR="0053410A" w:rsidRDefault="0053410A" w:rsidP="0053410A">
      <w:pPr>
        <w:pStyle w:val="SEGBodyText"/>
        <w:spacing w:before="120" w:beforeAutospacing="0" w:after="0" w:afterAutospacing="0" w:line="240" w:lineRule="auto"/>
        <w:ind w:left="720" w:hanging="720"/>
      </w:pPr>
      <w:r>
        <w:t>Bishop, C. M., M. Svensén, and C. K. I. Williams, 1998, GTM: The Generative Topographic Mapping: Neural Computation, 10, 215–234, doi:10.1162/089976698300017953.</w:t>
      </w:r>
    </w:p>
    <w:p w14:paraId="101F364B" w14:textId="77777777" w:rsidR="0053410A" w:rsidRDefault="0053410A" w:rsidP="0053410A">
      <w:pPr>
        <w:pStyle w:val="SEGBodyText"/>
        <w:spacing w:before="120" w:beforeAutospacing="0" w:after="0" w:afterAutospacing="0" w:line="240" w:lineRule="auto"/>
        <w:ind w:left="720" w:hanging="720"/>
      </w:pPr>
      <w:r>
        <w:t>Brown, M. P., and M. M. Poulton, 1996, Locating Buried Objects for Environmental Site Investigations Using Neural Networks: Journal of Environmental and Engineering Geophysics, 1, 179–188, doi:10.4133/JEEG1.3.179.</w:t>
      </w:r>
    </w:p>
    <w:p w14:paraId="18729B3D" w14:textId="77777777" w:rsidR="0053410A" w:rsidRDefault="0053410A" w:rsidP="0053410A">
      <w:pPr>
        <w:pStyle w:val="SEGBodyText"/>
        <w:spacing w:before="120" w:beforeAutospacing="0" w:after="0" w:afterAutospacing="0" w:line="240" w:lineRule="auto"/>
        <w:ind w:left="720" w:hanging="720"/>
      </w:pPr>
      <w:r>
        <w:t>Carter, S., Z. Armstrong, L. Schubert, I. Johnson, and C. Olah, 2019, Activation Atlas: Distill, 4, e15, doi:10.23915/distill.00015.</w:t>
      </w:r>
    </w:p>
    <w:p w14:paraId="7FBA2B47" w14:textId="77777777" w:rsidR="0053410A" w:rsidRDefault="0053410A" w:rsidP="0053410A">
      <w:pPr>
        <w:pStyle w:val="SEGBodyText"/>
        <w:spacing w:before="120" w:beforeAutospacing="0" w:after="0" w:afterAutospacing="0" w:line="240" w:lineRule="auto"/>
        <w:ind w:left="720" w:hanging="720"/>
      </w:pPr>
      <w:r>
        <w:t>Chapelle, O., B. Schölkopf, and A. Zien (eds.), 2006, Semi-Supervised Learning: Cambridge, MA, MIT Press.</w:t>
      </w:r>
    </w:p>
    <w:p w14:paraId="241B44DF" w14:textId="77777777" w:rsidR="0053410A" w:rsidRDefault="0053410A" w:rsidP="0053410A">
      <w:pPr>
        <w:pStyle w:val="SEGBodyText"/>
        <w:spacing w:before="120" w:beforeAutospacing="0" w:after="0" w:afterAutospacing="0" w:line="240" w:lineRule="auto"/>
        <w:ind w:left="720" w:hanging="720"/>
      </w:pPr>
      <w:r>
        <w:lastRenderedPageBreak/>
        <w:t>Coléou, T., M. Poupon, and K. Azbel, 2003, Unsupervised seismic facies classification: A review and comparison of techniques and implementation: The Leading Edge, 22, 942–953, doi:10.1190/1.1623635.</w:t>
      </w:r>
    </w:p>
    <w:p w14:paraId="452DDF13" w14:textId="77777777" w:rsidR="0053410A" w:rsidRDefault="0053410A" w:rsidP="0053410A">
      <w:pPr>
        <w:pStyle w:val="SEGBodyText"/>
        <w:spacing w:before="120" w:beforeAutospacing="0" w:after="0" w:afterAutospacing="0" w:line="240" w:lineRule="auto"/>
        <w:ind w:left="720" w:hanging="720"/>
      </w:pPr>
      <w:r>
        <w:t>Cracknell, M. J., and A. M. Reading, 2014, Geological mapping using remote sensing data: A comparison of five machine learning algorithms, their response to variations in the spatial distribution of training data and the use of explicit spatial information: Computers &amp; Geosciences, 63, 22–33, doi:10.1016/J.CAGEO.2013.10.008.</w:t>
      </w:r>
    </w:p>
    <w:p w14:paraId="0BD3C15C" w14:textId="77777777" w:rsidR="0053410A" w:rsidRDefault="0053410A" w:rsidP="0053410A">
      <w:pPr>
        <w:pStyle w:val="SEGBodyText"/>
        <w:spacing w:before="120" w:beforeAutospacing="0" w:after="0" w:afterAutospacing="0" w:line="240" w:lineRule="auto"/>
        <w:ind w:left="720" w:hanging="720"/>
      </w:pPr>
      <w:r>
        <w:t>Cracknell, M. J., A. M. Reading, and P. de Caritat, 2015, Multiple influences on regolith characteristics from continental-scale geophysical and mineralogical remote sensing data using Self-Organizing Maps: Remote Sensing of Environment, 165, 86–99, doi:10.1016/J.RSE.2015.04.029.</w:t>
      </w:r>
    </w:p>
    <w:p w14:paraId="55AD97A6" w14:textId="77777777" w:rsidR="0053410A" w:rsidRDefault="0053410A" w:rsidP="0053410A">
      <w:pPr>
        <w:pStyle w:val="SEGBodyText"/>
        <w:spacing w:before="120" w:beforeAutospacing="0" w:after="0" w:afterAutospacing="0" w:line="240" w:lineRule="auto"/>
        <w:ind w:left="720" w:hanging="720"/>
      </w:pPr>
      <w:r>
        <w:t>DeVries, P. M. R., F. Viégas, M. Wattenberg, and B. J. Meade, 2018, Deep learning of aftershock patterns following large earthquakes: Nature, 560, 632–634, doi:10.1038/s41586-018-0438-y.</w:t>
      </w:r>
    </w:p>
    <w:p w14:paraId="7F9FA21A" w14:textId="77777777" w:rsidR="0053410A" w:rsidRDefault="0053410A" w:rsidP="0053410A">
      <w:pPr>
        <w:pStyle w:val="SEGBodyText"/>
        <w:spacing w:before="120" w:beforeAutospacing="0" w:after="0" w:afterAutospacing="0" w:line="240" w:lineRule="auto"/>
        <w:ind w:left="720" w:hanging="720"/>
      </w:pPr>
      <w:r>
        <w:t>Di, H., T. Zhao, V. Jayaram, X. Wu, L. Huang, G. AlRegib, J. Cao, M. Araya-Polo, S. Chopra, S. Al-Dossary, F. Li, E. Gloaguen, Y. Lin, A. Solberg, and H. Zeng, 2019, Introduction to special section: Machine learning in seismic data analysis: Interpretation, 7, SEi-SEii, doi:10.1190/INT-2019-0609-SPSEINTRO.1.</w:t>
      </w:r>
    </w:p>
    <w:p w14:paraId="2A1AC7BE" w14:textId="77777777" w:rsidR="0053410A" w:rsidRDefault="0053410A" w:rsidP="0053410A">
      <w:pPr>
        <w:pStyle w:val="SEGBodyText"/>
        <w:spacing w:before="120" w:beforeAutospacing="0" w:after="0" w:afterAutospacing="0" w:line="240" w:lineRule="auto"/>
        <w:ind w:left="720" w:hanging="720"/>
      </w:pPr>
      <w:r>
        <w:t>Di, H., D. Gao, and G. AlRegib, 2019, Developing a seismic texture analysis neural network for machine-aided seismic pattern recognition and classification: Geophysical Journal International, 218, 1262–1275, doi:10.1093/gji/ggz226.</w:t>
      </w:r>
    </w:p>
    <w:p w14:paraId="606D8715" w14:textId="7EF2E265" w:rsidR="0053410A" w:rsidRDefault="0053410A" w:rsidP="0053410A">
      <w:pPr>
        <w:pStyle w:val="SEGBodyText"/>
        <w:spacing w:before="120" w:beforeAutospacing="0" w:after="0" w:afterAutospacing="0" w:line="240" w:lineRule="auto"/>
        <w:ind w:left="720" w:hanging="720"/>
      </w:pPr>
      <w:r>
        <w:t>Di, H., Z. Wang, and G. AlRegib, 2018, Why using CNN for seismic interpretation? An investigation, in SEG Technical Program Expanded Abstracts 2018: Society of Exploration Geophysicists, SEG Technical Program Expanded Abstracts, 2216–2220, doi:10.1190/segam2018-2997155.1.</w:t>
      </w:r>
    </w:p>
    <w:p w14:paraId="64E42045" w14:textId="77777777" w:rsidR="0053410A" w:rsidRDefault="0053410A" w:rsidP="0053410A">
      <w:pPr>
        <w:pStyle w:val="SEGBodyText"/>
        <w:spacing w:before="120" w:beforeAutospacing="0" w:after="0" w:afterAutospacing="0" w:line="240" w:lineRule="auto"/>
        <w:ind w:left="720" w:hanging="720"/>
      </w:pPr>
      <w:r>
        <w:t>Duarte-Coronado, D., J. Tellez-Rodriguez, R. Pires de Lima, K. Marfurt, and R. Slatt, 2019, Deep convolutional neural networks as an estimator of porosity in thin-section images for unconventional reservoirs, in SEG Technical Program Expanded Abstracts 2019: Society of Exploration Geophysicists, 3181–3184, doi:10.1190/segam2019-3216898.1.</w:t>
      </w:r>
    </w:p>
    <w:p w14:paraId="1EB6E9A2" w14:textId="77777777" w:rsidR="0053410A" w:rsidRDefault="0053410A" w:rsidP="0053410A">
      <w:pPr>
        <w:pStyle w:val="SEGBodyText"/>
        <w:spacing w:before="120" w:beforeAutospacing="0" w:after="0" w:afterAutospacing="0" w:line="240" w:lineRule="auto"/>
        <w:ind w:left="720" w:hanging="720"/>
      </w:pPr>
      <w:r>
        <w:t>Dumoulin, V., and F. Visin, 2016, A guide to convolution arithmetic for deep learning: ArXiv e-prints.</w:t>
      </w:r>
    </w:p>
    <w:p w14:paraId="6A2DBB46" w14:textId="77777777" w:rsidR="0053410A" w:rsidRDefault="0053410A" w:rsidP="0053410A">
      <w:pPr>
        <w:pStyle w:val="SEGBodyText"/>
        <w:spacing w:before="120" w:beforeAutospacing="0" w:after="0" w:afterAutospacing="0" w:line="240" w:lineRule="auto"/>
        <w:ind w:left="720" w:hanging="720"/>
      </w:pPr>
      <w:r>
        <w:t>Glorot, X., and Y. Bengio, 2010, Understanding the difficulty of training deep feedforward neural networks, in In Proceedings of the International Conference on Artificial Intelligence and Statistics (AISTATS’10). Society for Artificial Intelligence and Statistics.</w:t>
      </w:r>
    </w:p>
    <w:p w14:paraId="77765AF2" w14:textId="77777777" w:rsidR="0053410A" w:rsidRDefault="0053410A" w:rsidP="0053410A">
      <w:pPr>
        <w:pStyle w:val="SEGBodyText"/>
        <w:spacing w:before="120" w:beforeAutospacing="0" w:after="0" w:afterAutospacing="0" w:line="240" w:lineRule="auto"/>
        <w:ind w:left="720" w:hanging="720"/>
      </w:pPr>
      <w:r>
        <w:t>Google, 2019, Machine Learning Glossary: &lt;https://developers.google.com/machine-learning/glossary/&gt; (accessed November 3, 2019).</w:t>
      </w:r>
    </w:p>
    <w:p w14:paraId="128BF30C" w14:textId="77777777" w:rsidR="0053410A" w:rsidRDefault="0053410A" w:rsidP="0053410A">
      <w:pPr>
        <w:pStyle w:val="SEGBodyText"/>
        <w:spacing w:before="120" w:beforeAutospacing="0" w:after="0" w:afterAutospacing="0" w:line="240" w:lineRule="auto"/>
        <w:ind w:left="720" w:hanging="720"/>
      </w:pPr>
      <w:r>
        <w:t>Guo, H., K. J. Marfurt, and J. Liu, 2009, Principal component spectral analysis: Geophysics, 74, P35–P43, doi:10.1190/1.3119264.</w:t>
      </w:r>
    </w:p>
    <w:p w14:paraId="1DF7D406" w14:textId="77777777" w:rsidR="0053410A" w:rsidRDefault="0053410A" w:rsidP="0053410A">
      <w:pPr>
        <w:pStyle w:val="SEGBodyText"/>
        <w:spacing w:before="120" w:beforeAutospacing="0" w:after="0" w:afterAutospacing="0" w:line="240" w:lineRule="auto"/>
        <w:ind w:left="720" w:hanging="720"/>
      </w:pPr>
      <w:r>
        <w:lastRenderedPageBreak/>
        <w:t>Hampson, D. P., J. S. Schuelke, and J. A. Quirein, 2001, Use of multiattribute transforms to predict log properties from seismic data: GEOPHYSICS, 66, 220–236, doi:10.1190/1.1444899.</w:t>
      </w:r>
    </w:p>
    <w:p w14:paraId="478DBAA7" w14:textId="77777777" w:rsidR="0053410A" w:rsidRDefault="0053410A" w:rsidP="0053410A">
      <w:pPr>
        <w:pStyle w:val="SEGBodyText"/>
        <w:spacing w:before="120" w:beforeAutospacing="0" w:after="0" w:afterAutospacing="0" w:line="240" w:lineRule="auto"/>
        <w:ind w:left="720" w:hanging="720"/>
      </w:pPr>
      <w:r>
        <w:t>Hartigan, J. A., and M. A. Wong, 1979, Algorithm AS 136: A K-Means Clustering Algorithm: Journal of the Royal Statistical Society. Series C (Applied Statistics), 28, 100–108, doi:10.2307/2346830.</w:t>
      </w:r>
    </w:p>
    <w:p w14:paraId="233E75A8" w14:textId="77777777" w:rsidR="0053410A" w:rsidRDefault="0053410A" w:rsidP="0053410A">
      <w:pPr>
        <w:pStyle w:val="SEGBodyText"/>
        <w:spacing w:before="120" w:beforeAutospacing="0" w:after="0" w:afterAutospacing="0" w:line="240" w:lineRule="auto"/>
        <w:ind w:left="720" w:hanging="720"/>
      </w:pPr>
      <w:r>
        <w:t>He, K., X. Zhang, S. Ren, and J. Sun, 2016, Identity Mappings in Deep Residual Networks, in  B. Leibe, J. Matas, N. Sebe, and M. Welling, eds., Computer Vision -- ECCV 2016: Springer International Publishing, 630–645.</w:t>
      </w:r>
    </w:p>
    <w:p w14:paraId="2E347178" w14:textId="77777777" w:rsidR="0053410A" w:rsidRDefault="0053410A" w:rsidP="0053410A">
      <w:pPr>
        <w:pStyle w:val="SEGBodyText"/>
        <w:spacing w:before="120" w:beforeAutospacing="0" w:after="0" w:afterAutospacing="0" w:line="240" w:lineRule="auto"/>
        <w:ind w:left="720" w:hanging="720"/>
      </w:pPr>
      <w:r>
        <w:t>Honório, B. C. Z., A. C. Sanchetta, E. P. Leite, and A. C. Vidal, 2014, Independent component spectral analysis: Interpretation, 2, SA21–SA29, doi:10.1190/INT-2013-0074.1.</w:t>
      </w:r>
    </w:p>
    <w:p w14:paraId="2CF1CE5A" w14:textId="77777777" w:rsidR="0053410A" w:rsidRDefault="0053410A" w:rsidP="0053410A">
      <w:pPr>
        <w:pStyle w:val="SEGBodyText"/>
        <w:spacing w:before="120" w:beforeAutospacing="0" w:after="0" w:afterAutospacing="0" w:line="240" w:lineRule="auto"/>
        <w:ind w:left="720" w:hanging="720"/>
      </w:pPr>
      <w:r>
        <w:t>Hu, W., W. Li, and A. Abubakar, 2019, Machine learning and data analytics for geoscience applications: Geophysics.</w:t>
      </w:r>
    </w:p>
    <w:p w14:paraId="538630A8" w14:textId="77777777" w:rsidR="0053410A" w:rsidRDefault="0053410A" w:rsidP="0053410A">
      <w:pPr>
        <w:pStyle w:val="SEGBodyText"/>
        <w:spacing w:before="120" w:beforeAutospacing="0" w:after="0" w:afterAutospacing="0" w:line="240" w:lineRule="auto"/>
        <w:ind w:left="720" w:hanging="720"/>
      </w:pPr>
      <w:r>
        <w:t>Hu, S., W. Zhao, Z. Xu, H. Zeng, Q. Fu, L. Jiang, S. Shi, Z. Wang, and W. Liu, 2017, Applying principal component analysis to seismic attributes for interpretation of evaporite facies: Lower Triassic Jialingjiang Formation, Sichuan Basin, China: Interpretation, 5, T461–T475, doi:10.1190/INT-2017-0004.1.</w:t>
      </w:r>
    </w:p>
    <w:p w14:paraId="5E056E54" w14:textId="77777777" w:rsidR="0053410A" w:rsidRDefault="0053410A" w:rsidP="0053410A">
      <w:pPr>
        <w:pStyle w:val="SEGBodyText"/>
        <w:spacing w:before="120" w:beforeAutospacing="0" w:after="0" w:afterAutospacing="0" w:line="240" w:lineRule="auto"/>
        <w:ind w:left="720" w:hanging="720"/>
      </w:pPr>
      <w:r>
        <w:t>Huang, G., Z. Liu, and K. Q. Weinberger, 2016, Densely Connected Convolutional Networks: CoRR, abs/1608.0.</w:t>
      </w:r>
    </w:p>
    <w:p w14:paraId="1166696E" w14:textId="77777777" w:rsidR="0053410A" w:rsidRDefault="0053410A" w:rsidP="0053410A">
      <w:pPr>
        <w:pStyle w:val="SEGBodyText"/>
        <w:spacing w:before="120" w:beforeAutospacing="0" w:after="0" w:afterAutospacing="0" w:line="240" w:lineRule="auto"/>
        <w:ind w:left="720" w:hanging="720"/>
      </w:pPr>
      <w:r>
        <w:t>Infante-Paez, L., and K. J. Marfurt, 2017, Seismic expression and geomorphology of igneous bodies: A Taranaki Basin, New Zealand, case study: Interpretation, 5, SK121–SK140, doi:10.1190/INT-2016-0244.1.</w:t>
      </w:r>
    </w:p>
    <w:p w14:paraId="20E75D6E" w14:textId="77777777" w:rsidR="0053410A" w:rsidRDefault="0053410A" w:rsidP="0053410A">
      <w:pPr>
        <w:pStyle w:val="SEGBodyText"/>
        <w:spacing w:before="120" w:beforeAutospacing="0" w:after="0" w:afterAutospacing="0" w:line="240" w:lineRule="auto"/>
        <w:ind w:left="720" w:hanging="720"/>
      </w:pPr>
      <w:r>
        <w:t>Jayaram, V., A. Roy, B. Barna, D. Devegowda, J. Floyd, P. Ashok, A. Abubakar, A. Kaul, and E. Schnetzler, 2019, Introduction to special section: Insights to digital oilfield data using artificial intelligence and big data analytics: Interpretation, 7, SFi-SFi, doi:10.1190/INT-2019-0618-SPSEINTRO.1.</w:t>
      </w:r>
    </w:p>
    <w:p w14:paraId="66F80ED7" w14:textId="77777777" w:rsidR="0053410A" w:rsidRDefault="0053410A" w:rsidP="0053410A">
      <w:pPr>
        <w:pStyle w:val="SEGBodyText"/>
        <w:spacing w:before="120" w:beforeAutospacing="0" w:after="0" w:afterAutospacing="0" w:line="240" w:lineRule="auto"/>
        <w:ind w:left="720" w:hanging="720"/>
      </w:pPr>
      <w:r>
        <w:t>Kim, Y., R. Hardisty, and K. J. Marfurt, 2019, Attribute selection in seismic facies classification: Application to a Gulf of Mexico 3D seismic survey and the Barnett Shale: Interpretation, 7, SE281–SE297, doi:10.1190/INT-2018-0246.1.</w:t>
      </w:r>
    </w:p>
    <w:p w14:paraId="555E2BB1" w14:textId="77777777" w:rsidR="0053410A" w:rsidRDefault="0053410A" w:rsidP="0053410A">
      <w:pPr>
        <w:pStyle w:val="SEGBodyText"/>
        <w:spacing w:before="120" w:beforeAutospacing="0" w:after="0" w:afterAutospacing="0" w:line="240" w:lineRule="auto"/>
        <w:ind w:left="720" w:hanging="720"/>
      </w:pPr>
      <w:r>
        <w:t>Kim, Y., and N. Nakata, 2018, Geophysical inversion versus machine learning in inverse problems: The Leading Edge, 37, 894–901, doi:10.1190/tle37120894.1.</w:t>
      </w:r>
    </w:p>
    <w:p w14:paraId="18BEFA1F" w14:textId="77777777" w:rsidR="0053410A" w:rsidRDefault="0053410A" w:rsidP="0053410A">
      <w:pPr>
        <w:pStyle w:val="SEGBodyText"/>
        <w:spacing w:before="120" w:beforeAutospacing="0" w:after="0" w:afterAutospacing="0" w:line="240" w:lineRule="auto"/>
        <w:ind w:left="720" w:hanging="720"/>
      </w:pPr>
      <w:r>
        <w:t>Kingma, D. P., and J. Ba, 2014, Adam: A Method for Stochastic Optimization: arXiv e-prints, arXiv:1412.6980.</w:t>
      </w:r>
    </w:p>
    <w:p w14:paraId="718E4269" w14:textId="77777777" w:rsidR="0053410A" w:rsidRDefault="0053410A" w:rsidP="0053410A">
      <w:pPr>
        <w:pStyle w:val="SEGBodyText"/>
        <w:spacing w:before="120" w:beforeAutospacing="0" w:after="0" w:afterAutospacing="0" w:line="240" w:lineRule="auto"/>
        <w:ind w:left="720" w:hanging="720"/>
      </w:pPr>
      <w:r>
        <w:t>Kleinberg, J. M., 2003, An Impossibility Theorem for Clustering, in  S. Becker, S. Thrun, and K. Obermayer, eds., Advances in Neural Information Processing Systems 15: MIT Press, 463–470.</w:t>
      </w:r>
    </w:p>
    <w:p w14:paraId="7996BD76" w14:textId="77777777" w:rsidR="0053410A" w:rsidRDefault="0053410A" w:rsidP="0053410A">
      <w:pPr>
        <w:pStyle w:val="SEGBodyText"/>
        <w:spacing w:before="120" w:beforeAutospacing="0" w:after="0" w:afterAutospacing="0" w:line="240" w:lineRule="auto"/>
        <w:ind w:left="720" w:hanging="720"/>
      </w:pPr>
      <w:r>
        <w:t>Koch, G. R., 2015, Siamese Neural Networks for One-Shot Image Recognition, in 32nd International Conference on Machine Learning: JMLR.</w:t>
      </w:r>
    </w:p>
    <w:p w14:paraId="26EF59DF" w14:textId="77777777" w:rsidR="0053410A" w:rsidRDefault="0053410A" w:rsidP="0053410A">
      <w:pPr>
        <w:pStyle w:val="SEGBodyText"/>
        <w:spacing w:before="120" w:beforeAutospacing="0" w:after="0" w:afterAutospacing="0" w:line="240" w:lineRule="auto"/>
        <w:ind w:left="720" w:hanging="720"/>
      </w:pPr>
      <w:r>
        <w:t>Kohonen, T., 1990, The self-organizing map: Proceedings of the IEEE, 78, 1464–1480, doi:10.1109/5.58325.</w:t>
      </w:r>
    </w:p>
    <w:p w14:paraId="4757792F" w14:textId="6AD5ABFF" w:rsidR="0053410A" w:rsidRDefault="0053410A" w:rsidP="0053410A">
      <w:pPr>
        <w:pStyle w:val="SEGBodyText"/>
        <w:spacing w:before="120" w:beforeAutospacing="0" w:after="0" w:afterAutospacing="0" w:line="240" w:lineRule="auto"/>
        <w:ind w:left="720" w:hanging="720"/>
      </w:pPr>
      <w:r>
        <w:lastRenderedPageBreak/>
        <w:t>Krizhevsky, A., I. Sutskever, and G. E. Hinton, 2012, ImageNet Classification with Deep Convolutional Neural Networks, in Proceedings of the 25th International Conference on Neural Information Processing Systems - Volume 1: Curran Associates Inc., NIPS’12, 1097–1105.</w:t>
      </w:r>
    </w:p>
    <w:p w14:paraId="22343F23" w14:textId="68159136" w:rsidR="006A0DC8" w:rsidRDefault="006A0DC8" w:rsidP="0053410A">
      <w:pPr>
        <w:pStyle w:val="SEGBodyText"/>
        <w:spacing w:before="120" w:beforeAutospacing="0" w:after="0" w:afterAutospacing="0" w:line="240" w:lineRule="auto"/>
        <w:ind w:left="720" w:hanging="720"/>
      </w:pPr>
      <w:r w:rsidRPr="006A0DC8">
        <w:t>La Marca-Molina, K., Silver, C., Bedle, H., Slatt, R., 2019. Seismic facies identification in a deepwater channel complex applying seismic attributes and unsupervised machine learning techniques. A case study in the Taranaki Basin, New Zealand., in: SEG Technical Program Expanded Abstracts 2019, SEG Technical Program Expanded Abstracts. Society of Exploration Geophysicists, pp. 2059–2063. https://doi.org/doi:10.1190/segam2019-3216705.1</w:t>
      </w:r>
    </w:p>
    <w:p w14:paraId="01D0CA42" w14:textId="77777777" w:rsidR="0053410A" w:rsidRDefault="0053410A" w:rsidP="0053410A">
      <w:pPr>
        <w:pStyle w:val="SEGBodyText"/>
        <w:spacing w:before="120" w:beforeAutospacing="0" w:after="0" w:afterAutospacing="0" w:line="240" w:lineRule="auto"/>
        <w:ind w:left="720" w:hanging="720"/>
      </w:pPr>
      <w:r>
        <w:t>LeCun, Y., 1998, The MNIST database of handwritten digits: http://yann. lecun. com/exdb/mnist/.</w:t>
      </w:r>
    </w:p>
    <w:p w14:paraId="41EBF2B5" w14:textId="77777777" w:rsidR="0053410A" w:rsidRDefault="0053410A" w:rsidP="0053410A">
      <w:pPr>
        <w:pStyle w:val="SEGBodyText"/>
        <w:spacing w:before="120" w:beforeAutospacing="0" w:after="0" w:afterAutospacing="0" w:line="240" w:lineRule="auto"/>
        <w:ind w:left="720" w:hanging="720"/>
      </w:pPr>
      <w:r>
        <w:t>LeCun, Y., Y. Bengio, and G. Hinton, 2015, Deep learning: Nature, 521, 436–444, doi:10.1038/nature14539.</w:t>
      </w:r>
    </w:p>
    <w:p w14:paraId="13CAF475" w14:textId="3EC15AC4" w:rsidR="0053410A" w:rsidRDefault="0053410A" w:rsidP="0053410A">
      <w:pPr>
        <w:pStyle w:val="SEGBodyText"/>
        <w:spacing w:before="120" w:beforeAutospacing="0" w:after="0" w:afterAutospacing="0" w:line="240" w:lineRule="auto"/>
        <w:ind w:left="720" w:hanging="720"/>
      </w:pPr>
      <w:r>
        <w:t>Li, H., W. Yang, and X. Yong, 2018, Deep learning for ground-roll noise attenuation, in SEG Technical Program Expanded Abstracts 2018: Society of Exploration Geophysicists, SEG Technical Program Expanded Abstracts, 1981–1985, doi:10.1190/segam2018-2981295.1.</w:t>
      </w:r>
    </w:p>
    <w:p w14:paraId="6C10E9CB" w14:textId="77777777" w:rsidR="0053410A" w:rsidRDefault="0053410A" w:rsidP="0053410A">
      <w:pPr>
        <w:pStyle w:val="SEGBodyText"/>
        <w:spacing w:before="120" w:beforeAutospacing="0" w:after="0" w:afterAutospacing="0" w:line="240" w:lineRule="auto"/>
        <w:ind w:left="720" w:hanging="720"/>
      </w:pPr>
      <w:r>
        <w:t>Lim, H. H., A. A. Swartz, H. A. Yueh, J. A. Kong, R. T. Shin, and J. J. van Zyl, 1989, Classification of Earth terrain using polarimetric synthetic aperture radar images: Journal of Geophysical Research: Solid Earth, 94, 7049–7057, doi:10.1029/JB094iB06p07049.</w:t>
      </w:r>
    </w:p>
    <w:p w14:paraId="5FE600EA" w14:textId="0635315B" w:rsidR="0053410A" w:rsidRDefault="0053410A" w:rsidP="0053410A">
      <w:pPr>
        <w:pStyle w:val="SEGBodyText"/>
        <w:spacing w:before="120" w:beforeAutospacing="0" w:after="0" w:afterAutospacing="0" w:line="240" w:lineRule="auto"/>
        <w:ind w:left="720" w:hanging="720"/>
      </w:pPr>
      <w:r>
        <w:t xml:space="preserve">Lubo-Robles, D., T. Ha, S. Lakshmivarahan, and K. J. Marfurt, 2019, Supervised seismic facies classification using probabilistic neural networks: Which attributes should the interpreter use?, in SEG Technical Program Expanded Abstracts 2019: Society of Exploration Geophysicists, SEG Technical Program Expanded Abstracts, 2273–2277, </w:t>
      </w:r>
      <w:r w:rsidR="000E191D">
        <w:t>doi:</w:t>
      </w:r>
      <w:r>
        <w:t>10.1190/segam2019-3216841.1.</w:t>
      </w:r>
    </w:p>
    <w:p w14:paraId="15BDE7B4" w14:textId="77777777" w:rsidR="0053410A" w:rsidRDefault="0053410A" w:rsidP="0053410A">
      <w:pPr>
        <w:pStyle w:val="SEGBodyText"/>
        <w:spacing w:before="120" w:beforeAutospacing="0" w:after="0" w:afterAutospacing="0" w:line="240" w:lineRule="auto"/>
        <w:ind w:left="720" w:hanging="720"/>
      </w:pPr>
      <w:r>
        <w:t>Lubo-Robles, D., and K. J. Marfurt, 2019, Independent Component Analysis for reservoir geomorphology and unsupervised seismic facies classification in the Taranaki Basin, New Zealand.: Interpretation, 1–76, doi:10.1190/int-2018-0109.1.</w:t>
      </w:r>
    </w:p>
    <w:p w14:paraId="316E9DF0" w14:textId="77777777" w:rsidR="0053410A" w:rsidRDefault="0053410A" w:rsidP="0053410A">
      <w:pPr>
        <w:pStyle w:val="SEGBodyText"/>
        <w:spacing w:before="120" w:beforeAutospacing="0" w:after="0" w:afterAutospacing="0" w:line="240" w:lineRule="auto"/>
        <w:ind w:left="720" w:hanging="720"/>
      </w:pPr>
      <w:r>
        <w:t>de Matos, M. C., P. L. Osorio, and P. R. Johann, 2007, Unsupervised seismic facies analysis using wavelet transform and self-organizing maps: Geophysics, 72, P9–P21, doi:10.1190/1.2392789.</w:t>
      </w:r>
    </w:p>
    <w:p w14:paraId="7BADC6D7" w14:textId="77777777" w:rsidR="0053410A" w:rsidRDefault="0053410A" w:rsidP="0053410A">
      <w:pPr>
        <w:pStyle w:val="SEGBodyText"/>
        <w:spacing w:before="120" w:beforeAutospacing="0" w:after="0" w:afterAutospacing="0" w:line="240" w:lineRule="auto"/>
        <w:ind w:left="720" w:hanging="720"/>
      </w:pPr>
      <w:r>
        <w:t>de Matos, M. C., M. (Moe) Yenugu, S. M. Angelo, and K. J. Marfurt, 2011, Integrated seismic texture segmentation and cluster analysis applied to channel delineation and chert reservoir characterization: Geophysics, 76, P11–P21, doi:10.1190/geo2010-0150.1.</w:t>
      </w:r>
    </w:p>
    <w:p w14:paraId="54B23152" w14:textId="77777777" w:rsidR="0053410A" w:rsidRDefault="0053410A" w:rsidP="0053410A">
      <w:pPr>
        <w:pStyle w:val="SEGBodyText"/>
        <w:spacing w:before="120" w:beforeAutospacing="0" w:after="0" w:afterAutospacing="0" w:line="240" w:lineRule="auto"/>
        <w:ind w:left="720" w:hanging="720"/>
      </w:pPr>
      <w:r>
        <w:t>Morley, C. K., 2018, 3-D seismic imaging of the plumbing system of the Kora Volcano, Taranaki Basin, New Zealand: The influence of syn-rift structure on shallow igneous intrusion architecture: Geosphere, 14, 2533–2584, doi:10.1130/GES01645.1.</w:t>
      </w:r>
    </w:p>
    <w:p w14:paraId="531B0382" w14:textId="0FE37D9B" w:rsidR="0053410A" w:rsidRDefault="0053410A" w:rsidP="0053410A">
      <w:pPr>
        <w:pStyle w:val="SEGBodyText"/>
        <w:spacing w:before="120" w:beforeAutospacing="0" w:after="0" w:afterAutospacing="0" w:line="240" w:lineRule="auto"/>
        <w:ind w:left="720" w:hanging="720"/>
      </w:pPr>
      <w:r>
        <w:t>Mustafa, A., M. Alfarraj, and G. AlRegib, 2019, Estimation of acoustic impedance from seismic data using temporal convolutional network, in SEG Technical Program Expanded Abstracts 2019: Society of Exploration Geophysicists, SEG Technical Program Expanded Abstracts, 2554–2558, doi:10.1190/segam2019-3216840.1.</w:t>
      </w:r>
    </w:p>
    <w:p w14:paraId="4E628192" w14:textId="77777777" w:rsidR="0053410A" w:rsidRDefault="0053410A" w:rsidP="0053410A">
      <w:pPr>
        <w:pStyle w:val="SEGBodyText"/>
        <w:spacing w:before="120" w:beforeAutospacing="0" w:after="0" w:afterAutospacing="0" w:line="240" w:lineRule="auto"/>
        <w:ind w:left="720" w:hanging="720"/>
      </w:pPr>
      <w:r>
        <w:lastRenderedPageBreak/>
        <w:t>Olah, C., A. Mordvintsev, and L. Schubert, 2017, Feature Visualization: Distill, doi:10.23915/distill.00007.</w:t>
      </w:r>
    </w:p>
    <w:p w14:paraId="341194BB" w14:textId="77777777" w:rsidR="0053410A" w:rsidRDefault="0053410A" w:rsidP="0053410A">
      <w:pPr>
        <w:pStyle w:val="SEGBodyText"/>
        <w:spacing w:before="120" w:beforeAutospacing="0" w:after="0" w:afterAutospacing="0" w:line="240" w:lineRule="auto"/>
        <w:ind w:left="720" w:hanging="720"/>
      </w:pPr>
      <w:r>
        <w:t>Olah, C., A. Satyanarayan, I. Johnson, S. Carter, L. Schubert, K. Ye, and A. Mordvintsev, 2018, The Building Blocks of Interpretability: Distill, doi:10.23915/distill.00010.</w:t>
      </w:r>
    </w:p>
    <w:p w14:paraId="2183A9D8" w14:textId="77777777" w:rsidR="0053410A" w:rsidRDefault="0053410A" w:rsidP="0053410A">
      <w:pPr>
        <w:pStyle w:val="SEGBodyText"/>
        <w:spacing w:before="120" w:beforeAutospacing="0" w:after="0" w:afterAutospacing="0" w:line="240" w:lineRule="auto"/>
        <w:ind w:left="720" w:hanging="720"/>
      </w:pPr>
      <w:r>
        <w:t>Palacio-Niño, J.-O., and F. Berzal, 2019, Evaluation Metrics for Unsupervised Learning Algorithms.</w:t>
      </w:r>
    </w:p>
    <w:p w14:paraId="53178A20" w14:textId="77777777" w:rsidR="0053410A" w:rsidRDefault="0053410A" w:rsidP="0053410A">
      <w:pPr>
        <w:pStyle w:val="SEGBodyText"/>
        <w:spacing w:before="120" w:beforeAutospacing="0" w:after="0" w:afterAutospacing="0" w:line="240" w:lineRule="auto"/>
        <w:ind w:left="720" w:hanging="720"/>
      </w:pPr>
      <w:r>
        <w:t>Pedregosa, F., G. Varoquaux, A. Gramfort, V. Michel, B. Thirion, O. Grisel, M. Blondel, P. Prettenhofer, R. Weiss, V. Dubourg, J. Vanderplas, A. Passos, D. Cournapeau, M. Brucher, M. Perrot, and E. Duchesnay, 2011, Scikit-learn: Machine Learning in Python: Journal of Machine Learning Research, 12, 2825–2830.</w:t>
      </w:r>
    </w:p>
    <w:p w14:paraId="491AD27A" w14:textId="77777777" w:rsidR="0053410A" w:rsidRDefault="0053410A" w:rsidP="0053410A">
      <w:pPr>
        <w:pStyle w:val="SEGBodyText"/>
        <w:spacing w:before="120" w:beforeAutospacing="0" w:after="0" w:afterAutospacing="0" w:line="240" w:lineRule="auto"/>
        <w:ind w:left="720" w:hanging="720"/>
      </w:pPr>
      <w:r>
        <w:t>Perol, T., M. Gharbi, and M. Denolle, 2018, Convolutional neural network for earthquake detection and location: Science Advances, 4, e1700578, doi:10.1126/sciadv.1700578.</w:t>
      </w:r>
    </w:p>
    <w:p w14:paraId="25097EE5" w14:textId="77777777" w:rsidR="0053410A" w:rsidRDefault="0053410A" w:rsidP="0053410A">
      <w:pPr>
        <w:pStyle w:val="SEGBodyText"/>
        <w:spacing w:before="120" w:beforeAutospacing="0" w:after="0" w:afterAutospacing="0" w:line="240" w:lineRule="auto"/>
        <w:ind w:left="720" w:hanging="720"/>
      </w:pPr>
      <w:r>
        <w:t>Pham, N., S. Fomel, and D. Dunlap, 2019, Automatic channel detection using deep learning: Interpretation, 7, SE43–SE50, doi:10.1190/INT-2018-0202.1.</w:t>
      </w:r>
    </w:p>
    <w:p w14:paraId="7855D23B" w14:textId="77777777" w:rsidR="0053410A" w:rsidRDefault="0053410A" w:rsidP="0053410A">
      <w:pPr>
        <w:pStyle w:val="SEGBodyText"/>
        <w:spacing w:before="120" w:beforeAutospacing="0" w:after="0" w:afterAutospacing="0" w:line="240" w:lineRule="auto"/>
        <w:ind w:left="720" w:hanging="720"/>
      </w:pPr>
      <w:r>
        <w:t>Pires de Lima, R., A. Bonar, D. D. Coronado, K. Marfurt, and C. Nicholson, 2019, Deep convolutional neural networks as a geological image classification tool: The Sedimentary Record, 17, 4–9, doi:10.210/sedred.2019.2.</w:t>
      </w:r>
    </w:p>
    <w:p w14:paraId="0F6F26BC" w14:textId="77777777" w:rsidR="0053410A" w:rsidRDefault="0053410A" w:rsidP="0053410A">
      <w:pPr>
        <w:pStyle w:val="SEGBodyText"/>
        <w:spacing w:before="120" w:beforeAutospacing="0" w:after="0" w:afterAutospacing="0" w:line="240" w:lineRule="auto"/>
        <w:ind w:left="720" w:hanging="720"/>
      </w:pPr>
      <w:r>
        <w:t>Pires de Lima, R., and K. J. Marfurt, 2018, Principal component analysis and K-means analysis of airborne gamma-ray spectrometry surveys: doi:10.1190/segam2018-2996506.1.</w:t>
      </w:r>
    </w:p>
    <w:p w14:paraId="362DB32B" w14:textId="77777777" w:rsidR="0053410A" w:rsidRDefault="0053410A" w:rsidP="0053410A">
      <w:pPr>
        <w:pStyle w:val="SEGBodyText"/>
        <w:spacing w:before="120" w:beforeAutospacing="0" w:after="0" w:afterAutospacing="0" w:line="240" w:lineRule="auto"/>
        <w:ind w:left="720" w:hanging="720"/>
      </w:pPr>
      <w:r>
        <w:t>Pires de Lima, R., F. Suriamin, K. J. Marfurt, and M. J. Pranter, 2019, Convolutional neural networks as aid in core lithofacies classification: Interpretation, 7, SF27–SF40, doi:10.1190/INT-2018-0245.1.</w:t>
      </w:r>
    </w:p>
    <w:p w14:paraId="123F4D4B" w14:textId="77777777" w:rsidR="0053410A" w:rsidRDefault="0053410A" w:rsidP="0053410A">
      <w:pPr>
        <w:pStyle w:val="SEGBodyText"/>
        <w:spacing w:before="120" w:beforeAutospacing="0" w:after="0" w:afterAutospacing="0" w:line="240" w:lineRule="auto"/>
        <w:ind w:left="720" w:hanging="720"/>
      </w:pPr>
      <w:r>
        <w:t>Qi, J., T. Lin, T. Zhao, F. Li, and K. Marfurt, 2016, Semisupervised multiattribute seismic facies analysis: Interpretation, 4, SB91–SB106, doi:10.1190/INT-2015-0098.1.</w:t>
      </w:r>
    </w:p>
    <w:p w14:paraId="2184F377" w14:textId="77777777" w:rsidR="0053410A" w:rsidRDefault="0053410A" w:rsidP="0053410A">
      <w:pPr>
        <w:pStyle w:val="SEGBodyText"/>
        <w:spacing w:before="120" w:beforeAutospacing="0" w:after="0" w:afterAutospacing="0" w:line="240" w:lineRule="auto"/>
        <w:ind w:left="720" w:hanging="720"/>
      </w:pPr>
      <w:r>
        <w:t>Ran, X., L. Xue, Y. Zhang, Z. Liu, X. Sang, and J. He, 2019, Rock Classification from Field Image Patches Analyzed Using a Deep Convolutional Neural Network: Mathematics, 7, 755, doi:10.3390/math7080755.</w:t>
      </w:r>
    </w:p>
    <w:p w14:paraId="047CDF12" w14:textId="77777777" w:rsidR="0053410A" w:rsidRDefault="0053410A" w:rsidP="0053410A">
      <w:pPr>
        <w:pStyle w:val="SEGBodyText"/>
        <w:spacing w:before="120" w:beforeAutospacing="0" w:after="0" w:afterAutospacing="0" w:line="240" w:lineRule="auto"/>
        <w:ind w:left="720" w:hanging="720"/>
      </w:pPr>
      <w:r>
        <w:t>Ren, C. X., O. Dorostkar, B. Rouet‐Leduc, C. Hulbert, D. Strebel, R. A. Guyer, P. A. Johnson, and J. Carmeliet, 2019, Machine Learning Reveals the State of Intermittent Frictional Dynamics in a Sheared Granular Fault: Geophysical Research Letters, 46, 7395–7403, doi:10.1029/2019GL082706.</w:t>
      </w:r>
    </w:p>
    <w:p w14:paraId="458669EA" w14:textId="77777777" w:rsidR="0053410A" w:rsidRDefault="0053410A" w:rsidP="0053410A">
      <w:pPr>
        <w:pStyle w:val="SEGBodyText"/>
        <w:spacing w:before="120" w:beforeAutospacing="0" w:after="0" w:afterAutospacing="0" w:line="240" w:lineRule="auto"/>
        <w:ind w:left="720" w:hanging="720"/>
      </w:pPr>
      <w:r>
        <w:t>Roden, R., T. Smith, and D. Sacrey, 2015, Geologic pattern recognition from seismic attributes: Principal component analysis and self-organizing maps: Interpretation, 3, SAE59–SAE83, doi:10.1190/INT-2015-0037.1.</w:t>
      </w:r>
    </w:p>
    <w:p w14:paraId="509A0E93" w14:textId="54093660" w:rsidR="0053410A" w:rsidRDefault="0053410A" w:rsidP="0053410A">
      <w:pPr>
        <w:pStyle w:val="SEGBodyText"/>
        <w:spacing w:before="120" w:beforeAutospacing="0" w:after="0" w:afterAutospacing="0" w:line="240" w:lineRule="auto"/>
        <w:ind w:left="720" w:hanging="720"/>
      </w:pPr>
      <w:r>
        <w:t>Ronneberger, O., P. Fischer, and T. Brox, 2015, U-Net: Convolutional Networks for Biomedical Image Segmentation, in N. Navab, J. Hornegger, W. M. Wells, and A. F. Frangi, eds., Medical Image Computing and Computer-Assisted Intervention -- MICCAI 2015: Springer International Publishing, 234–241.</w:t>
      </w:r>
    </w:p>
    <w:p w14:paraId="412DEBB4" w14:textId="77777777" w:rsidR="0053410A" w:rsidRDefault="0053410A" w:rsidP="0053410A">
      <w:pPr>
        <w:pStyle w:val="SEGBodyText"/>
        <w:spacing w:before="120" w:beforeAutospacing="0" w:after="0" w:afterAutospacing="0" w:line="240" w:lineRule="auto"/>
        <w:ind w:left="720" w:hanging="720"/>
      </w:pPr>
      <w:r>
        <w:t>Rosenblatt, F., 1957, The Perceptron — A Perceiving and Recognizing Automaton: Tech. Rep. 85-460-1 (Cornell Aeronautical Laboratory).</w:t>
      </w:r>
    </w:p>
    <w:p w14:paraId="19B82B1D" w14:textId="77777777" w:rsidR="0053410A" w:rsidRDefault="0053410A" w:rsidP="0053410A">
      <w:pPr>
        <w:pStyle w:val="SEGBodyText"/>
        <w:spacing w:before="120" w:beforeAutospacing="0" w:after="0" w:afterAutospacing="0" w:line="240" w:lineRule="auto"/>
        <w:ind w:left="720" w:hanging="720"/>
      </w:pPr>
      <w:r>
        <w:lastRenderedPageBreak/>
        <w:t>Rostami, M., S. Kolouri, E. Eaton, and K. Kim, 2019, Deep Transfer Learning for Few-Shot SAR Image Classification: Remote Sensing, 11, 1374, doi:10.3390/rs11111374.</w:t>
      </w:r>
    </w:p>
    <w:p w14:paraId="495ABF64" w14:textId="77777777" w:rsidR="0053410A" w:rsidRDefault="0053410A" w:rsidP="0053410A">
      <w:pPr>
        <w:pStyle w:val="SEGBodyText"/>
        <w:spacing w:before="120" w:beforeAutospacing="0" w:after="0" w:afterAutospacing="0" w:line="240" w:lineRule="auto"/>
        <w:ind w:left="720" w:hanging="720"/>
      </w:pPr>
      <w:r>
        <w:t>Roy, A., A. S. Romero-Peláez, T. J. Kwiatkowski, and K. J. Marfurt, 2014, Generative topographic mapping for seismic facies estimation of a carbonate wash, Veracruz Basin, southern Mexico: Interpretation, 2, SA31–SA47, doi:10.1190/INT-2013-0077.1.</w:t>
      </w:r>
    </w:p>
    <w:p w14:paraId="396D4096" w14:textId="77777777" w:rsidR="0053410A" w:rsidRDefault="0053410A" w:rsidP="0053410A">
      <w:pPr>
        <w:pStyle w:val="SEGBodyText"/>
        <w:spacing w:before="120" w:beforeAutospacing="0" w:after="0" w:afterAutospacing="0" w:line="240" w:lineRule="auto"/>
        <w:ind w:left="720" w:hanging="720"/>
      </w:pPr>
      <w:r>
        <w:t>Russakovsky, O., J. Deng, H. Su, J. Krause, S. Satheesh, S. Ma, Z. Huang, A. Karpathy, A. Khosla, M. Bernstein, A. C. Berg, and L. Fei-Fei, 2015, ImageNet Large Scale Visual Recognition Challenge: International Journal of Computer Vision, 115, 211–252, doi:10.1007/s11263-015-0816-y.</w:t>
      </w:r>
    </w:p>
    <w:p w14:paraId="2F538B7E" w14:textId="77777777" w:rsidR="0053410A" w:rsidRDefault="0053410A" w:rsidP="0053410A">
      <w:pPr>
        <w:pStyle w:val="SEGBodyText"/>
        <w:spacing w:before="120" w:beforeAutospacing="0" w:after="0" w:afterAutospacing="0" w:line="240" w:lineRule="auto"/>
        <w:ind w:left="720" w:hanging="720"/>
      </w:pPr>
      <w:r>
        <w:t>Russell, B., 2019, Machine learning and geophysical inversion — A numerical study: The Leading Edge, 38, 512–519, doi:10.1190/tle38070512.1.</w:t>
      </w:r>
    </w:p>
    <w:p w14:paraId="331B21D0" w14:textId="77777777" w:rsidR="0053410A" w:rsidRDefault="0053410A" w:rsidP="0053410A">
      <w:pPr>
        <w:pStyle w:val="SEGBodyText"/>
        <w:spacing w:before="120" w:beforeAutospacing="0" w:after="0" w:afterAutospacing="0" w:line="240" w:lineRule="auto"/>
        <w:ind w:left="720" w:hanging="720"/>
      </w:pPr>
      <w:r>
        <w:t>Russell, B. H., 2004, The application of multivariate statistics and neural networks to the prediction of reservoir parameters using seismic attributes: University of Calgary (Canada).</w:t>
      </w:r>
    </w:p>
    <w:p w14:paraId="32ECF584" w14:textId="77777777" w:rsidR="0053410A" w:rsidRDefault="0053410A" w:rsidP="0053410A">
      <w:pPr>
        <w:pStyle w:val="SEGBodyText"/>
        <w:spacing w:before="120" w:beforeAutospacing="0" w:after="0" w:afterAutospacing="0" w:line="240" w:lineRule="auto"/>
        <w:ind w:left="720" w:hanging="720"/>
      </w:pPr>
      <w:r>
        <w:t>Schroff, F., D. Kalenichenko, and J. Philbin, 2015, FaceNet: A Unified Embedding for Face Recognition and Clustering, in The IEEE Conference on Computer Vision and Pattern Recognition (CVPR).</w:t>
      </w:r>
    </w:p>
    <w:p w14:paraId="47939155" w14:textId="77777777" w:rsidR="0053410A" w:rsidRDefault="0053410A" w:rsidP="0053410A">
      <w:pPr>
        <w:pStyle w:val="SEGBodyText"/>
        <w:spacing w:before="120" w:beforeAutospacing="0" w:after="0" w:afterAutospacing="0" w:line="240" w:lineRule="auto"/>
        <w:ind w:left="720" w:hanging="720"/>
      </w:pPr>
      <w:r>
        <w:t>Selfridge, O. G., 1958, Pandemonium: a paradigm for learning in mechanisation of thought processes, in Proceedings of Symposium on Mechanisation of Thought Processes: 513–526.</w:t>
      </w:r>
    </w:p>
    <w:p w14:paraId="033B558E" w14:textId="77777777" w:rsidR="0053410A" w:rsidRDefault="0053410A" w:rsidP="0053410A">
      <w:pPr>
        <w:pStyle w:val="SEGBodyText"/>
        <w:spacing w:before="120" w:beforeAutospacing="0" w:after="0" w:afterAutospacing="0" w:line="240" w:lineRule="auto"/>
        <w:ind w:left="720" w:hanging="720"/>
      </w:pPr>
      <w:r>
        <w:t>Selvaraju, R. R., M. Cogswell, A. Das, R. Vedantam, D. Parikh, and D. Batra, 2017, Grad-CAM: Visual Explanations from Deep Networks via Gradient-Based Localization, in 2017 IEEE International Conference on Computer Vision (ICCV): 618–626, doi:10.1109/ICCV.2017.74.</w:t>
      </w:r>
    </w:p>
    <w:p w14:paraId="164DDCBD" w14:textId="77777777" w:rsidR="0053410A" w:rsidRDefault="0053410A" w:rsidP="0053410A">
      <w:pPr>
        <w:pStyle w:val="SEGBodyText"/>
        <w:spacing w:before="120" w:beforeAutospacing="0" w:after="0" w:afterAutospacing="0" w:line="240" w:lineRule="auto"/>
        <w:ind w:left="720" w:hanging="720"/>
      </w:pPr>
      <w:r>
        <w:t>Shaw, S., A. Sharma, R. Baraniuk, and B. Roy, 2019, Introduction to this special section: Machine learning applications: The Leading Edge, 38, 510, doi:10.1190/tle38070510.1.</w:t>
      </w:r>
    </w:p>
    <w:p w14:paraId="441A0253" w14:textId="77777777" w:rsidR="0053410A" w:rsidRDefault="0053410A" w:rsidP="0053410A">
      <w:pPr>
        <w:pStyle w:val="SEGBodyText"/>
        <w:spacing w:before="120" w:beforeAutospacing="0" w:after="0" w:afterAutospacing="0" w:line="240" w:lineRule="auto"/>
        <w:ind w:left="720" w:hanging="720"/>
      </w:pPr>
      <w:r>
        <w:t>Shi, Y., X. Wu, and S. Fomel, 2019, SaltSeg: Automatic 3D salt segmentation using a deep convolutional neural network: Interpretation, 7, SE113–SE122, doi:10.1190/INT-2018-0235.1.</w:t>
      </w:r>
    </w:p>
    <w:p w14:paraId="34D7F575" w14:textId="77777777" w:rsidR="0053410A" w:rsidRDefault="0053410A" w:rsidP="0053410A">
      <w:pPr>
        <w:pStyle w:val="SEGBodyText"/>
        <w:spacing w:before="120" w:beforeAutospacing="0" w:after="0" w:afterAutospacing="0" w:line="240" w:lineRule="auto"/>
        <w:ind w:left="720" w:hanging="720"/>
      </w:pPr>
      <w:r>
        <w:t>Simonyan, K., A. Vedaldi, and A. Zisserman, 2013, Deep Inside Convolutional Networks: Visualising Image Classification Models and Saliency Maps: CoRR, abs/1312.6.</w:t>
      </w:r>
    </w:p>
    <w:p w14:paraId="5BF05208" w14:textId="77777777" w:rsidR="0053410A" w:rsidRDefault="0053410A" w:rsidP="0053410A">
      <w:pPr>
        <w:pStyle w:val="SEGBodyText"/>
        <w:spacing w:before="120" w:beforeAutospacing="0" w:after="0" w:afterAutospacing="0" w:line="240" w:lineRule="auto"/>
        <w:ind w:left="720" w:hanging="720"/>
      </w:pPr>
      <w:r>
        <w:t>Simonyan, K., and A. Zisserman, 2014, Very Deep Convolutional Networks for Large-Scale Image Recognition: ArXiv e–prints.</w:t>
      </w:r>
    </w:p>
    <w:p w14:paraId="2D87F684" w14:textId="77777777" w:rsidR="0053410A" w:rsidRDefault="0053410A" w:rsidP="0053410A">
      <w:pPr>
        <w:pStyle w:val="SEGBodyText"/>
        <w:spacing w:before="120" w:beforeAutospacing="0" w:after="0" w:afterAutospacing="0" w:line="240" w:lineRule="auto"/>
        <w:ind w:left="720" w:hanging="720"/>
      </w:pPr>
      <w:r>
        <w:t>Sinha, S., Y. Wen, R. A. Pires de Lima, and K. Marfurt, 2018, Statistical controls on induced seismicity: Unconventional Resources Technology Conference, doi:10.15530/urtec-2018-2897507-MS.</w:t>
      </w:r>
    </w:p>
    <w:p w14:paraId="5408F839" w14:textId="77777777" w:rsidR="0053410A" w:rsidRDefault="0053410A" w:rsidP="0053410A">
      <w:pPr>
        <w:pStyle w:val="SEGBodyText"/>
        <w:spacing w:before="120" w:beforeAutospacing="0" w:after="0" w:afterAutospacing="0" w:line="240" w:lineRule="auto"/>
        <w:ind w:left="720" w:hanging="720"/>
      </w:pPr>
      <w:r>
        <w:t>Springenberg, J. T., A. Dosovitskiy, T. Brox, and M. Riedmiller, 2014, Striving for Simplicity: The All Convolutional Net: arXiv e-prints, arXiv:1412.6806.</w:t>
      </w:r>
    </w:p>
    <w:p w14:paraId="77278D7A" w14:textId="77777777" w:rsidR="0053410A" w:rsidRDefault="0053410A" w:rsidP="0053410A">
      <w:pPr>
        <w:pStyle w:val="SEGBodyText"/>
        <w:spacing w:before="120" w:beforeAutospacing="0" w:after="0" w:afterAutospacing="0" w:line="240" w:lineRule="auto"/>
        <w:ind w:left="720" w:hanging="720"/>
      </w:pPr>
      <w:r>
        <w:lastRenderedPageBreak/>
        <w:t>Srivastava, N., G. Hinton, A. Krizhevsky, I. Sutskever, and R. Salakhutdinov, 2014, Dropout: A Simple Way to Prevent Neural Networks from Overfitting: Journal of Machine Learning Research, 15, 1929–1958.</w:t>
      </w:r>
    </w:p>
    <w:p w14:paraId="436B7B4E" w14:textId="77777777" w:rsidR="0053410A" w:rsidRDefault="0053410A" w:rsidP="0053410A">
      <w:pPr>
        <w:pStyle w:val="SEGBodyText"/>
        <w:spacing w:before="120" w:beforeAutospacing="0" w:after="0" w:afterAutospacing="0" w:line="240" w:lineRule="auto"/>
        <w:ind w:left="720" w:hanging="720"/>
      </w:pPr>
      <w:r>
        <w:t>Szegedy, C., W. Liu, Y. Jia, P. Sermanet, S. E. Reed, D. Anguelov, D. Erhan, V. Vanhoucke, and A. Rabinovich, 2014, Going Deeper with Convolutions: CoRR, abs/1409.4.</w:t>
      </w:r>
    </w:p>
    <w:p w14:paraId="0D662E17" w14:textId="77777777" w:rsidR="0053410A" w:rsidRDefault="0053410A" w:rsidP="0053410A">
      <w:pPr>
        <w:pStyle w:val="SEGBodyText"/>
        <w:spacing w:before="120" w:beforeAutospacing="0" w:after="0" w:afterAutospacing="0" w:line="240" w:lineRule="auto"/>
        <w:ind w:left="720" w:hanging="720"/>
      </w:pPr>
      <w:r>
        <w:t>Szegedy, C., V. Vanhoucke, S. Ioffe, J. Shlens, and Z. Wojna, 2015, Rethinking the Inception Architecture for Computer Vision: arXiv e-prints, arXiv:1512.00567.</w:t>
      </w:r>
    </w:p>
    <w:p w14:paraId="2402D829" w14:textId="77777777" w:rsidR="0053410A" w:rsidRDefault="0053410A" w:rsidP="0053410A">
      <w:pPr>
        <w:pStyle w:val="SEGBodyText"/>
        <w:spacing w:before="120" w:beforeAutospacing="0" w:after="0" w:afterAutospacing="0" w:line="240" w:lineRule="auto"/>
        <w:ind w:left="720" w:hanging="720"/>
      </w:pPr>
      <w:r>
        <w:t>Valentín, M. B., C. R. Bom, J. M. Coelho, M. D. Correia, Márcio P. de Albuquerque, Marcelo P. de Albuquerque, and E. L. Faria, 2019, A deep residual convolutional neural network for automatic lithological facies identification of Brazilian pre-salt oilfield wellbore image logs: Journal of Petroleum Science and Engineering, doi:10.1016/J.PETROL.2019.04.030.</w:t>
      </w:r>
    </w:p>
    <w:p w14:paraId="1C2B7264" w14:textId="77777777" w:rsidR="0053410A" w:rsidRDefault="0053410A" w:rsidP="0053410A">
      <w:pPr>
        <w:pStyle w:val="SEGBodyText"/>
        <w:spacing w:before="120" w:beforeAutospacing="0" w:after="0" w:afterAutospacing="0" w:line="240" w:lineRule="auto"/>
        <w:ind w:left="720" w:hanging="720"/>
      </w:pPr>
      <w:r>
        <w:t>Waddell, D. E., 1966, Pennsylvanian fusulinids in the Ardmore Basin - Love and Carter counties, Oklahoma: Oklahoma Geological Survey Bulletin 113, 128 p.</w:t>
      </w:r>
    </w:p>
    <w:p w14:paraId="49D02378" w14:textId="77777777" w:rsidR="0053410A" w:rsidRDefault="0053410A" w:rsidP="0053410A">
      <w:pPr>
        <w:pStyle w:val="SEGBodyText"/>
        <w:spacing w:before="120" w:beforeAutospacing="0" w:after="0" w:afterAutospacing="0" w:line="240" w:lineRule="auto"/>
        <w:ind w:left="720" w:hanging="720"/>
      </w:pPr>
      <w:r>
        <w:t>Waldeland, A. U., A. C. Jensen, L.-J. Gelius, and A. H. S. Solberg, 2018, Convolutional neural networks for automated seismic interpretation: The Leading Edge, 37, 529–537, doi:10.1190/tle37070529.1.</w:t>
      </w:r>
    </w:p>
    <w:p w14:paraId="50ED94D3" w14:textId="77777777" w:rsidR="0053410A" w:rsidRDefault="0053410A" w:rsidP="0053410A">
      <w:pPr>
        <w:pStyle w:val="SEGBodyText"/>
        <w:spacing w:before="120" w:beforeAutospacing="0" w:after="0" w:afterAutospacing="0" w:line="240" w:lineRule="auto"/>
        <w:ind w:left="720" w:hanging="720"/>
      </w:pPr>
      <w:r>
        <w:t>Wang, Y., C. H. Arns, S. S. Rahman, and J.-Y. Arns, 2018, Porous Structure Reconstruction Using Convolutional Neural Networks: Mathematical Geosciences, 50, 781–799, doi:10.1007/s11004-018-9743-0.</w:t>
      </w:r>
    </w:p>
    <w:p w14:paraId="45734183" w14:textId="77777777" w:rsidR="0053410A" w:rsidRDefault="0053410A" w:rsidP="0053410A">
      <w:pPr>
        <w:pStyle w:val="SEGBodyText"/>
        <w:spacing w:before="120" w:beforeAutospacing="0" w:after="0" w:afterAutospacing="0" w:line="240" w:lineRule="auto"/>
        <w:ind w:left="720" w:hanging="720"/>
      </w:pPr>
      <w:r>
        <w:t>Wang, B., N. Zhang, W. Lu, and J. Wang, 2019, Deep-learning-based seismic data interpolation: A preliminary result: GEOPHYSICS, 84, V11–V20, doi:10.1190/geo2017-0495.1.</w:t>
      </w:r>
    </w:p>
    <w:p w14:paraId="71A516C7" w14:textId="77777777" w:rsidR="0053410A" w:rsidRDefault="0053410A" w:rsidP="0053410A">
      <w:pPr>
        <w:pStyle w:val="SEGBodyText"/>
        <w:spacing w:before="120" w:beforeAutospacing="0" w:after="0" w:afterAutospacing="0" w:line="240" w:lineRule="auto"/>
        <w:ind w:left="720" w:hanging="720"/>
      </w:pPr>
      <w:r>
        <w:t>Wickstrøm, K., M. Kampffmeyer, and R. Jenssen, 2018, Uncertainty modeling and interpretability in convolutional neural networks for polyp segmentation, in 2018 IEEE 28th International Workshop on Machine Learning for Signal Processing (MLSP): 1–6, doi:10.1109/MLSP.2018.8516998.</w:t>
      </w:r>
    </w:p>
    <w:p w14:paraId="6567C87A" w14:textId="77777777" w:rsidR="0053410A" w:rsidRDefault="0053410A" w:rsidP="0053410A">
      <w:pPr>
        <w:pStyle w:val="SEGBodyText"/>
        <w:spacing w:before="120" w:beforeAutospacing="0" w:after="0" w:afterAutospacing="0" w:line="240" w:lineRule="auto"/>
        <w:ind w:left="720" w:hanging="720"/>
      </w:pPr>
      <w:r>
        <w:t>Wu, X., 2017, Directional structure-tensor-based coherence to detect seismic faults and channels: GEOPHYSICS, 82, A13--A17, doi:10.1190/geo2016-0473.1.</w:t>
      </w:r>
    </w:p>
    <w:p w14:paraId="5982D7A5" w14:textId="77777777" w:rsidR="0053410A" w:rsidRDefault="0053410A" w:rsidP="0053410A">
      <w:pPr>
        <w:pStyle w:val="SEGBodyText"/>
        <w:spacing w:before="120" w:beforeAutospacing="0" w:after="0" w:afterAutospacing="0" w:line="240" w:lineRule="auto"/>
        <w:ind w:left="720" w:hanging="720"/>
      </w:pPr>
      <w:r>
        <w:t>Wu, X., L. Liang, Y. Shi, and S. Fomel, 2019, FaultSeg3D: using synthetic datasets to train an end-to-end convolutional neural network for 3D seismic fault segmentation: GEOPHYSICS, 1–36, doi:10.1190/geo2018-0646.1.</w:t>
      </w:r>
    </w:p>
    <w:p w14:paraId="0B97C14B" w14:textId="77777777" w:rsidR="0053410A" w:rsidRDefault="0053410A" w:rsidP="0053410A">
      <w:pPr>
        <w:pStyle w:val="SEGBodyText"/>
        <w:spacing w:before="120" w:beforeAutospacing="0" w:after="0" w:afterAutospacing="0" w:line="240" w:lineRule="auto"/>
        <w:ind w:left="720" w:hanging="720"/>
      </w:pPr>
      <w:r>
        <w:t>Yang, F., and J. Ma, 2019, Deep-learning inversion: A next-generation seismic velocity model building method: GEOPHYSICS, 84, R583–R599, doi:10.1190/geo2018-0249.1.</w:t>
      </w:r>
    </w:p>
    <w:p w14:paraId="57DF0062" w14:textId="77777777" w:rsidR="0053410A" w:rsidRDefault="0053410A" w:rsidP="0053410A">
      <w:pPr>
        <w:pStyle w:val="SEGBodyText"/>
        <w:spacing w:before="120" w:beforeAutospacing="0" w:after="0" w:afterAutospacing="0" w:line="240" w:lineRule="auto"/>
        <w:ind w:left="720" w:hanging="720"/>
      </w:pPr>
      <w:r>
        <w:t>Zech, J. R., M. A. Badgeley, M. Liu, A. B. Costa, J. J. Titano, and E. K. Oermann, 2018, Variable generalization performance of a deep learning model to detect pneumonia in chest radiographs: A cross-sectional study: PLOS Medicine, 15, e1002683, doi:10.1371/journal.pmed.1002683.</w:t>
      </w:r>
    </w:p>
    <w:p w14:paraId="211E9AE7" w14:textId="77777777" w:rsidR="0053410A" w:rsidRDefault="0053410A" w:rsidP="0053410A">
      <w:pPr>
        <w:pStyle w:val="SEGBodyText"/>
        <w:spacing w:before="120" w:beforeAutospacing="0" w:after="0" w:afterAutospacing="0" w:line="240" w:lineRule="auto"/>
        <w:ind w:left="720" w:hanging="720"/>
      </w:pPr>
      <w:r>
        <w:t>Zhao, T., 2018, Seismic facies classification using different deep convolutional neural networks, in SEG Technical Program Expanded Abstracts 2018: Society of Exploration Geophysicists, 2046–2050, doi:10.1190/segam2018-2997085.1.</w:t>
      </w:r>
    </w:p>
    <w:p w14:paraId="2E294797" w14:textId="77777777" w:rsidR="0053410A" w:rsidRDefault="0053410A" w:rsidP="0053410A">
      <w:pPr>
        <w:pStyle w:val="SEGBodyText"/>
        <w:spacing w:before="120" w:beforeAutospacing="0" w:after="0" w:afterAutospacing="0" w:line="240" w:lineRule="auto"/>
        <w:ind w:left="720" w:hanging="720"/>
      </w:pPr>
      <w:r>
        <w:lastRenderedPageBreak/>
        <w:t>Zhao, T., V. Jayaram, A. Roy, and K. J. Marfurt, 2015, A comparison of classification techniques for seismic facies recognition: Interpretation, 3, SAE29–SAE58, doi:10.1190/INT-2015-0044.1.</w:t>
      </w:r>
    </w:p>
    <w:p w14:paraId="00AC4420" w14:textId="77777777" w:rsidR="0053410A" w:rsidRDefault="0053410A" w:rsidP="0053410A">
      <w:pPr>
        <w:pStyle w:val="SEGBodyText"/>
        <w:spacing w:before="120" w:beforeAutospacing="0" w:after="0" w:afterAutospacing="0" w:line="240" w:lineRule="auto"/>
        <w:ind w:left="720" w:hanging="720"/>
      </w:pPr>
      <w:r>
        <w:t>Zhao, T., F. Li, and K. J. Marfurt, 2018, Seismic attribute selection for unsupervised seismic facies analysis using user-guided data-adaptive weights: GEOPHYSICS, 83, O31--O44, doi:10.1190/geo2017-0192.1.</w:t>
      </w:r>
    </w:p>
    <w:p w14:paraId="6BBE320D" w14:textId="77777777" w:rsidR="0053410A" w:rsidRDefault="0053410A" w:rsidP="0053410A">
      <w:pPr>
        <w:pStyle w:val="SEGBodyText"/>
        <w:spacing w:before="120" w:beforeAutospacing="0" w:after="0" w:afterAutospacing="0" w:line="240" w:lineRule="auto"/>
        <w:ind w:left="720" w:hanging="720"/>
      </w:pPr>
      <w:r>
        <w:t>Zhao, Y., Y. Li, and B. Yang, 2019, Low-Frequency Desert Noise Intelligent Suppression in Seismic Data Based on Multiscale Geometric Analysis Convolutional Neural Network: IEEE Transactions on Geoscience and Remote Sensing, 1–16, doi:10.1109/TGRS.2019.2938836.</w:t>
      </w:r>
    </w:p>
    <w:p w14:paraId="7A92FFED" w14:textId="77777777" w:rsidR="0053410A" w:rsidRDefault="0053410A" w:rsidP="0053410A">
      <w:pPr>
        <w:pStyle w:val="SEGBodyText"/>
        <w:spacing w:before="120" w:beforeAutospacing="0" w:after="0" w:afterAutospacing="0" w:line="240" w:lineRule="auto"/>
        <w:ind w:left="720" w:hanging="720"/>
      </w:pPr>
      <w:r>
        <w:t>Zhao, T., J. Zhang, F. Li, and K. J. Marfurt, 2016, Characterizing a turbidite system in Canterbury Basin, New Zealand, using seismic attributes and distance-preserving self-organizing maps: Interpretation, 4, SB79–SB89, doi:10.1190/INT-2015-0094.1.</w:t>
      </w:r>
    </w:p>
    <w:p w14:paraId="74711F5B" w14:textId="77777777" w:rsidR="0053410A" w:rsidRDefault="0053410A" w:rsidP="0053410A">
      <w:pPr>
        <w:pStyle w:val="SEGBodyText"/>
        <w:spacing w:before="120" w:beforeAutospacing="0" w:after="0" w:afterAutospacing="0" w:line="240" w:lineRule="auto"/>
        <w:ind w:left="720" w:hanging="720"/>
      </w:pPr>
      <w:r>
        <w:t>Zhou, B., A. Khosla, A. Lapedriza, A. Oliva, and A. Torralba, 2016, Learning Deep Features for Discriminative Localization, in 2016 IEEE Conference on Computer Vision and Pattern Recognition (CVPR): 2921–2929, doi:10.1109/CVPR.2016.319.</w:t>
      </w:r>
    </w:p>
    <w:p w14:paraId="76FE48DD" w14:textId="169986B7" w:rsidR="0053410A" w:rsidRPr="00D82744" w:rsidRDefault="0053410A" w:rsidP="00D82744">
      <w:pPr>
        <w:pStyle w:val="SEGBodyText"/>
        <w:spacing w:before="120" w:beforeAutospacing="0" w:after="0" w:afterAutospacing="0" w:line="240" w:lineRule="auto"/>
        <w:ind w:left="720" w:hanging="720"/>
      </w:pPr>
      <w:r>
        <w:t>Zhou, W., S. Newsam, C. Li, and Z. Shao, 2018, PatternNet: A benchmark dataset for performance evaluation of remote sensing image retrieval: ISPRS Journal of Photogrammetry and Remote Sensing, 145, 197–209, doi:10.1016/J.ISPRSJPRS.2018.01.004.</w:t>
      </w:r>
    </w:p>
    <w:p w14:paraId="143E3C60" w14:textId="77777777" w:rsidR="0053410A" w:rsidRDefault="0053410A">
      <w:pPr>
        <w:spacing w:line="240" w:lineRule="auto"/>
        <w:rPr>
          <w:rFonts w:asciiTheme="majorHAnsi" w:hAnsiTheme="majorHAnsi"/>
          <w:b/>
          <w:bCs/>
          <w:sz w:val="28"/>
          <w:szCs w:val="32"/>
        </w:rPr>
      </w:pPr>
      <w:r>
        <w:rPr>
          <w:rFonts w:asciiTheme="majorHAnsi" w:hAnsiTheme="majorHAnsi"/>
          <w:b/>
          <w:bCs/>
          <w:sz w:val="28"/>
          <w:szCs w:val="32"/>
        </w:rPr>
        <w:br w:type="page"/>
      </w:r>
    </w:p>
    <w:p w14:paraId="329EEC8B" w14:textId="77777777" w:rsidR="0023049E" w:rsidRDefault="0023049E" w:rsidP="0023049E">
      <w:pPr>
        <w:pStyle w:val="Chapter"/>
      </w:pPr>
      <w:bookmarkStart w:id="61" w:name="_Toc26534575"/>
      <w:r w:rsidRPr="000F56FF">
        <w:lastRenderedPageBreak/>
        <w:t xml:space="preserve">Chapter </w:t>
      </w:r>
      <w:r w:rsidR="008C66D4">
        <w:t>2</w:t>
      </w:r>
      <w:r w:rsidRPr="000F56FF">
        <w:t xml:space="preserve">: </w:t>
      </w:r>
      <w:r w:rsidRPr="005C205C">
        <w:t>Deep convolutional neural networks as a geological image classification tool</w:t>
      </w:r>
      <w:bookmarkEnd w:id="10"/>
      <w:bookmarkEnd w:id="61"/>
    </w:p>
    <w:p w14:paraId="15E556C8" w14:textId="77777777" w:rsidR="0023049E" w:rsidRPr="005C205C" w:rsidRDefault="0023049E" w:rsidP="0023049E">
      <w:r w:rsidRPr="005C205C">
        <w:t>Rafael Pires de Lima</w:t>
      </w:r>
      <w:r w:rsidRPr="005C205C">
        <w:rPr>
          <w:vertAlign w:val="superscript"/>
        </w:rPr>
        <w:t>1,2</w:t>
      </w:r>
      <w:r w:rsidRPr="005C205C">
        <w:t>, Alicia Bonar</w:t>
      </w:r>
      <w:r w:rsidRPr="005C205C">
        <w:rPr>
          <w:vertAlign w:val="superscript"/>
        </w:rPr>
        <w:t>1</w:t>
      </w:r>
      <w:r w:rsidRPr="005C205C">
        <w:t>, David Duarte Coronado</w:t>
      </w:r>
      <w:r w:rsidRPr="005C205C">
        <w:rPr>
          <w:vertAlign w:val="superscript"/>
        </w:rPr>
        <w:t>1</w:t>
      </w:r>
      <w:r w:rsidRPr="005C205C">
        <w:t>, Kurt Marfurt</w:t>
      </w:r>
      <w:r w:rsidRPr="005C205C">
        <w:rPr>
          <w:vertAlign w:val="superscript"/>
        </w:rPr>
        <w:t>1</w:t>
      </w:r>
      <w:r w:rsidRPr="005C205C">
        <w:t>, Charles Nicholson</w:t>
      </w:r>
      <w:r w:rsidRPr="005C205C">
        <w:rPr>
          <w:vertAlign w:val="superscript"/>
        </w:rPr>
        <w:t>3</w:t>
      </w:r>
    </w:p>
    <w:p w14:paraId="1A3EF8AC" w14:textId="77777777" w:rsidR="0023049E" w:rsidRDefault="0023049E" w:rsidP="0023049E">
      <w:r w:rsidRPr="005C205C">
        <w:rPr>
          <w:vertAlign w:val="superscript"/>
        </w:rPr>
        <w:t>1</w:t>
      </w:r>
      <w:r w:rsidRPr="005C205C">
        <w:t>School of Geology and Geophysics, The University of Oklahoma, 100 East Boyd Street, RM 710, Norman, Oklahoma, 73019, USA</w:t>
      </w:r>
    </w:p>
    <w:p w14:paraId="7CD692EE" w14:textId="77777777" w:rsidR="0023049E" w:rsidRDefault="0023049E" w:rsidP="0023049E">
      <w:r w:rsidRPr="005C205C">
        <w:rPr>
          <w:vertAlign w:val="superscript"/>
        </w:rPr>
        <w:t>2</w:t>
      </w:r>
      <w:r w:rsidRPr="005C205C">
        <w:t>The Geological Survey of Brazil – CPRM, 55 Rua Costa, São Paulo, São Paulo, Brazil</w:t>
      </w:r>
    </w:p>
    <w:p w14:paraId="4ECFBA5B" w14:textId="77777777" w:rsidR="0023049E" w:rsidRDefault="0023049E" w:rsidP="0023049E">
      <w:r w:rsidRPr="005C205C">
        <w:rPr>
          <w:vertAlign w:val="superscript"/>
        </w:rPr>
        <w:t>3</w:t>
      </w:r>
      <w:r w:rsidRPr="005C205C">
        <w:t>School of Industrial and Systems Engineering, The University of Oklahoma, 202 West Boyd Street, RM 124, Norman, Oklahoma, 73019, USA</w:t>
      </w:r>
    </w:p>
    <w:p w14:paraId="122D25AE" w14:textId="5DF376FE" w:rsidR="0023049E" w:rsidRDefault="0023049E" w:rsidP="004F4884">
      <w:pPr>
        <w:pStyle w:val="Heading2"/>
      </w:pPr>
      <w:bookmarkStart w:id="62" w:name="_Toc26534576"/>
      <w:r>
        <w:t>Preface</w:t>
      </w:r>
      <w:bookmarkEnd w:id="62"/>
      <w:r w:rsidR="00F73707">
        <w:t xml:space="preserve">    </w:t>
      </w:r>
    </w:p>
    <w:p w14:paraId="690B37E9" w14:textId="77777777" w:rsidR="0023049E" w:rsidRDefault="0023049E" w:rsidP="0023049E">
      <w:r>
        <w:t>This chapter is presented as it was published in The Sedimentary Record</w:t>
      </w:r>
      <w:r w:rsidR="00C16F40">
        <w:t xml:space="preserve"> (Pires de Lima et al., 2019a), which itself was based on an EAGE expanded abstract (Pires de Lima et al., 2019b)</w:t>
      </w:r>
      <w:r>
        <w:t>.</w:t>
      </w:r>
      <w:r w:rsidR="00C16F40">
        <w:t xml:space="preserve"> This chapter shows the results of the application of transfer learning to different sets of geoscience images, without delving into the details and challenges encountered in each one of the tasks. The application presented here shows the potential of the use of convolutional neural networks for different fields of geosciences. </w:t>
      </w:r>
      <w:r w:rsidR="008C66D4">
        <w:t xml:space="preserve">This chapter is also presented in my Data Science and Analytics Master’s Thesis. </w:t>
      </w:r>
    </w:p>
    <w:p w14:paraId="6E6CCC38" w14:textId="77777777" w:rsidR="00C16F40" w:rsidRDefault="00C16F40" w:rsidP="0023049E">
      <w:r>
        <w:t>References:</w:t>
      </w:r>
    </w:p>
    <w:p w14:paraId="5EE373BB" w14:textId="77777777" w:rsidR="00C16F40" w:rsidRDefault="00C16F40" w:rsidP="00C16F40">
      <w:pPr>
        <w:spacing w:line="240" w:lineRule="auto"/>
        <w:ind w:left="720" w:hanging="720"/>
      </w:pPr>
      <w:r>
        <w:t>Pires de Lima, R., Bonar, A., Coronado, D.D., Marfurt, K., Nicholson, C., 2019a. Deep convolutional neural networks as a geological image classification tool. Sediment. Rec. 17, 4–9. https://doi.org/10.210/sedred.2019.2</w:t>
      </w:r>
    </w:p>
    <w:p w14:paraId="56DBC2A5" w14:textId="77777777" w:rsidR="00C16F40" w:rsidRDefault="00C16F40" w:rsidP="00C16F40">
      <w:pPr>
        <w:spacing w:line="240" w:lineRule="auto"/>
        <w:ind w:left="720" w:hanging="720"/>
      </w:pPr>
      <w:r>
        <w:t>Pires de Lima, R., Marfurt, K., Duarte, D., Bonar, A., 2019b. Progress and Challenges in Deep Learning Analysis of Geoscience Images, in: 81st EAGE Conference and Exhibition 2019. EAGE. https://doi.org/10.3997/2214-4609.201901607</w:t>
      </w:r>
    </w:p>
    <w:p w14:paraId="47C71B7E" w14:textId="77777777" w:rsidR="008C66D4" w:rsidRDefault="008C66D4">
      <w:pPr>
        <w:spacing w:line="240" w:lineRule="auto"/>
      </w:pPr>
      <w:r>
        <w:br w:type="page"/>
      </w:r>
    </w:p>
    <w:p w14:paraId="3C768BA9" w14:textId="77777777" w:rsidR="0023049E" w:rsidRDefault="0023049E" w:rsidP="004F4884">
      <w:pPr>
        <w:pStyle w:val="Heading2"/>
      </w:pPr>
      <w:bookmarkStart w:id="63" w:name="_Toc22710166"/>
      <w:bookmarkStart w:id="64" w:name="_Toc26534577"/>
      <w:r>
        <w:lastRenderedPageBreak/>
        <w:t>Abstract</w:t>
      </w:r>
      <w:bookmarkEnd w:id="63"/>
      <w:bookmarkEnd w:id="64"/>
    </w:p>
    <w:p w14:paraId="2AD8B8E6" w14:textId="77777777" w:rsidR="0023049E" w:rsidRDefault="0023049E" w:rsidP="0023049E">
      <w:pPr>
        <w:ind w:firstLine="720"/>
      </w:pPr>
      <w:r>
        <w:t>A convolutional neural network (CNN) is a deep learning (DL) method that has been widely and successfully applied to computer vision tasks including object localization, detection, and image classification. DL for supervised learning tasks is a method that uses the raw data to determine the classification features, in contrast to other machine learning (ML) techniques that require pre-selection of the input features (or attributes). In the geosciences, we hypothesize that deep learning will facilitate the analysis of uninterpreted images that have been neglected due to a limited number of experts, such as fossil images, slabbed cores, or petrographic thin sections. We use transfer learning, which employs previously trained models to shorten the development time for subsequent models, to address a suite of geologic interpretation tasks that may benefit from ML. Using two different base models, MobileNet V2 and Inception V3, we illustrate the successful classification of microfossils, core images, petrographic photomicrographs, and rock and mineral hand sample images. ML does not replace the expert geoscientist. The expert defines the labels (interpretations) needed to train the algorithm and also monitors the results to address incorrect or ambiguous classifications. ML techniques provide a means to apply the expertise of skilled geoscientists to much larger volumes of data</w:t>
      </w:r>
    </w:p>
    <w:p w14:paraId="573A159D" w14:textId="77777777" w:rsidR="0023049E" w:rsidRDefault="0023049E" w:rsidP="0023049E">
      <w:pPr>
        <w:ind w:firstLine="720"/>
      </w:pPr>
    </w:p>
    <w:p w14:paraId="6A5BFB81" w14:textId="77777777" w:rsidR="0023049E" w:rsidRDefault="0023049E" w:rsidP="004F4884">
      <w:pPr>
        <w:pStyle w:val="Heading2"/>
      </w:pPr>
      <w:bookmarkStart w:id="65" w:name="_Toc22710167"/>
      <w:bookmarkStart w:id="66" w:name="_Toc26534578"/>
      <w:r>
        <w:t>Introduction</w:t>
      </w:r>
      <w:bookmarkEnd w:id="65"/>
      <w:bookmarkEnd w:id="66"/>
    </w:p>
    <w:p w14:paraId="65CC6B0A" w14:textId="77777777" w:rsidR="0023049E" w:rsidRDefault="0023049E" w:rsidP="0023049E">
      <w:pPr>
        <w:ind w:firstLine="720"/>
      </w:pPr>
      <w:r w:rsidRPr="005C205C">
        <w:t>Machine learning (ML) techniques have been successfully applied, with considerable success, in the geosciences for almost two decades. Applications of ML by the geoscientific community include many examples such as seismic-facies classification (Meldahl et al., 2001; West et al., 2002; de Matos et al., 2011; Roy et al., 2014; Qi et al., 2016; Hu et al., 2017; Zhao et al., 2017), electrofacies</w:t>
      </w:r>
      <w:r>
        <w:t xml:space="preserve"> </w:t>
      </w:r>
      <w:r w:rsidRPr="005C205C">
        <w:t xml:space="preserve">classification (Allen and Pranter, 2016), and analysis of seismicity </w:t>
      </w:r>
      <w:r w:rsidRPr="005C205C">
        <w:lastRenderedPageBreak/>
        <w:t xml:space="preserve">(Kortström et al., 2016; DeVries et al., 2018; Perol et al., 2018; Sinha et al., 2018), and classification of volcanic ash (Shoji et al., 2018), among others. Conventionally, ML applications rely on a set of attributes (or features) selected or designed by an expert. Features are specific characteristics of an object that can be used to study patterns or predict outcomes. In classification modeling, these features are chosen with the goal of distinguishing one object from another.     </w:t>
      </w:r>
    </w:p>
    <w:p w14:paraId="6E333D0A" w14:textId="77777777" w:rsidR="0023049E" w:rsidRDefault="0023049E" w:rsidP="0023049E">
      <w:pPr>
        <w:ind w:firstLine="720"/>
      </w:pPr>
      <w:r w:rsidRPr="005C205C">
        <w:t xml:space="preserve">Typically, feature selection is problem dependent. For example, a clastic sedimentary rock is most broadly classified by its grain size; therefore, a general classification for a rock sample (data) is sandstone if its grain sizes (features) lie from 0.06 mm to 2.0 mm following the Wentworth size class. In this example, a single feature is used to classify the sample, but more complex and/or detailed classification often requires analysis of multiple features exhibited by the sample. An inefficiency of traditional ML approaches is that many features may be constructed while only a subset of them are actually needed for the classification.    </w:t>
      </w:r>
    </w:p>
    <w:p w14:paraId="3EB9A3BE" w14:textId="77777777" w:rsidR="0023049E" w:rsidRDefault="0023049E" w:rsidP="0023049E">
      <w:pPr>
        <w:ind w:firstLine="720"/>
      </w:pPr>
      <w:r w:rsidRPr="005C205C">
        <w:t xml:space="preserve">The use of explicitly designed features to classify data was the traditional approach in ML applications within the geosciences as in many other research areas. This classification approach works well when human interpreters know and can quantify the features that distinguish one object from another. However, sometimes an interpreter will subconsciously classify features and have difficulty describing what the distinguishing features might be, relying on “I’ll know what the object is when I see it”. In contrast to feature-driven ML classification algorithms, deep learning (DL) models extract information directly from the raw unstructured data rather than the data being manually transformed.  </w:t>
      </w:r>
    </w:p>
    <w:p w14:paraId="72CB7448" w14:textId="77777777" w:rsidR="0023049E" w:rsidRDefault="0023049E" w:rsidP="0023049E">
      <w:pPr>
        <w:ind w:firstLine="720"/>
      </w:pPr>
      <w:r w:rsidRPr="005C205C">
        <w:t>Because of their greater complexity (and resulting flexibility and power)</w:t>
      </w:r>
      <w:r>
        <w:t xml:space="preserve"> </w:t>
      </w:r>
      <w:r w:rsidRPr="005C205C">
        <w:t>convolutional neural networks (CNN) usually requires more training data than</w:t>
      </w:r>
      <w:r>
        <w:t xml:space="preserve"> </w:t>
      </w:r>
      <w:r w:rsidRPr="005C205C">
        <w:t xml:space="preserve">traditional ML processes. </w:t>
      </w:r>
      <w:r w:rsidRPr="005C205C">
        <w:lastRenderedPageBreak/>
        <w:t xml:space="preserve">However, when expert-labeled data are provided, non-experts can use the CNN models to generate highly accurate results (e.g. TGS Salt </w:t>
      </w:r>
      <w:r>
        <w:t>I</w:t>
      </w:r>
      <w:r w:rsidRPr="005C205C">
        <w:t xml:space="preserve">dentification Challenge | Kaggle, 2019).     </w:t>
      </w:r>
    </w:p>
    <w:p w14:paraId="0238DA35" w14:textId="77777777" w:rsidR="0023049E" w:rsidRDefault="0023049E" w:rsidP="0023049E">
      <w:pPr>
        <w:ind w:firstLine="720"/>
      </w:pPr>
      <w:r w:rsidRPr="005C205C">
        <w:t>DL applications in the geosciences require experts to first define the labels used to construct the necessary data sets as well as identify and address any ambiguous</w:t>
      </w:r>
      <w:r>
        <w:t xml:space="preserve"> </w:t>
      </w:r>
      <w:r w:rsidRPr="005C205C">
        <w:t xml:space="preserve">results and anomalies. In order to bring awareness and provide basic information </w:t>
      </w:r>
      <w:r>
        <w:t>regarding</w:t>
      </w:r>
      <w:r w:rsidRPr="005C205C">
        <w:t xml:space="preserve"> CNN models, DL techniques, and the necessity of expert-level knowledge</w:t>
      </w:r>
      <w:r>
        <w:t xml:space="preserve"> </w:t>
      </w:r>
      <w:r w:rsidRPr="005C205C">
        <w:t xml:space="preserve">needed to utilize these advancements, we applied these methods to four different geologic tasks. </w:t>
      </w:r>
      <w:r>
        <w:fldChar w:fldCharType="begin"/>
      </w:r>
      <w:r>
        <w:instrText xml:space="preserve"> REF _Ref22568291 \h </w:instrText>
      </w:r>
      <w:r>
        <w:fldChar w:fldCharType="separate"/>
      </w:r>
      <w:r w:rsidR="001C535D">
        <w:t xml:space="preserve">Figure </w:t>
      </w:r>
      <w:r w:rsidR="001C535D">
        <w:rPr>
          <w:noProof/>
        </w:rPr>
        <w:t>1</w:t>
      </w:r>
      <w:r>
        <w:fldChar w:fldCharType="end"/>
      </w:r>
      <w:r w:rsidRPr="005C205C">
        <w:t xml:space="preserve"> shows samples of different types of data that can be interpreted and labeled by experienced geologists. We use such interpretations to train our models. In this manuscript, we show how CNN can aid geoscientists with microfossil identification, core descriptions, petrographic analyses, and as a potential tool for education and outreach by creating a simple hand specimen identification application.</w:t>
      </w:r>
    </w:p>
    <w:p w14:paraId="5A17D408" w14:textId="77777777" w:rsidR="0023049E" w:rsidRDefault="0023049E" w:rsidP="0023049E">
      <w:pPr>
        <w:keepNext/>
      </w:pPr>
      <w:r w:rsidRPr="001276C2">
        <w:rPr>
          <w:noProof/>
          <w:lang w:bidi="ar-SA"/>
        </w:rPr>
        <w:lastRenderedPageBreak/>
        <w:drawing>
          <wp:inline distT="0" distB="0" distL="0" distR="0" wp14:anchorId="18FB0269" wp14:editId="709845F1">
            <wp:extent cx="5394960" cy="5563302"/>
            <wp:effectExtent l="0" t="0" r="0" b="0"/>
            <wp:docPr id="2" name="Picture 2" descr="C:\Users\admin\Desktop\DSA_Masters\Fig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DSA_Masters\Figure1.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94960" cy="5563302"/>
                    </a:xfrm>
                    <a:prstGeom prst="rect">
                      <a:avLst/>
                    </a:prstGeom>
                    <a:noFill/>
                    <a:ln>
                      <a:noFill/>
                    </a:ln>
                  </pic:spPr>
                </pic:pic>
              </a:graphicData>
            </a:graphic>
          </wp:inline>
        </w:drawing>
      </w:r>
    </w:p>
    <w:p w14:paraId="5F2E1A43" w14:textId="77777777" w:rsidR="0023049E" w:rsidRDefault="0023049E" w:rsidP="00607DF1">
      <w:pPr>
        <w:pStyle w:val="Caption"/>
      </w:pPr>
      <w:bookmarkStart w:id="67" w:name="_Ref22568291"/>
      <w:bookmarkStart w:id="68" w:name="_Toc22710650"/>
      <w:bookmarkStart w:id="69" w:name="_Toc26534501"/>
      <w:r>
        <w:t xml:space="preserve">Figure </w:t>
      </w:r>
      <w:r w:rsidR="00CE1F3C">
        <w:fldChar w:fldCharType="begin"/>
      </w:r>
      <w:r w:rsidR="00CE1F3C">
        <w:instrText xml:space="preserve"> SEQ Figure \* ARABIC </w:instrText>
      </w:r>
      <w:r w:rsidR="00CE1F3C">
        <w:fldChar w:fldCharType="separate"/>
      </w:r>
      <w:r w:rsidR="00A82C54">
        <w:rPr>
          <w:noProof/>
        </w:rPr>
        <w:t>1</w:t>
      </w:r>
      <w:r w:rsidR="00CE1F3C">
        <w:rPr>
          <w:noProof/>
        </w:rPr>
        <w:fldChar w:fldCharType="end"/>
      </w:r>
      <w:bookmarkEnd w:id="67"/>
      <w:r>
        <w:t xml:space="preserve">: </w:t>
      </w:r>
      <w:r w:rsidRPr="00A7715B">
        <w:t>Examples of the data used in this study. A) Three of the seven Fusulinids groups (</w:t>
      </w:r>
      <w:r w:rsidRPr="00410233">
        <w:rPr>
          <w:i/>
        </w:rPr>
        <w:t>Beedeina</w:t>
      </w:r>
      <w:r w:rsidRPr="00A7715B">
        <w:t xml:space="preserve"> (1), </w:t>
      </w:r>
      <w:r w:rsidRPr="00410233">
        <w:rPr>
          <w:i/>
        </w:rPr>
        <w:t>Fusulinella</w:t>
      </w:r>
      <w:r w:rsidRPr="00A7715B">
        <w:t xml:space="preserve"> (2), and </w:t>
      </w:r>
      <w:r w:rsidRPr="00410233">
        <w:rPr>
          <w:i/>
        </w:rPr>
        <w:t xml:space="preserve">Parafusulina </w:t>
      </w:r>
      <w:r w:rsidRPr="00A7715B">
        <w:t>(3)). B) Three of the five lithofacies (bioturbated mudstone-wackestone (1), chert breccia (2), and shale (3)). C) Reservoir quality classes (high (1), intermediate (2), and low (3)) D) Three of the six rock sample groups (basalt (1), garnet schist (2), and granite (3)). Samples were interpreted by professionals working with each separate dataset.</w:t>
      </w:r>
      <w:bookmarkEnd w:id="68"/>
      <w:bookmarkEnd w:id="69"/>
    </w:p>
    <w:p w14:paraId="06B267A4" w14:textId="77777777" w:rsidR="0023049E" w:rsidRDefault="0023049E" w:rsidP="0023049E">
      <w:pPr>
        <w:ind w:firstLine="720"/>
      </w:pPr>
    </w:p>
    <w:p w14:paraId="053EB641" w14:textId="77777777" w:rsidR="0023049E" w:rsidRDefault="0023049E" w:rsidP="004F4884">
      <w:pPr>
        <w:pStyle w:val="Heading2"/>
      </w:pPr>
      <w:bookmarkStart w:id="70" w:name="_Toc22710168"/>
      <w:bookmarkStart w:id="71" w:name="_Toc26534579"/>
      <w:r>
        <w:t>Convolutional neural networks and transfer learning</w:t>
      </w:r>
      <w:bookmarkEnd w:id="70"/>
      <w:bookmarkEnd w:id="71"/>
    </w:p>
    <w:p w14:paraId="51E28D84" w14:textId="77777777" w:rsidR="0023049E" w:rsidRDefault="0023049E" w:rsidP="0023049E">
      <w:pPr>
        <w:ind w:firstLine="720"/>
      </w:pPr>
      <w:r w:rsidRPr="005C205C">
        <w:t xml:space="preserve">Recent CNN research has yielded significant improvements and unprecedented accuracy (the ratio between correct classifications and the total number of samples classified) in image </w:t>
      </w:r>
      <w:r w:rsidRPr="005C205C">
        <w:lastRenderedPageBreak/>
        <w:t>classification and are recognized as leading methods for large-scale visual recognition problems, such as the ann</w:t>
      </w:r>
      <w:r>
        <w:t>ual ImageNet Large Scale Visual R</w:t>
      </w:r>
      <w:r w:rsidRPr="005C205C">
        <w:t>ecognition Challenge (ILSVRC, Russakovsky et al. (2015)). Specific CNN architectures have been the leading approach for several years now (e.g., Szegedy et al., 2014; Chollet, 2016; He et al., 2016; Huang et al., 2016; Sandler et al., 2018). Researchers noted that the parameters learned by the layers in many CNN models trained on images exhibit a common behavior – layers closer to the input data tend to learn general</w:t>
      </w:r>
      <w:r>
        <w:t xml:space="preserve"> </w:t>
      </w:r>
      <w:r w:rsidRPr="005C205C">
        <w:t xml:space="preserve">features, such as edge detecting/enhancing filters or color blobs, then there is a transition to more specific dataset features, such as faces, feathers, or object parts (Yosinski et al., 2014; Yin et al., 2017). These general-specific CNN layer properties are important points to be considered for the implementation of transfer learning (Caruana, 1995; Bengio, 2012; Yosinski et al., 2014). In transfer learning, first a CNN model is trained on a base dataset for a specific task. The learned features (model parameters) are repurposed, or transferred, to a second target CNN to be trained on a different dataset and task (Yosinski et al., 2014).     </w:t>
      </w:r>
    </w:p>
    <w:p w14:paraId="7B5BD9BD" w14:textId="77777777" w:rsidR="0023049E" w:rsidRDefault="0023049E" w:rsidP="0023049E">
      <w:pPr>
        <w:ind w:firstLine="720"/>
      </w:pPr>
      <w:r w:rsidRPr="005C205C">
        <w:t>New DL applications often require large volumes of data, however the combination of CNNs and transfer learning allows the reuse of existing DL models to novel classification problems with limited data, as has been demonstrated in diverse fields, such as botany (Carranza-Rojas et al., 2017), cancer classification (Esteva et al., 2017), and aircraft detection (Chen et al., 2018). Analyzing medical image data, Tajbakhsh et al. (2016) and Qayyum et al. (2017) found that transfer learning achieved comparable or better results than training a CNN model with randomly initialized parameters. As an example, training the entire InceptionV3 (Szegedy et al., 2015) with 1000 images (five classes, 50 original images for each class, four copies of each original image) with</w:t>
      </w:r>
      <w:r>
        <w:t xml:space="preserve"> </w:t>
      </w:r>
      <w:r w:rsidRPr="006516FD">
        <w:t xml:space="preserve">randomly initialized parameters can be 10 times slower than the transfer learning process (11 minutes vs 1 minute on average for five executions) using a Nvidia Quadro </w:t>
      </w:r>
      <w:r w:rsidRPr="006516FD">
        <w:lastRenderedPageBreak/>
        <w:t>M2000 (768 CUDA Cores). On a CPU (3.60 GHz clock speed), training the entire model can take up to 2 hours whereas transfer learning can be completed within a few minutes. We also noticed that transfer learning is easier to train. During the speed comparison test, transfer learning achieved high accuracies (close to 1.0) within 5 epochs (note the dataset is very simple with most of the samples being copies of each other). Successful applications of computer vision technologies in different fields suggest that ML models could be extremely beneficial for geologic applications, especially those in the category of image classification problems.</w:t>
      </w:r>
    </w:p>
    <w:p w14:paraId="0DBD313B" w14:textId="77777777" w:rsidR="0023049E" w:rsidRDefault="0023049E" w:rsidP="0023049E">
      <w:pPr>
        <w:ind w:firstLine="720"/>
      </w:pPr>
      <w:r w:rsidRPr="006516FD">
        <w:t>For the examples we present in this paper (</w:t>
      </w:r>
      <w:r>
        <w:fldChar w:fldCharType="begin"/>
      </w:r>
      <w:r>
        <w:instrText xml:space="preserve"> REF _Ref22568291 \h </w:instrText>
      </w:r>
      <w:r>
        <w:fldChar w:fldCharType="separate"/>
      </w:r>
      <w:r w:rsidR="001C535D">
        <w:t xml:space="preserve">Figure </w:t>
      </w:r>
      <w:r w:rsidR="001C535D">
        <w:rPr>
          <w:noProof/>
        </w:rPr>
        <w:t>1</w:t>
      </w:r>
      <w:r>
        <w:fldChar w:fldCharType="end"/>
      </w:r>
      <w:r w:rsidRPr="006516FD">
        <w:t>), we rely on the use of transfer learning (Yosinski et al., 2014) using the MobileNetV2 (Sandler et al., 2018) and InceptionV3 as our base CNN models. Both MobileNetV2 and InceptionV3 were trained on ILSVRC. Therefore, the CNN models we used were constructed based on inputs of 3-channels (RGB) of 2D photographic images. We randomly select part of the data to be used as a test set maintaining the same proportion of samples per class as in the training set. The data in the test set is not used during the</w:t>
      </w:r>
      <w:r>
        <w:t xml:space="preserve"> </w:t>
      </w:r>
      <w:r w:rsidRPr="006A5CB0">
        <w:t>computational process for model training; rather, it is used to evaluate the quality and robustness of the final model. Due to limited space, we refrained showing the CNN mistakes and many of the steps necessary for data preparation.</w:t>
      </w:r>
      <w:r>
        <w:t xml:space="preserve"> </w:t>
      </w:r>
    </w:p>
    <w:p w14:paraId="2E166ACB" w14:textId="77777777" w:rsidR="0023049E" w:rsidRDefault="0023049E" w:rsidP="0023049E">
      <w:pPr>
        <w:ind w:firstLine="720"/>
      </w:pPr>
    </w:p>
    <w:p w14:paraId="2D0BB6BA" w14:textId="77777777" w:rsidR="0023049E" w:rsidRPr="00E0350E" w:rsidRDefault="0023049E" w:rsidP="004F4884">
      <w:pPr>
        <w:pStyle w:val="Heading3"/>
      </w:pPr>
      <w:bookmarkStart w:id="72" w:name="_Toc22710169"/>
      <w:bookmarkStart w:id="73" w:name="_Toc26534580"/>
      <w:r w:rsidRPr="00E0350E">
        <w:t>CNN-Assisted fossil analysis</w:t>
      </w:r>
      <w:bookmarkEnd w:id="72"/>
      <w:bookmarkEnd w:id="73"/>
    </w:p>
    <w:p w14:paraId="356DD443" w14:textId="77777777" w:rsidR="0023049E" w:rsidRDefault="0023049E" w:rsidP="0023049E">
      <w:pPr>
        <w:ind w:firstLine="720"/>
      </w:pPr>
      <w:r w:rsidRPr="006A5CB0">
        <w:t xml:space="preserve">Biostratigraphy has become a less common focus of study in the discipline of paleontology (Farley and Armentrout, 2000, 2002), but the applications of biostratigraphy are necessary for understanding age-constraints for rocks that cannot be radiometrically dated. Access to a specific taxonomic expert to accurately analyze fossils at the species-level can be as challenging as data acquisition and preparation. Using labeled data from the University of </w:t>
      </w:r>
      <w:r w:rsidRPr="006A5CB0">
        <w:lastRenderedPageBreak/>
        <w:t xml:space="preserve">Oklahoma Sam Noble Museum and iDigBio portal, we found that </w:t>
      </w:r>
      <w:r>
        <w:t>F</w:t>
      </w:r>
      <w:r w:rsidRPr="006A5CB0">
        <w:t xml:space="preserve">usulinids (index fossils for the Late Paleozoic) can be accurately classified with the use of transfer learning. Accurate identification of a </w:t>
      </w:r>
      <w:r>
        <w:t>F</w:t>
      </w:r>
      <w:r w:rsidRPr="006A5CB0">
        <w:t xml:space="preserve">usulinid depends on characteristics that must be observed and exposed along the long axis of the (prolate spheroid-shaped) </w:t>
      </w:r>
      <w:r>
        <w:t>F</w:t>
      </w:r>
      <w:r w:rsidRPr="006A5CB0">
        <w:t xml:space="preserve">usulinid. We used a dataset of 1850 qualified images including seven different </w:t>
      </w:r>
      <w:r>
        <w:t>F</w:t>
      </w:r>
      <w:r w:rsidRPr="006A5CB0">
        <w:t>usulinid genera. After retraining the CNN model, we obtained an accuracy for the test set (10% of the data) of 1.0 for both retrained MobileNetV2 and InceptionV3 (</w:t>
      </w:r>
      <w:r>
        <w:fldChar w:fldCharType="begin"/>
      </w:r>
      <w:r>
        <w:instrText xml:space="preserve"> REF _Ref22568366 \h </w:instrText>
      </w:r>
      <w:r>
        <w:fldChar w:fldCharType="separate"/>
      </w:r>
      <w:r w:rsidR="001C535D">
        <w:t xml:space="preserve">Table </w:t>
      </w:r>
      <w:r w:rsidR="001C535D">
        <w:rPr>
          <w:noProof/>
        </w:rPr>
        <w:t>1</w:t>
      </w:r>
      <w:r>
        <w:fldChar w:fldCharType="end"/>
      </w:r>
      <w:r w:rsidRPr="006A5CB0">
        <w:t xml:space="preserve">). </w:t>
      </w:r>
      <w:r>
        <w:fldChar w:fldCharType="begin"/>
      </w:r>
      <w:r>
        <w:instrText xml:space="preserve"> REF _Ref22568318 \h </w:instrText>
      </w:r>
      <w:r>
        <w:fldChar w:fldCharType="separate"/>
      </w:r>
      <w:r w:rsidR="001C535D">
        <w:t xml:space="preserve">Figure </w:t>
      </w:r>
      <w:r w:rsidR="001C535D">
        <w:rPr>
          <w:noProof/>
        </w:rPr>
        <w:t>2</w:t>
      </w:r>
      <w:r>
        <w:fldChar w:fldCharType="end"/>
      </w:r>
      <w:r w:rsidRPr="006A5CB0">
        <w:t xml:space="preserve"> shows a schematic view of the classification process.</w:t>
      </w:r>
    </w:p>
    <w:p w14:paraId="5174EE3F" w14:textId="77777777" w:rsidR="0023049E" w:rsidRDefault="0023049E" w:rsidP="0023049E">
      <w:pPr>
        <w:keepNext/>
      </w:pPr>
      <w:r w:rsidRPr="00A7715B">
        <w:rPr>
          <w:noProof/>
          <w:lang w:bidi="ar-SA"/>
        </w:rPr>
        <w:drawing>
          <wp:inline distT="0" distB="0" distL="0" distR="0" wp14:anchorId="1CC0198D" wp14:editId="10A0F863">
            <wp:extent cx="5394960" cy="1681334"/>
            <wp:effectExtent l="0" t="0" r="0" b="0"/>
            <wp:docPr id="3" name="Picture 3" descr="C:\Users\admin\Desktop\DSA_Masters\Fig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DSA_Masters\Figure2.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94960" cy="1681334"/>
                    </a:xfrm>
                    <a:prstGeom prst="rect">
                      <a:avLst/>
                    </a:prstGeom>
                    <a:noFill/>
                    <a:ln>
                      <a:noFill/>
                    </a:ln>
                  </pic:spPr>
                </pic:pic>
              </a:graphicData>
            </a:graphic>
          </wp:inline>
        </w:drawing>
      </w:r>
    </w:p>
    <w:p w14:paraId="0DE4D3E9" w14:textId="77777777" w:rsidR="0023049E" w:rsidRPr="00A7715B" w:rsidRDefault="0023049E" w:rsidP="00607DF1">
      <w:pPr>
        <w:pStyle w:val="Caption"/>
      </w:pPr>
      <w:bookmarkStart w:id="74" w:name="_Ref22568318"/>
      <w:bookmarkStart w:id="75" w:name="_Toc22710651"/>
      <w:bookmarkStart w:id="76" w:name="_Toc26534502"/>
      <w:r>
        <w:t xml:space="preserve">Figure </w:t>
      </w:r>
      <w:r w:rsidR="00CE1F3C">
        <w:fldChar w:fldCharType="begin"/>
      </w:r>
      <w:r w:rsidR="00CE1F3C">
        <w:instrText xml:space="preserve"> SEQ Figure \* ARABIC </w:instrText>
      </w:r>
      <w:r w:rsidR="00CE1F3C">
        <w:fldChar w:fldCharType="separate"/>
      </w:r>
      <w:r w:rsidR="00A82C54">
        <w:rPr>
          <w:noProof/>
        </w:rPr>
        <w:t>2</w:t>
      </w:r>
      <w:r w:rsidR="00CE1F3C">
        <w:rPr>
          <w:noProof/>
        </w:rPr>
        <w:fldChar w:fldCharType="end"/>
      </w:r>
      <w:bookmarkEnd w:id="74"/>
      <w:r>
        <w:t xml:space="preserve">: </w:t>
      </w:r>
      <w:r w:rsidRPr="00A7715B">
        <w:t xml:space="preserve">An example of the classification process. In this example, a thin-section image that should fit one of the seven </w:t>
      </w:r>
      <w:r>
        <w:t>F</w:t>
      </w:r>
      <w:r w:rsidRPr="00A7715B">
        <w:t>usulinid genera is analyzed by the model. The model outputs the probability assigned to each of the possible classes (all probabilities summing to 1.0). The term “classes” here is used in the ML sense rather than the biological one. In the example provided, our model provided a high probability for the same class as the human expert. Note that in the implementation we use the model will classify any image as one of the seven learned classes – even if the image is clearly not a fossil. This highlights the importance of a domain expert intervention.</w:t>
      </w:r>
      <w:bookmarkEnd w:id="75"/>
      <w:bookmarkEnd w:id="76"/>
    </w:p>
    <w:p w14:paraId="1EA25023" w14:textId="77777777" w:rsidR="0023049E" w:rsidRPr="00A7715B" w:rsidRDefault="0023049E" w:rsidP="0023049E"/>
    <w:p w14:paraId="53E914EC" w14:textId="77777777" w:rsidR="0023049E" w:rsidRDefault="0023049E" w:rsidP="00607DF1">
      <w:pPr>
        <w:pStyle w:val="Caption"/>
      </w:pPr>
      <w:bookmarkStart w:id="77" w:name="_Ref22568366"/>
      <w:bookmarkStart w:id="78" w:name="_Toc22710074"/>
      <w:bookmarkStart w:id="79" w:name="_Toc23441032"/>
      <w:bookmarkStart w:id="80" w:name="_Toc26534538"/>
      <w:r>
        <w:t xml:space="preserve">Table </w:t>
      </w:r>
      <w:r w:rsidR="00CE1F3C">
        <w:fldChar w:fldCharType="begin"/>
      </w:r>
      <w:r w:rsidR="00CE1F3C">
        <w:instrText xml:space="preserve"> SEQ Table \* ARABIC </w:instrText>
      </w:r>
      <w:r w:rsidR="00CE1F3C">
        <w:fldChar w:fldCharType="separate"/>
      </w:r>
      <w:r w:rsidR="001C535D">
        <w:rPr>
          <w:noProof/>
        </w:rPr>
        <w:t>1</w:t>
      </w:r>
      <w:r w:rsidR="00CE1F3C">
        <w:rPr>
          <w:noProof/>
        </w:rPr>
        <w:fldChar w:fldCharType="end"/>
      </w:r>
      <w:bookmarkEnd w:id="77"/>
      <w:r>
        <w:t xml:space="preserve">: </w:t>
      </w:r>
      <w:r w:rsidRPr="00A7715B">
        <w:t>Summary of test accuracy for the examples in this study.</w:t>
      </w:r>
      <w:bookmarkEnd w:id="78"/>
      <w:bookmarkEnd w:id="79"/>
      <w:bookmarkEnd w:id="80"/>
    </w:p>
    <w:tbl>
      <w:tblPr>
        <w:tblStyle w:val="GridTable7Colorfu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6"/>
        <w:gridCol w:w="1306"/>
        <w:gridCol w:w="1306"/>
        <w:gridCol w:w="1306"/>
        <w:gridCol w:w="1589"/>
        <w:gridCol w:w="1483"/>
      </w:tblGrid>
      <w:tr w:rsidR="0023049E" w14:paraId="62895933" w14:textId="77777777" w:rsidTr="00CA3FD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96" w:type="dxa"/>
            <w:tcBorders>
              <w:top w:val="none" w:sz="0" w:space="0" w:color="auto"/>
              <w:left w:val="none" w:sz="0" w:space="0" w:color="auto"/>
              <w:bottom w:val="none" w:sz="0" w:space="0" w:color="auto"/>
              <w:right w:val="none" w:sz="0" w:space="0" w:color="auto"/>
            </w:tcBorders>
          </w:tcPr>
          <w:p w14:paraId="2FD48324" w14:textId="77777777" w:rsidR="0023049E" w:rsidRDefault="0023049E" w:rsidP="00CA3FDF">
            <w:pPr>
              <w:spacing w:line="240" w:lineRule="auto"/>
            </w:pPr>
            <w:r>
              <w:t>Dataset</w:t>
            </w:r>
          </w:p>
        </w:tc>
        <w:tc>
          <w:tcPr>
            <w:tcW w:w="1306" w:type="dxa"/>
            <w:tcBorders>
              <w:top w:val="none" w:sz="0" w:space="0" w:color="auto"/>
              <w:left w:val="none" w:sz="0" w:space="0" w:color="auto"/>
              <w:right w:val="none" w:sz="0" w:space="0" w:color="auto"/>
            </w:tcBorders>
          </w:tcPr>
          <w:p w14:paraId="06B7DB04" w14:textId="77777777" w:rsidR="0023049E" w:rsidRDefault="0023049E" w:rsidP="00CA3FDF">
            <w:pPr>
              <w:spacing w:line="240" w:lineRule="auto"/>
              <w:cnfStyle w:val="100000000000" w:firstRow="1" w:lastRow="0" w:firstColumn="0" w:lastColumn="0" w:oddVBand="0" w:evenVBand="0" w:oddHBand="0" w:evenHBand="0" w:firstRowFirstColumn="0" w:firstRowLastColumn="0" w:lastRowFirstColumn="0" w:lastRowLastColumn="0"/>
            </w:pPr>
            <w:r>
              <w:t>Number of training samples</w:t>
            </w:r>
          </w:p>
        </w:tc>
        <w:tc>
          <w:tcPr>
            <w:tcW w:w="1306" w:type="dxa"/>
            <w:tcBorders>
              <w:top w:val="none" w:sz="0" w:space="0" w:color="auto"/>
              <w:left w:val="none" w:sz="0" w:space="0" w:color="auto"/>
              <w:right w:val="none" w:sz="0" w:space="0" w:color="auto"/>
            </w:tcBorders>
          </w:tcPr>
          <w:p w14:paraId="5659E13F" w14:textId="77777777" w:rsidR="0023049E" w:rsidRDefault="0023049E" w:rsidP="00CA3FDF">
            <w:pPr>
              <w:spacing w:line="240" w:lineRule="auto"/>
              <w:cnfStyle w:val="100000000000" w:firstRow="1" w:lastRow="0" w:firstColumn="0" w:lastColumn="0" w:oddVBand="0" w:evenVBand="0" w:oddHBand="0" w:evenHBand="0" w:firstRowFirstColumn="0" w:firstRowLastColumn="0" w:lastRowFirstColumn="0" w:lastRowLastColumn="0"/>
            </w:pPr>
            <w:r>
              <w:t>Number of test samples</w:t>
            </w:r>
          </w:p>
        </w:tc>
        <w:tc>
          <w:tcPr>
            <w:tcW w:w="1306" w:type="dxa"/>
            <w:tcBorders>
              <w:top w:val="none" w:sz="0" w:space="0" w:color="auto"/>
              <w:left w:val="none" w:sz="0" w:space="0" w:color="auto"/>
              <w:right w:val="none" w:sz="0" w:space="0" w:color="auto"/>
            </w:tcBorders>
          </w:tcPr>
          <w:p w14:paraId="512321F3" w14:textId="77777777" w:rsidR="0023049E" w:rsidRDefault="0023049E" w:rsidP="00CA3FDF">
            <w:pPr>
              <w:spacing w:line="240" w:lineRule="auto"/>
              <w:cnfStyle w:val="100000000000" w:firstRow="1" w:lastRow="0" w:firstColumn="0" w:lastColumn="0" w:oddVBand="0" w:evenVBand="0" w:oddHBand="0" w:evenHBand="0" w:firstRowFirstColumn="0" w:firstRowLastColumn="0" w:lastRowFirstColumn="0" w:lastRowLastColumn="0"/>
            </w:pPr>
            <w:r>
              <w:t>Number of output classes</w:t>
            </w:r>
          </w:p>
        </w:tc>
        <w:tc>
          <w:tcPr>
            <w:tcW w:w="1589" w:type="dxa"/>
            <w:tcBorders>
              <w:top w:val="none" w:sz="0" w:space="0" w:color="auto"/>
              <w:left w:val="none" w:sz="0" w:space="0" w:color="auto"/>
              <w:right w:val="none" w:sz="0" w:space="0" w:color="auto"/>
            </w:tcBorders>
          </w:tcPr>
          <w:p w14:paraId="4BDA4EFA" w14:textId="77777777" w:rsidR="0023049E" w:rsidRDefault="0023049E" w:rsidP="00CA3FDF">
            <w:pPr>
              <w:spacing w:line="240" w:lineRule="auto"/>
              <w:cnfStyle w:val="100000000000" w:firstRow="1" w:lastRow="0" w:firstColumn="0" w:lastColumn="0" w:oddVBand="0" w:evenVBand="0" w:oddHBand="0" w:evenHBand="0" w:firstRowFirstColumn="0" w:firstRowLastColumn="0" w:lastRowFirstColumn="0" w:lastRowLastColumn="0"/>
            </w:pPr>
            <w:r>
              <w:t>MobileNetV2 Accuracy</w:t>
            </w:r>
          </w:p>
        </w:tc>
        <w:tc>
          <w:tcPr>
            <w:tcW w:w="1483" w:type="dxa"/>
            <w:tcBorders>
              <w:top w:val="none" w:sz="0" w:space="0" w:color="auto"/>
              <w:left w:val="none" w:sz="0" w:space="0" w:color="auto"/>
              <w:right w:val="none" w:sz="0" w:space="0" w:color="auto"/>
            </w:tcBorders>
          </w:tcPr>
          <w:p w14:paraId="1114B5A6" w14:textId="77777777" w:rsidR="0023049E" w:rsidRDefault="0023049E" w:rsidP="00CA3FDF">
            <w:pPr>
              <w:spacing w:line="240" w:lineRule="auto"/>
              <w:cnfStyle w:val="100000000000" w:firstRow="1" w:lastRow="0" w:firstColumn="0" w:lastColumn="0" w:oddVBand="0" w:evenVBand="0" w:oddHBand="0" w:evenHBand="0" w:firstRowFirstColumn="0" w:firstRowLastColumn="0" w:lastRowFirstColumn="0" w:lastRowLastColumn="0"/>
            </w:pPr>
            <w:r>
              <w:t>InceptionV3 Accuracy</w:t>
            </w:r>
          </w:p>
        </w:tc>
      </w:tr>
      <w:tr w:rsidR="0023049E" w14:paraId="08FAB447" w14:textId="77777777" w:rsidTr="00CA3F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6" w:type="dxa"/>
            <w:tcBorders>
              <w:top w:val="none" w:sz="0" w:space="0" w:color="auto"/>
              <w:left w:val="none" w:sz="0" w:space="0" w:color="auto"/>
              <w:bottom w:val="none" w:sz="0" w:space="0" w:color="auto"/>
            </w:tcBorders>
          </w:tcPr>
          <w:p w14:paraId="4A2FE6B3" w14:textId="77777777" w:rsidR="0023049E" w:rsidRDefault="0023049E" w:rsidP="00CA3FDF">
            <w:pPr>
              <w:spacing w:line="240" w:lineRule="auto"/>
            </w:pPr>
            <w:r>
              <w:t>Microfossils (Fusulinids)</w:t>
            </w:r>
          </w:p>
        </w:tc>
        <w:tc>
          <w:tcPr>
            <w:tcW w:w="1306" w:type="dxa"/>
          </w:tcPr>
          <w:p w14:paraId="2AB22D75" w14:textId="77777777" w:rsidR="0023049E" w:rsidRDefault="0023049E" w:rsidP="00CA3FDF">
            <w:pPr>
              <w:spacing w:line="240" w:lineRule="auto"/>
              <w:cnfStyle w:val="000000100000" w:firstRow="0" w:lastRow="0" w:firstColumn="0" w:lastColumn="0" w:oddVBand="0" w:evenVBand="0" w:oddHBand="1" w:evenHBand="0" w:firstRowFirstColumn="0" w:firstRowLastColumn="0" w:lastRowFirstColumn="0" w:lastRowLastColumn="0"/>
            </w:pPr>
            <w:r>
              <w:t>1480</w:t>
            </w:r>
          </w:p>
        </w:tc>
        <w:tc>
          <w:tcPr>
            <w:tcW w:w="1306" w:type="dxa"/>
          </w:tcPr>
          <w:p w14:paraId="10869F79" w14:textId="77777777" w:rsidR="0023049E" w:rsidRDefault="0023049E" w:rsidP="00CA3FDF">
            <w:pPr>
              <w:spacing w:line="240" w:lineRule="auto"/>
              <w:cnfStyle w:val="000000100000" w:firstRow="0" w:lastRow="0" w:firstColumn="0" w:lastColumn="0" w:oddVBand="0" w:evenVBand="0" w:oddHBand="1" w:evenHBand="0" w:firstRowFirstColumn="0" w:firstRowLastColumn="0" w:lastRowFirstColumn="0" w:lastRowLastColumn="0"/>
            </w:pPr>
            <w:r>
              <w:t>184</w:t>
            </w:r>
          </w:p>
        </w:tc>
        <w:tc>
          <w:tcPr>
            <w:tcW w:w="1306" w:type="dxa"/>
          </w:tcPr>
          <w:p w14:paraId="17A0A0C1" w14:textId="77777777" w:rsidR="0023049E" w:rsidRDefault="0023049E" w:rsidP="00CA3FDF">
            <w:pPr>
              <w:spacing w:line="240" w:lineRule="auto"/>
              <w:cnfStyle w:val="000000100000" w:firstRow="0" w:lastRow="0" w:firstColumn="0" w:lastColumn="0" w:oddVBand="0" w:evenVBand="0" w:oddHBand="1" w:evenHBand="0" w:firstRowFirstColumn="0" w:firstRowLastColumn="0" w:lastRowFirstColumn="0" w:lastRowLastColumn="0"/>
            </w:pPr>
            <w:r>
              <w:t>7</w:t>
            </w:r>
          </w:p>
        </w:tc>
        <w:tc>
          <w:tcPr>
            <w:tcW w:w="1589" w:type="dxa"/>
          </w:tcPr>
          <w:p w14:paraId="0843BDA5" w14:textId="77777777" w:rsidR="0023049E" w:rsidRDefault="0023049E" w:rsidP="00CA3FDF">
            <w:pPr>
              <w:spacing w:line="240" w:lineRule="auto"/>
              <w:cnfStyle w:val="000000100000" w:firstRow="0" w:lastRow="0" w:firstColumn="0" w:lastColumn="0" w:oddVBand="0" w:evenVBand="0" w:oddHBand="1" w:evenHBand="0" w:firstRowFirstColumn="0" w:firstRowLastColumn="0" w:lastRowFirstColumn="0" w:lastRowLastColumn="0"/>
            </w:pPr>
            <w:r>
              <w:t>1.00</w:t>
            </w:r>
          </w:p>
        </w:tc>
        <w:tc>
          <w:tcPr>
            <w:tcW w:w="1483" w:type="dxa"/>
          </w:tcPr>
          <w:p w14:paraId="29CF18E4" w14:textId="77777777" w:rsidR="0023049E" w:rsidRDefault="0023049E" w:rsidP="00CA3FDF">
            <w:pPr>
              <w:spacing w:line="240" w:lineRule="auto"/>
              <w:cnfStyle w:val="000000100000" w:firstRow="0" w:lastRow="0" w:firstColumn="0" w:lastColumn="0" w:oddVBand="0" w:evenVBand="0" w:oddHBand="1" w:evenHBand="0" w:firstRowFirstColumn="0" w:firstRowLastColumn="0" w:lastRowFirstColumn="0" w:lastRowLastColumn="0"/>
            </w:pPr>
            <w:r>
              <w:t>1.00</w:t>
            </w:r>
          </w:p>
        </w:tc>
      </w:tr>
      <w:tr w:rsidR="0023049E" w14:paraId="46A52EF0" w14:textId="77777777" w:rsidTr="00CA3FDF">
        <w:tc>
          <w:tcPr>
            <w:cnfStyle w:val="001000000000" w:firstRow="0" w:lastRow="0" w:firstColumn="1" w:lastColumn="0" w:oddVBand="0" w:evenVBand="0" w:oddHBand="0" w:evenHBand="0" w:firstRowFirstColumn="0" w:firstRowLastColumn="0" w:lastRowFirstColumn="0" w:lastRowLastColumn="0"/>
            <w:tcW w:w="1496" w:type="dxa"/>
            <w:tcBorders>
              <w:top w:val="none" w:sz="0" w:space="0" w:color="auto"/>
              <w:left w:val="none" w:sz="0" w:space="0" w:color="auto"/>
              <w:bottom w:val="none" w:sz="0" w:space="0" w:color="auto"/>
            </w:tcBorders>
          </w:tcPr>
          <w:p w14:paraId="14E2CC48" w14:textId="77777777" w:rsidR="0023049E" w:rsidRDefault="0023049E" w:rsidP="00CA3FDF">
            <w:pPr>
              <w:spacing w:line="240" w:lineRule="auto"/>
            </w:pPr>
            <w:r>
              <w:t>Core</w:t>
            </w:r>
          </w:p>
        </w:tc>
        <w:tc>
          <w:tcPr>
            <w:tcW w:w="1306" w:type="dxa"/>
          </w:tcPr>
          <w:p w14:paraId="5BC39A61" w14:textId="77777777" w:rsidR="0023049E" w:rsidRDefault="0023049E" w:rsidP="00CA3FDF">
            <w:pPr>
              <w:spacing w:line="240" w:lineRule="auto"/>
              <w:cnfStyle w:val="000000000000" w:firstRow="0" w:lastRow="0" w:firstColumn="0" w:lastColumn="0" w:oddVBand="0" w:evenVBand="0" w:oddHBand="0" w:evenHBand="0" w:firstRowFirstColumn="0" w:firstRowLastColumn="0" w:lastRowFirstColumn="0" w:lastRowLastColumn="0"/>
            </w:pPr>
            <w:r>
              <w:t>227</w:t>
            </w:r>
          </w:p>
        </w:tc>
        <w:tc>
          <w:tcPr>
            <w:tcW w:w="1306" w:type="dxa"/>
          </w:tcPr>
          <w:p w14:paraId="7A066C3A" w14:textId="77777777" w:rsidR="0023049E" w:rsidRDefault="0023049E" w:rsidP="00CA3FDF">
            <w:pPr>
              <w:spacing w:line="240" w:lineRule="auto"/>
              <w:cnfStyle w:val="000000000000" w:firstRow="0" w:lastRow="0" w:firstColumn="0" w:lastColumn="0" w:oddVBand="0" w:evenVBand="0" w:oddHBand="0" w:evenHBand="0" w:firstRowFirstColumn="0" w:firstRowLastColumn="0" w:lastRowFirstColumn="0" w:lastRowLastColumn="0"/>
            </w:pPr>
            <w:r>
              <w:t>28</w:t>
            </w:r>
          </w:p>
        </w:tc>
        <w:tc>
          <w:tcPr>
            <w:tcW w:w="1306" w:type="dxa"/>
          </w:tcPr>
          <w:p w14:paraId="6372E9F9" w14:textId="77777777" w:rsidR="0023049E" w:rsidRDefault="0023049E" w:rsidP="00CA3FDF">
            <w:pPr>
              <w:spacing w:line="240" w:lineRule="auto"/>
              <w:cnfStyle w:val="000000000000" w:firstRow="0" w:lastRow="0" w:firstColumn="0" w:lastColumn="0" w:oddVBand="0" w:evenVBand="0" w:oddHBand="0" w:evenHBand="0" w:firstRowFirstColumn="0" w:firstRowLastColumn="0" w:lastRowFirstColumn="0" w:lastRowLastColumn="0"/>
            </w:pPr>
            <w:r>
              <w:t>5</w:t>
            </w:r>
          </w:p>
        </w:tc>
        <w:tc>
          <w:tcPr>
            <w:tcW w:w="1589" w:type="dxa"/>
          </w:tcPr>
          <w:p w14:paraId="4A86EDDE" w14:textId="77777777" w:rsidR="0023049E" w:rsidRDefault="0023049E" w:rsidP="00CA3FDF">
            <w:pPr>
              <w:spacing w:line="240" w:lineRule="auto"/>
              <w:cnfStyle w:val="000000000000" w:firstRow="0" w:lastRow="0" w:firstColumn="0" w:lastColumn="0" w:oddVBand="0" w:evenVBand="0" w:oddHBand="0" w:evenHBand="0" w:firstRowFirstColumn="0" w:firstRowLastColumn="0" w:lastRowFirstColumn="0" w:lastRowLastColumn="0"/>
            </w:pPr>
            <w:r>
              <w:t>1.00</w:t>
            </w:r>
          </w:p>
        </w:tc>
        <w:tc>
          <w:tcPr>
            <w:tcW w:w="1483" w:type="dxa"/>
          </w:tcPr>
          <w:p w14:paraId="35603384" w14:textId="77777777" w:rsidR="0023049E" w:rsidRDefault="0023049E" w:rsidP="00CA3FDF">
            <w:pPr>
              <w:spacing w:line="240" w:lineRule="auto"/>
              <w:cnfStyle w:val="000000000000" w:firstRow="0" w:lastRow="0" w:firstColumn="0" w:lastColumn="0" w:oddVBand="0" w:evenVBand="0" w:oddHBand="0" w:evenHBand="0" w:firstRowFirstColumn="0" w:firstRowLastColumn="0" w:lastRowFirstColumn="0" w:lastRowLastColumn="0"/>
            </w:pPr>
            <w:r>
              <w:t>0.97</w:t>
            </w:r>
          </w:p>
        </w:tc>
      </w:tr>
      <w:tr w:rsidR="0023049E" w14:paraId="0577990E" w14:textId="77777777" w:rsidTr="00CA3F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6" w:type="dxa"/>
            <w:tcBorders>
              <w:top w:val="none" w:sz="0" w:space="0" w:color="auto"/>
              <w:left w:val="none" w:sz="0" w:space="0" w:color="auto"/>
              <w:bottom w:val="none" w:sz="0" w:space="0" w:color="auto"/>
            </w:tcBorders>
          </w:tcPr>
          <w:p w14:paraId="4A067AD0" w14:textId="77777777" w:rsidR="0023049E" w:rsidRDefault="0023049E" w:rsidP="00CA3FDF">
            <w:pPr>
              <w:spacing w:line="240" w:lineRule="auto"/>
            </w:pPr>
            <w:r>
              <w:t>Petrographic thin-sections</w:t>
            </w:r>
          </w:p>
        </w:tc>
        <w:tc>
          <w:tcPr>
            <w:tcW w:w="1306" w:type="dxa"/>
          </w:tcPr>
          <w:p w14:paraId="75A25E4B" w14:textId="77777777" w:rsidR="0023049E" w:rsidRDefault="0023049E" w:rsidP="00CA3FDF">
            <w:pPr>
              <w:spacing w:line="240" w:lineRule="auto"/>
              <w:cnfStyle w:val="000000100000" w:firstRow="0" w:lastRow="0" w:firstColumn="0" w:lastColumn="0" w:oddVBand="0" w:evenVBand="0" w:oddHBand="1" w:evenHBand="0" w:firstRowFirstColumn="0" w:firstRowLastColumn="0" w:lastRowFirstColumn="0" w:lastRowLastColumn="0"/>
            </w:pPr>
            <w:r>
              <w:t>194</w:t>
            </w:r>
          </w:p>
        </w:tc>
        <w:tc>
          <w:tcPr>
            <w:tcW w:w="1306" w:type="dxa"/>
          </w:tcPr>
          <w:p w14:paraId="71085030" w14:textId="77777777" w:rsidR="0023049E" w:rsidRDefault="0023049E" w:rsidP="00CA3FDF">
            <w:pPr>
              <w:spacing w:line="240" w:lineRule="auto"/>
              <w:cnfStyle w:val="000000100000" w:firstRow="0" w:lastRow="0" w:firstColumn="0" w:lastColumn="0" w:oddVBand="0" w:evenVBand="0" w:oddHBand="1" w:evenHBand="0" w:firstRowFirstColumn="0" w:firstRowLastColumn="0" w:lastRowFirstColumn="0" w:lastRowLastColumn="0"/>
            </w:pPr>
            <w:r>
              <w:t>31</w:t>
            </w:r>
          </w:p>
        </w:tc>
        <w:tc>
          <w:tcPr>
            <w:tcW w:w="1306" w:type="dxa"/>
          </w:tcPr>
          <w:p w14:paraId="66F945D5" w14:textId="77777777" w:rsidR="0023049E" w:rsidRDefault="0023049E" w:rsidP="00CA3FDF">
            <w:pPr>
              <w:spacing w:line="240" w:lineRule="auto"/>
              <w:cnfStyle w:val="000000100000" w:firstRow="0" w:lastRow="0" w:firstColumn="0" w:lastColumn="0" w:oddVBand="0" w:evenVBand="0" w:oddHBand="1" w:evenHBand="0" w:firstRowFirstColumn="0" w:firstRowLastColumn="0" w:lastRowFirstColumn="0" w:lastRowLastColumn="0"/>
            </w:pPr>
            <w:r>
              <w:t>3</w:t>
            </w:r>
          </w:p>
        </w:tc>
        <w:tc>
          <w:tcPr>
            <w:tcW w:w="1589" w:type="dxa"/>
          </w:tcPr>
          <w:p w14:paraId="03F8FB16" w14:textId="77777777" w:rsidR="0023049E" w:rsidRDefault="0023049E" w:rsidP="00CA3FDF">
            <w:pPr>
              <w:spacing w:line="240" w:lineRule="auto"/>
              <w:cnfStyle w:val="000000100000" w:firstRow="0" w:lastRow="0" w:firstColumn="0" w:lastColumn="0" w:oddVBand="0" w:evenVBand="0" w:oddHBand="1" w:evenHBand="0" w:firstRowFirstColumn="0" w:firstRowLastColumn="0" w:lastRowFirstColumn="0" w:lastRowLastColumn="0"/>
            </w:pPr>
            <w:r>
              <w:t>0.81</w:t>
            </w:r>
          </w:p>
        </w:tc>
        <w:tc>
          <w:tcPr>
            <w:tcW w:w="1483" w:type="dxa"/>
          </w:tcPr>
          <w:p w14:paraId="01C53464" w14:textId="77777777" w:rsidR="0023049E" w:rsidRDefault="0023049E" w:rsidP="00CA3FDF">
            <w:pPr>
              <w:spacing w:line="240" w:lineRule="auto"/>
              <w:cnfStyle w:val="000000100000" w:firstRow="0" w:lastRow="0" w:firstColumn="0" w:lastColumn="0" w:oddVBand="0" w:evenVBand="0" w:oddHBand="1" w:evenHBand="0" w:firstRowFirstColumn="0" w:firstRowLastColumn="0" w:lastRowFirstColumn="0" w:lastRowLastColumn="0"/>
            </w:pPr>
            <w:r>
              <w:t>0.81</w:t>
            </w:r>
          </w:p>
        </w:tc>
      </w:tr>
      <w:tr w:rsidR="0023049E" w14:paraId="25BE4B13" w14:textId="77777777" w:rsidTr="00CA3FDF">
        <w:tc>
          <w:tcPr>
            <w:cnfStyle w:val="001000000000" w:firstRow="0" w:lastRow="0" w:firstColumn="1" w:lastColumn="0" w:oddVBand="0" w:evenVBand="0" w:oddHBand="0" w:evenHBand="0" w:firstRowFirstColumn="0" w:firstRowLastColumn="0" w:lastRowFirstColumn="0" w:lastRowLastColumn="0"/>
            <w:tcW w:w="1496" w:type="dxa"/>
            <w:tcBorders>
              <w:top w:val="none" w:sz="0" w:space="0" w:color="auto"/>
              <w:left w:val="none" w:sz="0" w:space="0" w:color="auto"/>
              <w:bottom w:val="none" w:sz="0" w:space="0" w:color="auto"/>
            </w:tcBorders>
          </w:tcPr>
          <w:p w14:paraId="58374E75" w14:textId="77777777" w:rsidR="0023049E" w:rsidRDefault="0023049E" w:rsidP="00CA3FDF">
            <w:pPr>
              <w:spacing w:line="240" w:lineRule="auto"/>
            </w:pPr>
            <w:r>
              <w:t>Rock samples</w:t>
            </w:r>
          </w:p>
        </w:tc>
        <w:tc>
          <w:tcPr>
            <w:tcW w:w="1306" w:type="dxa"/>
          </w:tcPr>
          <w:p w14:paraId="5CC9BAF4" w14:textId="77777777" w:rsidR="0023049E" w:rsidRDefault="0023049E" w:rsidP="00CA3FDF">
            <w:pPr>
              <w:spacing w:line="240" w:lineRule="auto"/>
              <w:cnfStyle w:val="000000000000" w:firstRow="0" w:lastRow="0" w:firstColumn="0" w:lastColumn="0" w:oddVBand="0" w:evenVBand="0" w:oddHBand="0" w:evenHBand="0" w:firstRowFirstColumn="0" w:firstRowLastColumn="0" w:lastRowFirstColumn="0" w:lastRowLastColumn="0"/>
            </w:pPr>
            <w:r>
              <w:t>1218</w:t>
            </w:r>
          </w:p>
        </w:tc>
        <w:tc>
          <w:tcPr>
            <w:tcW w:w="1306" w:type="dxa"/>
          </w:tcPr>
          <w:p w14:paraId="4216191A" w14:textId="77777777" w:rsidR="0023049E" w:rsidRDefault="0023049E" w:rsidP="00CA3FDF">
            <w:pPr>
              <w:spacing w:line="240" w:lineRule="auto"/>
              <w:cnfStyle w:val="000000000000" w:firstRow="0" w:lastRow="0" w:firstColumn="0" w:lastColumn="0" w:oddVBand="0" w:evenVBand="0" w:oddHBand="0" w:evenHBand="0" w:firstRowFirstColumn="0" w:firstRowLastColumn="0" w:lastRowFirstColumn="0" w:lastRowLastColumn="0"/>
            </w:pPr>
            <w:r>
              <w:t>151</w:t>
            </w:r>
          </w:p>
        </w:tc>
        <w:tc>
          <w:tcPr>
            <w:tcW w:w="1306" w:type="dxa"/>
          </w:tcPr>
          <w:p w14:paraId="64CDDAF3" w14:textId="77777777" w:rsidR="0023049E" w:rsidRDefault="0023049E" w:rsidP="00CA3FDF">
            <w:pPr>
              <w:spacing w:line="240" w:lineRule="auto"/>
              <w:cnfStyle w:val="000000000000" w:firstRow="0" w:lastRow="0" w:firstColumn="0" w:lastColumn="0" w:oddVBand="0" w:evenVBand="0" w:oddHBand="0" w:evenHBand="0" w:firstRowFirstColumn="0" w:firstRowLastColumn="0" w:lastRowFirstColumn="0" w:lastRowLastColumn="0"/>
            </w:pPr>
            <w:r>
              <w:t>6</w:t>
            </w:r>
          </w:p>
        </w:tc>
        <w:tc>
          <w:tcPr>
            <w:tcW w:w="1589" w:type="dxa"/>
          </w:tcPr>
          <w:p w14:paraId="48559AAE" w14:textId="77777777" w:rsidR="0023049E" w:rsidRDefault="0023049E" w:rsidP="00CA3FDF">
            <w:pPr>
              <w:spacing w:line="240" w:lineRule="auto"/>
              <w:cnfStyle w:val="000000000000" w:firstRow="0" w:lastRow="0" w:firstColumn="0" w:lastColumn="0" w:oddVBand="0" w:evenVBand="0" w:oddHBand="0" w:evenHBand="0" w:firstRowFirstColumn="0" w:firstRowLastColumn="0" w:lastRowFirstColumn="0" w:lastRowLastColumn="0"/>
            </w:pPr>
            <w:r>
              <w:t>0.98</w:t>
            </w:r>
          </w:p>
        </w:tc>
        <w:tc>
          <w:tcPr>
            <w:tcW w:w="1483" w:type="dxa"/>
          </w:tcPr>
          <w:p w14:paraId="171BEF76" w14:textId="77777777" w:rsidR="0023049E" w:rsidRDefault="0023049E" w:rsidP="00CA3FDF">
            <w:pPr>
              <w:spacing w:line="240" w:lineRule="auto"/>
              <w:cnfStyle w:val="000000000000" w:firstRow="0" w:lastRow="0" w:firstColumn="0" w:lastColumn="0" w:oddVBand="0" w:evenVBand="0" w:oddHBand="0" w:evenHBand="0" w:firstRowFirstColumn="0" w:firstRowLastColumn="0" w:lastRowFirstColumn="0" w:lastRowLastColumn="0"/>
            </w:pPr>
            <w:r>
              <w:t>0.97</w:t>
            </w:r>
          </w:p>
        </w:tc>
      </w:tr>
    </w:tbl>
    <w:p w14:paraId="1052DD24" w14:textId="77777777" w:rsidR="0023049E" w:rsidRDefault="0023049E" w:rsidP="0023049E">
      <w:pPr>
        <w:ind w:firstLine="720"/>
      </w:pPr>
    </w:p>
    <w:p w14:paraId="55FA5B42" w14:textId="77777777" w:rsidR="0023049E" w:rsidRDefault="0023049E" w:rsidP="004F4884">
      <w:pPr>
        <w:pStyle w:val="Heading3"/>
      </w:pPr>
      <w:bookmarkStart w:id="81" w:name="_Toc22710170"/>
      <w:bookmarkStart w:id="82" w:name="_Toc26534581"/>
      <w:r>
        <w:lastRenderedPageBreak/>
        <w:t>CNN-Assisted core description</w:t>
      </w:r>
      <w:bookmarkEnd w:id="81"/>
      <w:bookmarkEnd w:id="82"/>
    </w:p>
    <w:p w14:paraId="008BE120" w14:textId="77777777" w:rsidR="0023049E" w:rsidRDefault="0023049E" w:rsidP="0023049E">
      <w:pPr>
        <w:ind w:firstLine="720"/>
      </w:pPr>
      <w:r w:rsidRPr="006A5CB0">
        <w:t>Miles of drilled cores are stored in boxes in enormous warehouses, many of which have either been neglected for years or never digitally described. Core-based rock-type descriptions are important for understanding the lithology and structure of subsurface geology. Using several hundred feet of labeled core from a Mississippian limestone in Oklahoma (data from Suriamin and Pranter, 2018 and Pires de Lima et al., 2019), we selected a small sample of 285 images from five distinct lithofacies to be classified by the retrained CNN models. Pires de Lima et al. (2019) describes how a sliding window is used to generate CNN input data, cropping small sections from a standard core image. We used 10% of the data as the test set and achieved an accuracy of 1.0</w:t>
      </w:r>
      <w:r>
        <w:t xml:space="preserve"> </w:t>
      </w:r>
      <w:r w:rsidRPr="006A5CB0">
        <w:t>using the retrained MobileNetV2 and an accuracy of 0.97 using the retrained InceptionV3 (</w:t>
      </w:r>
      <w:r>
        <w:fldChar w:fldCharType="begin"/>
      </w:r>
      <w:r>
        <w:instrText xml:space="preserve"> REF _Ref22568366 \h </w:instrText>
      </w:r>
      <w:r>
        <w:fldChar w:fldCharType="separate"/>
      </w:r>
      <w:r w:rsidR="001C535D">
        <w:t xml:space="preserve">Table </w:t>
      </w:r>
      <w:r w:rsidR="001C535D">
        <w:rPr>
          <w:noProof/>
        </w:rPr>
        <w:t>1</w:t>
      </w:r>
      <w:r>
        <w:fldChar w:fldCharType="end"/>
      </w:r>
      <w:r w:rsidRPr="006A5CB0">
        <w:t>).</w:t>
      </w:r>
      <w:r>
        <w:t xml:space="preserve"> </w:t>
      </w:r>
    </w:p>
    <w:p w14:paraId="11483C8E" w14:textId="77777777" w:rsidR="0023049E" w:rsidRDefault="0023049E" w:rsidP="0023049E">
      <w:pPr>
        <w:ind w:firstLine="720"/>
      </w:pPr>
    </w:p>
    <w:p w14:paraId="1B47C258" w14:textId="77777777" w:rsidR="0023049E" w:rsidRDefault="0023049E" w:rsidP="004F4884">
      <w:pPr>
        <w:pStyle w:val="Heading3"/>
      </w:pPr>
      <w:bookmarkStart w:id="83" w:name="_Toc22710171"/>
      <w:bookmarkStart w:id="84" w:name="_Toc26534582"/>
      <w:r>
        <w:t>CNN-Assisted reservoir quality classification using petrographic thin sections</w:t>
      </w:r>
      <w:bookmarkEnd w:id="83"/>
      <w:bookmarkEnd w:id="84"/>
    </w:p>
    <w:p w14:paraId="2AF77623" w14:textId="77777777" w:rsidR="0023049E" w:rsidRDefault="0023049E" w:rsidP="0023049E">
      <w:pPr>
        <w:ind w:firstLine="720"/>
      </w:pPr>
      <w:r w:rsidRPr="006A5CB0">
        <w:t>Petrography focuses on the microscopic description and classification of rocks and is one of the most important techniques in sedimentary and diagenetic studies. Potential information gained from thin section analysis compared to hand specimen descriptions include mineral distribution and percentage, pore space analysis, and cement composition. Petrographic analyses can be laborious even for experienced geologists. Using a total of 161 photomicrographs of parallel Nicol polarization of thin sections from the Sycamore Formation shale resource play in Oklahoma, we classified these images as representatives of high, intermediate, and low reservoir quality depending on the percent of calcite cement and pore space. We used 20% of the images in the test set and obtained a test set accuracy of 0.81 for both the retrained</w:t>
      </w:r>
      <w:r>
        <w:t xml:space="preserve"> MobileNetV</w:t>
      </w:r>
      <w:r w:rsidRPr="006A5CB0">
        <w:t>2 and the retrained InceptionV3 (</w:t>
      </w:r>
      <w:r>
        <w:fldChar w:fldCharType="begin"/>
      </w:r>
      <w:r>
        <w:instrText xml:space="preserve"> REF _Ref22568366 \h </w:instrText>
      </w:r>
      <w:r>
        <w:fldChar w:fldCharType="separate"/>
      </w:r>
      <w:r w:rsidR="001C535D">
        <w:t xml:space="preserve">Table </w:t>
      </w:r>
      <w:r w:rsidR="001C535D">
        <w:rPr>
          <w:noProof/>
        </w:rPr>
        <w:t>1</w:t>
      </w:r>
      <w:r>
        <w:fldChar w:fldCharType="end"/>
      </w:r>
      <w:r w:rsidRPr="006A5CB0">
        <w:t>).</w:t>
      </w:r>
    </w:p>
    <w:p w14:paraId="727BD578" w14:textId="77777777" w:rsidR="0023049E" w:rsidRDefault="0023049E" w:rsidP="0023049E">
      <w:pPr>
        <w:ind w:firstLine="720"/>
      </w:pPr>
    </w:p>
    <w:p w14:paraId="13B9605C" w14:textId="77777777" w:rsidR="0023049E" w:rsidRDefault="0023049E" w:rsidP="00D82744">
      <w:pPr>
        <w:pStyle w:val="Heading3"/>
        <w:ind w:firstLine="720"/>
        <w:jc w:val="left"/>
      </w:pPr>
      <w:bookmarkStart w:id="85" w:name="_Toc22710172"/>
      <w:bookmarkStart w:id="86" w:name="_Toc26534583"/>
      <w:r>
        <w:t>CNN-Assisted rock sample analysis</w:t>
      </w:r>
      <w:bookmarkEnd w:id="85"/>
      <w:bookmarkEnd w:id="86"/>
    </w:p>
    <w:p w14:paraId="49B259C0" w14:textId="77777777" w:rsidR="0023049E" w:rsidRDefault="0023049E" w:rsidP="0023049E">
      <w:pPr>
        <w:ind w:firstLine="720"/>
      </w:pPr>
      <w:r w:rsidRPr="006A5CB0">
        <w:t xml:space="preserve">By creating a simple website, the general population could have immediate access to a rock identification tool using transfer learning technology. For this work in progress, we used smartphones to acquire 1521 pictures of six different rock types, using five different hand samples for each one of the rock types. We took pictures with different backgrounds, as visually depicted in </w:t>
      </w:r>
      <w:r>
        <w:fldChar w:fldCharType="begin"/>
      </w:r>
      <w:r>
        <w:instrText xml:space="preserve"> REF _Ref22568291 \h </w:instrText>
      </w:r>
      <w:r>
        <w:fldChar w:fldCharType="separate"/>
      </w:r>
      <w:r w:rsidR="001C535D">
        <w:t xml:space="preserve">Figure </w:t>
      </w:r>
      <w:r w:rsidR="001C535D">
        <w:rPr>
          <w:noProof/>
        </w:rPr>
        <w:t>1</w:t>
      </w:r>
      <w:r>
        <w:fldChar w:fldCharType="end"/>
      </w:r>
      <w:r w:rsidRPr="006A5CB0">
        <w:t>, however all pictures were taken in the same classroom. After retraining the CNN models, we obtained an accuracy for the test set (10% of original data) of 0.98 using the retrained MobileNetV2 and 0.97 using the retrained InceptionV3 (</w:t>
      </w:r>
      <w:r>
        <w:fldChar w:fldCharType="begin"/>
      </w:r>
      <w:r>
        <w:instrText xml:space="preserve"> REF _Ref22568366 \h </w:instrText>
      </w:r>
      <w:r>
        <w:fldChar w:fldCharType="separate"/>
      </w:r>
      <w:r w:rsidR="001C535D">
        <w:t xml:space="preserve">Table </w:t>
      </w:r>
      <w:r w:rsidR="001C535D">
        <w:rPr>
          <w:noProof/>
        </w:rPr>
        <w:t>1</w:t>
      </w:r>
      <w:r>
        <w:fldChar w:fldCharType="end"/>
      </w:r>
      <w:r w:rsidRPr="006A5CB0">
        <w:t>). We note that our model does not perform well with no-background images (i.e., pictures in which the rock sample is edited and seems to be within a white or black canvas) as such images were not used in training.</w:t>
      </w:r>
    </w:p>
    <w:p w14:paraId="5A29FAA8" w14:textId="77777777" w:rsidR="0023049E" w:rsidRDefault="0023049E" w:rsidP="0023049E">
      <w:pPr>
        <w:ind w:firstLine="720"/>
      </w:pPr>
    </w:p>
    <w:p w14:paraId="1781EC0E" w14:textId="77777777" w:rsidR="0023049E" w:rsidRDefault="0023049E" w:rsidP="004F4884">
      <w:pPr>
        <w:pStyle w:val="Heading2"/>
      </w:pPr>
      <w:bookmarkStart w:id="87" w:name="_Toc22710173"/>
      <w:bookmarkStart w:id="88" w:name="_Toc26534584"/>
      <w:r>
        <w:t>Conclusions and future work</w:t>
      </w:r>
      <w:bookmarkEnd w:id="87"/>
      <w:bookmarkEnd w:id="88"/>
    </w:p>
    <w:p w14:paraId="6E499393" w14:textId="77777777" w:rsidR="0023049E" w:rsidRPr="006A5CB0" w:rsidRDefault="0023049E" w:rsidP="0023049E">
      <w:pPr>
        <w:ind w:firstLine="720"/>
      </w:pPr>
      <w:r w:rsidRPr="006A5CB0">
        <w:t>Although gaining popularity and becoming established as robust technologies in other scientific fields, transfer learning and CNN models are still novel with respect to application within the geoscience community. In this paper, we used CNN and transfer learning to address four potential applications that could improve data management, organization, and interpretation in different segments of our community. We predict that the versatile transfer learning and deep learning technologies will play a role in public education and community outreach, allowing the public to identify rock samples much as they currently can</w:t>
      </w:r>
      <w:r>
        <w:t xml:space="preserve"> </w:t>
      </w:r>
      <w:r w:rsidRPr="006A5CB0">
        <w:t>use smart phone apps to identify visitors to their bird feeder. Such public engagement will increase geological awareness and provide learning opportunities for elementary schools, outdoor organizations, and families.</w:t>
      </w:r>
    </w:p>
    <w:p w14:paraId="17AF5AFA" w14:textId="77777777" w:rsidR="0023049E" w:rsidRDefault="0023049E" w:rsidP="0023049E">
      <w:pPr>
        <w:ind w:firstLine="720"/>
      </w:pPr>
      <w:r>
        <w:lastRenderedPageBreak/>
        <w:t>For all of our examples, we were able to achieve high levels of accuracy (greater than 0.81) by repurposing two different CNN models originally assembled for generic computer vision tasks. We note that the examples and applications demonstrated here are curated, and therefore we expected highly accurate results. We presented demonstrations with limited classes and relatively well-controlled input images, so near perfect accuracies cannot necessarily be expected in an open, free-range deployment scenario. Regardless, the ability to create distinctive models for specific sets of images allows for a versatile application.</w:t>
      </w:r>
    </w:p>
    <w:p w14:paraId="3D41E3F0" w14:textId="77777777" w:rsidR="0023049E" w:rsidRDefault="0023049E" w:rsidP="0023049E">
      <w:pPr>
        <w:ind w:firstLine="720"/>
      </w:pPr>
      <w:r>
        <w:t xml:space="preserve">The techniques we have shown could greatly improve the speed of monotonous tasks such as describing miles of core data with very similar characteristics or looking at hundreds of thin sections from the same geologic formation. While the tasks are performed by the computer, the geoscience expert is still the most important element in every analysis in order to create the necessary datasets and provide quality control of the generated results. In the end, the expert validates the correctness of the results and looks for anomalies that are poorly represented by the target classes. We believe ML can help maintain consistency in interpretations and even provide a resource for less common observations and data variations, such as previously overlooked fossil subspecies and unique mineralogical assemblages in small communities and private collections, thereby building and reconciling a more </w:t>
      </w:r>
      <w:r w:rsidRPr="006A5CB0">
        <w:t>complete international database. By combing expert knowledge and time efficient technology, ML methods can accelerate many data analysis processes for geologic research.</w:t>
      </w:r>
    </w:p>
    <w:p w14:paraId="23D25418" w14:textId="77777777" w:rsidR="0023049E" w:rsidRPr="006A5CB0" w:rsidRDefault="0023049E" w:rsidP="0023049E">
      <w:pPr>
        <w:ind w:firstLine="720"/>
      </w:pPr>
    </w:p>
    <w:p w14:paraId="56F0D164" w14:textId="77777777" w:rsidR="0023049E" w:rsidRDefault="0023049E" w:rsidP="0023049E">
      <w:pPr>
        <w:spacing w:line="240" w:lineRule="auto"/>
        <w:rPr>
          <w:rFonts w:asciiTheme="majorHAnsi" w:hAnsiTheme="majorHAnsi"/>
          <w:b/>
          <w:bCs/>
          <w:iCs/>
          <w:szCs w:val="28"/>
        </w:rPr>
      </w:pPr>
      <w:r>
        <w:br w:type="page"/>
      </w:r>
    </w:p>
    <w:p w14:paraId="6F9DDDC4" w14:textId="77777777" w:rsidR="0023049E" w:rsidRDefault="0023049E" w:rsidP="004F4884">
      <w:pPr>
        <w:pStyle w:val="Heading2"/>
      </w:pPr>
      <w:bookmarkStart w:id="89" w:name="_Toc22710174"/>
      <w:bookmarkStart w:id="90" w:name="_Toc26534585"/>
      <w:r>
        <w:lastRenderedPageBreak/>
        <w:t>Acknowledgements</w:t>
      </w:r>
      <w:bookmarkEnd w:id="89"/>
      <w:bookmarkEnd w:id="90"/>
    </w:p>
    <w:p w14:paraId="16518C63" w14:textId="77777777" w:rsidR="0023049E" w:rsidRPr="006A5CB0" w:rsidRDefault="0023049E" w:rsidP="0023049E">
      <w:pPr>
        <w:ind w:firstLine="720"/>
      </w:pPr>
      <w:r w:rsidRPr="006A5CB0">
        <w:t>We thank the iDigBio initiative for providing access to the community for biodiversity collections data. Rafael acknowledges CNPq (grant 203589/2014-9) for the financial support and CPRM for granting the leave of absence allowing the pursuit of his Ph.D. studies. We thank Roger J. Burkhalter from the University of Oklahoma Sam Noble Museum of Natural History for providing the Fusulinids images used in this manuscript.</w:t>
      </w:r>
    </w:p>
    <w:p w14:paraId="51835FE5" w14:textId="77777777" w:rsidR="0023049E" w:rsidRPr="006516FD" w:rsidRDefault="0023049E" w:rsidP="0023049E"/>
    <w:p w14:paraId="3802BB4B" w14:textId="77777777" w:rsidR="0023049E" w:rsidRPr="00691AC3" w:rsidRDefault="0023049E" w:rsidP="004F4884">
      <w:pPr>
        <w:pStyle w:val="Heading2"/>
        <w:rPr>
          <w:lang w:val="de-DE"/>
        </w:rPr>
      </w:pPr>
      <w:bookmarkStart w:id="91" w:name="_Toc22710175"/>
      <w:bookmarkStart w:id="92" w:name="_Toc26534586"/>
      <w:r w:rsidRPr="00691AC3">
        <w:rPr>
          <w:lang w:val="de-DE"/>
        </w:rPr>
        <w:t>References</w:t>
      </w:r>
      <w:bookmarkEnd w:id="91"/>
      <w:bookmarkEnd w:id="92"/>
    </w:p>
    <w:p w14:paraId="5BD803B0" w14:textId="77777777" w:rsidR="0023049E" w:rsidRDefault="0023049E" w:rsidP="0023049E">
      <w:pPr>
        <w:spacing w:line="240" w:lineRule="auto"/>
        <w:ind w:left="720" w:hanging="720"/>
      </w:pPr>
      <w:r w:rsidRPr="00691AC3">
        <w:rPr>
          <w:lang w:val="de-DE"/>
        </w:rPr>
        <w:t xml:space="preserve">Allen, D.B., Pranter, M.J., 2016. </w:t>
      </w:r>
      <w:r>
        <w:t>Geologically constrained electrofacies classification of fluvial deposits: An example from the Cretaceous Mesaverde Group, Uinta and Piceance Basins. Am. Assoc. Pet. Geol. Bull. 100, 1775–1801. https://doi.org/10.1306/05131614229</w:t>
      </w:r>
    </w:p>
    <w:p w14:paraId="09124FCE" w14:textId="77777777" w:rsidR="0023049E" w:rsidRDefault="0023049E" w:rsidP="0023049E">
      <w:pPr>
        <w:spacing w:line="240" w:lineRule="auto"/>
        <w:ind w:left="720" w:hanging="720"/>
      </w:pPr>
      <w:r>
        <w:t>Bengio, Y., 2012. Deep Learning of Representations for Unsupervised and Transfer Learning, in: Guyon, I., Dror, G., Lemaire, V., Taylor, G., Silver, D. (Eds.), Proceedings of ICML Workshop on Unsupervised and Transfer Learning, Proceedings of Machine Learning Research. PMLR, Bellevue, Washington, USA, pp. 17–36.</w:t>
      </w:r>
    </w:p>
    <w:p w14:paraId="1E8C55A6" w14:textId="77777777" w:rsidR="0023049E" w:rsidRDefault="0023049E" w:rsidP="0023049E">
      <w:pPr>
        <w:spacing w:line="240" w:lineRule="auto"/>
        <w:ind w:left="720" w:hanging="720"/>
      </w:pPr>
      <w:r>
        <w:t>Carranza-Rojas, J., Goeau, H., Bonnet, P., Mata-Montero, E., Joly, A., 2017. Going deeper in the automated identification of Herbarium specimens. BMC Evol. Biol. 17, 181. https://doi.org/10.1186/s12862-017-1014-z</w:t>
      </w:r>
    </w:p>
    <w:p w14:paraId="08BE838C" w14:textId="77777777" w:rsidR="0023049E" w:rsidRDefault="0023049E" w:rsidP="0023049E">
      <w:pPr>
        <w:spacing w:line="240" w:lineRule="auto"/>
        <w:ind w:left="720" w:hanging="720"/>
      </w:pPr>
      <w:r>
        <w:t>Caruana, R., 1995. Learning Many Related Tasks at the Same Time with Backpropagation, in: Tesauro, G., Touretzky, D.S., Leen, T.K. (Eds.), Advances in Neural Information Processing Systems 7. MIT Press, pp. 657–664.</w:t>
      </w:r>
    </w:p>
    <w:p w14:paraId="0FC934DB" w14:textId="77777777" w:rsidR="0023049E" w:rsidRDefault="0023049E" w:rsidP="0023049E">
      <w:pPr>
        <w:spacing w:line="240" w:lineRule="auto"/>
        <w:ind w:left="720" w:hanging="720"/>
      </w:pPr>
      <w:r>
        <w:t>Chen, Z., Zhang, T., Ouyang, C., Chen, Z., Zhang, T., Ouyang, C., 2018. End-to-End Airplane Detection Using Transfer Learning in Remote Sensing Images. Remote Sens. 10, 139. https://doi.org/10.3390/rs10010139</w:t>
      </w:r>
    </w:p>
    <w:p w14:paraId="34FD625E" w14:textId="77777777" w:rsidR="0023049E" w:rsidRPr="00691AC3" w:rsidRDefault="0023049E" w:rsidP="0023049E">
      <w:pPr>
        <w:spacing w:line="240" w:lineRule="auto"/>
        <w:ind w:left="720" w:hanging="720"/>
        <w:rPr>
          <w:lang w:val="de-DE"/>
        </w:rPr>
      </w:pPr>
      <w:r>
        <w:t xml:space="preserve">Chollet, F., 2016. Xception: Deep Learning with Depthwise Separable Convolutions. </w:t>
      </w:r>
      <w:r w:rsidRPr="00691AC3">
        <w:rPr>
          <w:lang w:val="de-DE"/>
        </w:rPr>
        <w:t>CoRR abs/1610.0.</w:t>
      </w:r>
    </w:p>
    <w:p w14:paraId="77B37B73" w14:textId="77777777" w:rsidR="0023049E" w:rsidRDefault="0023049E" w:rsidP="0023049E">
      <w:pPr>
        <w:spacing w:line="240" w:lineRule="auto"/>
        <w:ind w:left="720" w:hanging="720"/>
      </w:pPr>
      <w:r w:rsidRPr="00691AC3">
        <w:rPr>
          <w:lang w:val="de-DE"/>
        </w:rPr>
        <w:t xml:space="preserve">de Matos, M.C., Yenugu, M. (Moe), Angelo, S.M., Marfurt, K.J., 2011. </w:t>
      </w:r>
      <w:r>
        <w:t>Integrated seismic texture segmentation and cluster analysis applied to channel delineation and chert reservoir characterization. Geophysics 76, P11–P21. https://doi.org/10.1190/geo2010-0150.1</w:t>
      </w:r>
    </w:p>
    <w:p w14:paraId="3B93D9AC" w14:textId="77777777" w:rsidR="0023049E" w:rsidRDefault="0023049E" w:rsidP="0023049E">
      <w:pPr>
        <w:spacing w:line="240" w:lineRule="auto"/>
        <w:ind w:left="720" w:hanging="720"/>
      </w:pPr>
      <w:r>
        <w:t>DeVries, P.M.R., Viégas, F., Wattenberg, M., Meade, B.J., 2018. Deep learning of aftershock patterns following large earthquakes. Nature 560, 632–634. https://doi.org/10.1038/s41586-018-0438-y</w:t>
      </w:r>
    </w:p>
    <w:p w14:paraId="32126EBB" w14:textId="77777777" w:rsidR="0023049E" w:rsidRDefault="0023049E" w:rsidP="0023049E">
      <w:pPr>
        <w:spacing w:line="240" w:lineRule="auto"/>
        <w:ind w:left="720" w:hanging="720"/>
      </w:pPr>
      <w:r>
        <w:t>Esteva, A., Kuprel, B., Novoa, R.A., Ko, J., Swetter, S.M., Blau, H.M., Thrun, S., 2017. Dermatologist-level classification of skin cancer with deep neural networks. Nature 542, 115–118. https://doi.org/10.1038/nature21056</w:t>
      </w:r>
    </w:p>
    <w:p w14:paraId="082ECE35" w14:textId="77777777" w:rsidR="0023049E" w:rsidRDefault="0023049E" w:rsidP="0023049E">
      <w:pPr>
        <w:spacing w:line="240" w:lineRule="auto"/>
        <w:ind w:left="720" w:hanging="720"/>
      </w:pPr>
      <w:r>
        <w:t>Farley, M.B., Armentrout, J.M., 2002. Tools, Biostratigraphy becoming lost art in rush to find new exploration. Offshore 94–95.</w:t>
      </w:r>
    </w:p>
    <w:p w14:paraId="06A98BAB" w14:textId="77777777" w:rsidR="0023049E" w:rsidRDefault="0023049E" w:rsidP="0023049E">
      <w:pPr>
        <w:spacing w:line="240" w:lineRule="auto"/>
        <w:ind w:left="720" w:hanging="720"/>
      </w:pPr>
      <w:r>
        <w:lastRenderedPageBreak/>
        <w:t>Farley, M.B., Armentrout, J.M., 2000. Fossils in the Oil Patch. Geotimes 14–17.</w:t>
      </w:r>
    </w:p>
    <w:p w14:paraId="315FCC61" w14:textId="77777777" w:rsidR="0023049E" w:rsidRPr="00691AC3" w:rsidRDefault="0023049E" w:rsidP="0023049E">
      <w:pPr>
        <w:spacing w:line="240" w:lineRule="auto"/>
        <w:ind w:left="720" w:hanging="720"/>
        <w:rPr>
          <w:lang w:val="de-DE"/>
        </w:rPr>
      </w:pPr>
      <w:r>
        <w:t xml:space="preserve">He, K., Zhang, X., Ren, S., Sun, J., 2016. Deep Residual Learning for Image Recognition, in: 2016 IEEE Conference on Computer Vision and Pattern Recognition (CVPR). </w:t>
      </w:r>
      <w:r w:rsidRPr="00691AC3">
        <w:rPr>
          <w:lang w:val="de-DE"/>
        </w:rPr>
        <w:t>IEEE, pp. 770–778. https://doi.org/10.1109/CVPR.2016.90</w:t>
      </w:r>
    </w:p>
    <w:p w14:paraId="433073FD" w14:textId="77777777" w:rsidR="0023049E" w:rsidRPr="00691AC3" w:rsidRDefault="0023049E" w:rsidP="0023049E">
      <w:pPr>
        <w:spacing w:line="240" w:lineRule="auto"/>
        <w:ind w:left="720" w:hanging="720"/>
        <w:rPr>
          <w:lang w:val="de-DE"/>
        </w:rPr>
      </w:pPr>
      <w:r w:rsidRPr="00691AC3">
        <w:rPr>
          <w:lang w:val="de-DE"/>
        </w:rPr>
        <w:t xml:space="preserve">Hu, S., Zhao, W., Xu, Z., Zeng, H., Fu, Q., Jiang, L., Shi, S., Wang, Z., Liu, W., 2017. </w:t>
      </w:r>
      <w:r>
        <w:t xml:space="preserve">Applying principal component analysis to seismic attributes for interpretation of evaporite facies: Lower Triassic Jialingjiang Formation, Sichuan Basin, China. </w:t>
      </w:r>
      <w:r w:rsidRPr="00691AC3">
        <w:rPr>
          <w:lang w:val="de-DE"/>
        </w:rPr>
        <w:t>Interpretation 5, T461–T475. https://doi.org/10.1190/INT-2017-0004.1</w:t>
      </w:r>
    </w:p>
    <w:p w14:paraId="34DE8714" w14:textId="77777777" w:rsidR="0023049E" w:rsidRDefault="0023049E" w:rsidP="0023049E">
      <w:pPr>
        <w:spacing w:line="240" w:lineRule="auto"/>
        <w:ind w:left="720" w:hanging="720"/>
      </w:pPr>
      <w:r w:rsidRPr="00691AC3">
        <w:rPr>
          <w:lang w:val="de-DE"/>
        </w:rPr>
        <w:t xml:space="preserve">Huang, G., Liu, Z., Weinberger, K.Q., 2016. </w:t>
      </w:r>
      <w:r>
        <w:t>Densely Connected Convolutional Networks. CoRR abs/1608.0.</w:t>
      </w:r>
    </w:p>
    <w:p w14:paraId="57F0DFC2" w14:textId="77777777" w:rsidR="0023049E" w:rsidRDefault="0023049E" w:rsidP="0023049E">
      <w:pPr>
        <w:spacing w:line="240" w:lineRule="auto"/>
        <w:ind w:left="720" w:hanging="720"/>
      </w:pPr>
      <w:r w:rsidRPr="00691AC3">
        <w:rPr>
          <w:lang w:val="de-DE"/>
        </w:rPr>
        <w:t xml:space="preserve">Kortström, J., Uski, M., Tiira, T., 2016. </w:t>
      </w:r>
      <w:r>
        <w:t>Automatic classification of seismic events within a regional seismograph network. Comput. Geosci. 87, 22–30. https://doi.org/10.1016/J.CAGEO.2015.11.006</w:t>
      </w:r>
    </w:p>
    <w:p w14:paraId="4EC4F8FB" w14:textId="77777777" w:rsidR="0023049E" w:rsidRDefault="0023049E" w:rsidP="0023049E">
      <w:pPr>
        <w:spacing w:line="240" w:lineRule="auto"/>
        <w:ind w:left="720" w:hanging="720"/>
      </w:pPr>
      <w:r>
        <w:t>Meldahl, P., Heggland, R., Bril, B., de Groot, P., 2001. Identifying faults and gas chimneys using multiattributes and neural networks. Lead. Edge 20, 474–482. https://doi.org/10.1190/1.1438976</w:t>
      </w:r>
    </w:p>
    <w:p w14:paraId="75909769" w14:textId="77777777" w:rsidR="0023049E" w:rsidRPr="00691AC3" w:rsidRDefault="0023049E" w:rsidP="0023049E">
      <w:pPr>
        <w:spacing w:line="240" w:lineRule="auto"/>
        <w:ind w:left="720" w:hanging="720"/>
        <w:rPr>
          <w:lang w:val="de-DE"/>
        </w:rPr>
      </w:pPr>
      <w:r>
        <w:t xml:space="preserve">Perol, T., Gharbi, M., Denolle, M., 2018. Convolutional neural network for earthquake detection and location. </w:t>
      </w:r>
      <w:r w:rsidRPr="00691AC3">
        <w:rPr>
          <w:lang w:val="de-DE"/>
        </w:rPr>
        <w:t>Sci. Adv. 4, e1700578. https://doi.org/10.1126/sciadv.1700578</w:t>
      </w:r>
    </w:p>
    <w:p w14:paraId="470D9C5E" w14:textId="77777777" w:rsidR="0023049E" w:rsidRDefault="0023049E" w:rsidP="0023049E">
      <w:pPr>
        <w:spacing w:line="240" w:lineRule="auto"/>
        <w:ind w:left="720" w:hanging="720"/>
      </w:pPr>
      <w:r w:rsidRPr="00691AC3">
        <w:rPr>
          <w:lang w:val="de-DE"/>
        </w:rPr>
        <w:t xml:space="preserve">Pires de Lima, R., Suriamin, F., Marfurt, K.J., Pranter, M.J., 2019. </w:t>
      </w:r>
      <w:r>
        <w:t>Convolutional neural networks as aid in core lithofacies classification. Interpretation 7, SF27–SF40. https://doi.org/10.1190/INT-2018-0245.1</w:t>
      </w:r>
    </w:p>
    <w:p w14:paraId="70349A7C" w14:textId="77777777" w:rsidR="0023049E" w:rsidRPr="00691AC3" w:rsidRDefault="0023049E" w:rsidP="0023049E">
      <w:pPr>
        <w:spacing w:line="240" w:lineRule="auto"/>
        <w:ind w:left="720" w:hanging="720"/>
        <w:rPr>
          <w:lang w:val="de-DE"/>
        </w:rPr>
      </w:pPr>
      <w:r>
        <w:t xml:space="preserve">Qayyum, A., Anwar, S.M., Awais, M., Majid, M., 2017. Medical image retrieval using deep convolutional neural network. </w:t>
      </w:r>
      <w:r w:rsidRPr="00691AC3">
        <w:rPr>
          <w:lang w:val="de-DE"/>
        </w:rPr>
        <w:t>Neurocomputing 266, 8–20. https://doi.org/10.1016/J.NEUCOM.2017.05.025</w:t>
      </w:r>
    </w:p>
    <w:p w14:paraId="2D178D2C" w14:textId="77777777" w:rsidR="0023049E" w:rsidRDefault="0023049E" w:rsidP="0023049E">
      <w:pPr>
        <w:spacing w:line="240" w:lineRule="auto"/>
        <w:ind w:left="720" w:hanging="720"/>
      </w:pPr>
      <w:r w:rsidRPr="00691AC3">
        <w:rPr>
          <w:lang w:val="de-DE"/>
        </w:rPr>
        <w:t xml:space="preserve">Qi, J., Lin, T., Zhao, T., Li, F., Marfurt, K., 2016. </w:t>
      </w:r>
      <w:r>
        <w:t>Semisupervised multiattribute seismic facies analysis. Interpretation 4, SB91–SB106. https://doi.org/10.1190/INT-2015-0098.1</w:t>
      </w:r>
    </w:p>
    <w:p w14:paraId="7B8F89DA" w14:textId="77777777" w:rsidR="0023049E" w:rsidRPr="00691AC3" w:rsidRDefault="0023049E" w:rsidP="0023049E">
      <w:pPr>
        <w:spacing w:line="240" w:lineRule="auto"/>
        <w:ind w:left="720" w:hanging="720"/>
        <w:rPr>
          <w:lang w:val="de-DE"/>
        </w:rPr>
      </w:pPr>
      <w:r>
        <w:t xml:space="preserve">Roy, A., Romero-Peláez, A.S., Kwiatkowski, T.J., Marfurt, K.J., 2014. Generative topographic mapping for seismic facies estimation of a carbonate wash, Veracruz Basin, southern Mexico. </w:t>
      </w:r>
      <w:r w:rsidRPr="00691AC3">
        <w:rPr>
          <w:lang w:val="de-DE"/>
        </w:rPr>
        <w:t>Interpretation 2, SA31–SA47. https://doi.org/10.1190/INT-2013-0077.1</w:t>
      </w:r>
    </w:p>
    <w:p w14:paraId="4CA86B3A" w14:textId="77777777" w:rsidR="0023049E" w:rsidRDefault="0023049E" w:rsidP="0023049E">
      <w:pPr>
        <w:spacing w:line="240" w:lineRule="auto"/>
        <w:ind w:left="720" w:hanging="720"/>
      </w:pPr>
      <w:r w:rsidRPr="00691AC3">
        <w:rPr>
          <w:lang w:val="de-DE"/>
        </w:rPr>
        <w:t xml:space="preserve">Russakovsky, O., Deng, J., Su, H., Krause, J., Satheesh, S., Ma, S., Huang, Z., Karpathy, A., Khosla, A., Bernstein, M., Berg, A.C., Fei-Fei, L., 2015. </w:t>
      </w:r>
      <w:r>
        <w:t>ImageNet Large Scale Visual Recognition Challenge. Int. J. Comput. Vis. 115, 211–252. https://doi.org/10.1007/s11263-015-0816-y</w:t>
      </w:r>
    </w:p>
    <w:p w14:paraId="742673CC" w14:textId="77777777" w:rsidR="0023049E" w:rsidRDefault="0023049E" w:rsidP="0023049E">
      <w:pPr>
        <w:spacing w:line="240" w:lineRule="auto"/>
        <w:ind w:left="720" w:hanging="720"/>
      </w:pPr>
      <w:r>
        <w:t>Sandler, M., Howard, A., Zhu, M., Zhmoginov, A., Chen, L.-C., 2018. MobileNetV2: Inverted Residuals and Linear Bottlenecks. ArXiv e-prints.</w:t>
      </w:r>
    </w:p>
    <w:p w14:paraId="02355040" w14:textId="77777777" w:rsidR="0023049E" w:rsidRDefault="0023049E" w:rsidP="0023049E">
      <w:pPr>
        <w:spacing w:line="240" w:lineRule="auto"/>
        <w:ind w:left="720" w:hanging="720"/>
      </w:pPr>
      <w:r>
        <w:t>Shoji, D., Noguchi, R., Otsuki, S., Hino, H., 2018. Classification of volcanic ash particles using a convolutional neural network and probability. Sci. Rep. 8, 8111. https://doi.org/10.1038/s41598-018-26200-2</w:t>
      </w:r>
    </w:p>
    <w:p w14:paraId="52545388" w14:textId="77777777" w:rsidR="0023049E" w:rsidRDefault="0023049E" w:rsidP="0023049E">
      <w:pPr>
        <w:spacing w:line="240" w:lineRule="auto"/>
        <w:ind w:left="720" w:hanging="720"/>
      </w:pPr>
      <w:r>
        <w:t>Sinha, S., Wen, Y., Pires de Lima, R.A., Marfurt, K., 2018. Statistical controls on induced seismicity. Unconventional Resources Technology Conference. https://doi.org/10.15530/urtec-2018-2897507-MS</w:t>
      </w:r>
    </w:p>
    <w:p w14:paraId="08156FAA" w14:textId="77777777" w:rsidR="0023049E" w:rsidRDefault="0023049E" w:rsidP="0023049E">
      <w:pPr>
        <w:spacing w:line="240" w:lineRule="auto"/>
        <w:ind w:left="720" w:hanging="720"/>
      </w:pPr>
      <w:r>
        <w:t>Suriamin, F., Pranter, M.J., 2018. Stratigraphic and lithofacies control on pore characteristics of Mississippian limestone and chert reservoirs of north-central Oklahoma. Interpretation 1–66. https://doi.org/10.1190/int-2017-0204.1</w:t>
      </w:r>
    </w:p>
    <w:p w14:paraId="39697C6A" w14:textId="77777777" w:rsidR="0023049E" w:rsidRDefault="0023049E" w:rsidP="0023049E">
      <w:pPr>
        <w:spacing w:line="240" w:lineRule="auto"/>
        <w:ind w:left="720" w:hanging="720"/>
      </w:pPr>
      <w:r>
        <w:t>Szegedy, C., Liu, W., Jia, Y., Sermanet, P., Reed, S.E., Anguelov, D., Erhan, D., Vanhoucke, V., Rabinovich, A., 2014. Going Deeper with Convolutions. CoRR abs/1409.4.</w:t>
      </w:r>
    </w:p>
    <w:p w14:paraId="1ED6B611" w14:textId="77777777" w:rsidR="0023049E" w:rsidRDefault="0023049E" w:rsidP="0023049E">
      <w:pPr>
        <w:spacing w:line="240" w:lineRule="auto"/>
        <w:ind w:left="720" w:hanging="720"/>
      </w:pPr>
      <w:r>
        <w:lastRenderedPageBreak/>
        <w:t>Szegedy, C., Vanhoucke, V., Ioffe, S., Shlens, J., Wojna, Z., 2015. Rethinking the Inception Architecture for Computer Vision. CoRR abs/1512.0.</w:t>
      </w:r>
    </w:p>
    <w:p w14:paraId="2E136F90" w14:textId="77777777" w:rsidR="0023049E" w:rsidRDefault="0023049E" w:rsidP="0023049E">
      <w:pPr>
        <w:spacing w:line="240" w:lineRule="auto"/>
        <w:ind w:left="720" w:hanging="720"/>
      </w:pPr>
      <w:r>
        <w:t>Tajbakhsh, N., Shin, J.Y., Gurudu, S.R., Hurst, R.T., Kendall, C.B., Gotway, M.B., Liang, J., 2016. Convolutional Neural Networks for Medical Image Analysis: Full Training or Fine Tuning? IEEE Trans. Med. Imaging 35, 1299–1312. https://doi.org/10.1109/TMI.2016.2535302</w:t>
      </w:r>
    </w:p>
    <w:p w14:paraId="3AABA26E" w14:textId="77777777" w:rsidR="0023049E" w:rsidRDefault="0023049E" w:rsidP="0023049E">
      <w:pPr>
        <w:spacing w:line="240" w:lineRule="auto"/>
        <w:ind w:left="720" w:hanging="720"/>
      </w:pPr>
      <w:r>
        <w:t>TGS Salt Identification Challenge | Kaggle [WWW Document], n.d. URL https://www.kaggle.com/c/tgs-salt-identification-challenge (accessed 1.10.19).</w:t>
      </w:r>
    </w:p>
    <w:p w14:paraId="65833BDD" w14:textId="77777777" w:rsidR="0023049E" w:rsidRDefault="0023049E" w:rsidP="0023049E">
      <w:pPr>
        <w:spacing w:line="240" w:lineRule="auto"/>
        <w:ind w:left="720" w:hanging="720"/>
      </w:pPr>
      <w:r>
        <w:t>West, B.P., May, S.R., Eastwood, J.E., Rossen, C., 2002. Interactive seismic facies classification using textural attributes and neural networks. Lead. Edge 21, 1042–1049. https://doi.org/10.1190/1.1518444</w:t>
      </w:r>
    </w:p>
    <w:p w14:paraId="769C6852" w14:textId="77777777" w:rsidR="0023049E" w:rsidRDefault="0023049E" w:rsidP="0023049E">
      <w:pPr>
        <w:spacing w:line="240" w:lineRule="auto"/>
        <w:ind w:left="720" w:hanging="720"/>
      </w:pPr>
      <w:r>
        <w:t>Yin, X., Chen, W., Wu, X., Yue, H., 2017. Fine-tuning and visualization of convolutional neural networks, in: 2017 12th IEEE Conference on Industrial Electronics and Applications (ICIEA). IEEE, pp. 1310–1315. https://doi.org/10.1109/ICIEA.2017.8283041</w:t>
      </w:r>
    </w:p>
    <w:p w14:paraId="695B063A" w14:textId="77777777" w:rsidR="0023049E" w:rsidRDefault="0023049E" w:rsidP="0023049E">
      <w:pPr>
        <w:spacing w:line="240" w:lineRule="auto"/>
        <w:ind w:left="720" w:hanging="720"/>
      </w:pPr>
      <w:r>
        <w:t>Yosinski, J., Clune, J., Bengio, Y., Lipson, H., 2014. How transferable are features in deep neural networks? Adv. Neural Inf. Process. Syst. 27, 3320–3328.</w:t>
      </w:r>
    </w:p>
    <w:p w14:paraId="640AC366" w14:textId="77777777" w:rsidR="008C66D4" w:rsidRDefault="0023049E" w:rsidP="0023049E">
      <w:pPr>
        <w:spacing w:line="240" w:lineRule="auto"/>
        <w:ind w:left="720" w:hanging="720"/>
      </w:pPr>
      <w:r>
        <w:t>Zhao, T., Li, F., Marfurt, K.J., 2017. Constraining self-organizing map facies analysis with stratigraphy: An approach to increase the credibility in automatic seismic facies classification. Interpretation 5, T163–T171. https://doi.org/10.1190/INT-2016-0132.1</w:t>
      </w:r>
    </w:p>
    <w:p w14:paraId="0BF70237" w14:textId="77777777" w:rsidR="008C66D4" w:rsidRDefault="008C66D4">
      <w:pPr>
        <w:spacing w:line="240" w:lineRule="auto"/>
      </w:pPr>
      <w:r>
        <w:br w:type="page"/>
      </w:r>
    </w:p>
    <w:p w14:paraId="1E1CA983" w14:textId="77777777" w:rsidR="008C66D4" w:rsidRDefault="008C66D4" w:rsidP="008C66D4">
      <w:pPr>
        <w:pStyle w:val="Chapter"/>
      </w:pPr>
      <w:bookmarkStart w:id="93" w:name="_Toc26534587"/>
      <w:r w:rsidRPr="000F56FF">
        <w:lastRenderedPageBreak/>
        <w:t xml:space="preserve">Chapter </w:t>
      </w:r>
      <w:r>
        <w:t>3</w:t>
      </w:r>
      <w:r w:rsidRPr="000F56FF">
        <w:t xml:space="preserve">: </w:t>
      </w:r>
      <w:r w:rsidRPr="008C66D4">
        <w:t>Convolutional neural networks as aid in core lithofacies classification</w:t>
      </w:r>
      <w:bookmarkEnd w:id="93"/>
    </w:p>
    <w:p w14:paraId="4C9FBC8A" w14:textId="77777777" w:rsidR="008C66D4" w:rsidRPr="005C205C" w:rsidRDefault="008C66D4" w:rsidP="008C66D4">
      <w:r w:rsidRPr="005C205C">
        <w:t>Rafael Pires de Lima</w:t>
      </w:r>
      <w:r w:rsidRPr="005C205C">
        <w:rPr>
          <w:vertAlign w:val="superscript"/>
        </w:rPr>
        <w:t>1,2</w:t>
      </w:r>
      <w:r w:rsidRPr="005C205C">
        <w:t xml:space="preserve">, </w:t>
      </w:r>
      <w:r w:rsidR="005044EC">
        <w:t>Fnu Suriamin</w:t>
      </w:r>
      <w:r w:rsidRPr="005C205C">
        <w:rPr>
          <w:vertAlign w:val="superscript"/>
        </w:rPr>
        <w:t>1</w:t>
      </w:r>
      <w:r w:rsidR="005044EC">
        <w:rPr>
          <w:vertAlign w:val="superscript"/>
        </w:rPr>
        <w:t>,3</w:t>
      </w:r>
      <w:r w:rsidRPr="005C205C">
        <w:t xml:space="preserve">, </w:t>
      </w:r>
      <w:r w:rsidR="005044EC">
        <w:t>Kurt J. Marfurt</w:t>
      </w:r>
      <w:r w:rsidRPr="005C205C">
        <w:rPr>
          <w:vertAlign w:val="superscript"/>
        </w:rPr>
        <w:t>1</w:t>
      </w:r>
      <w:r w:rsidRPr="005C205C">
        <w:t xml:space="preserve">, </w:t>
      </w:r>
      <w:r w:rsidR="005044EC">
        <w:t>Matthew J. Pranter</w:t>
      </w:r>
      <w:r w:rsidR="005044EC">
        <w:rPr>
          <w:vertAlign w:val="superscript"/>
        </w:rPr>
        <w:t>1</w:t>
      </w:r>
    </w:p>
    <w:p w14:paraId="2710CB95" w14:textId="77777777" w:rsidR="008C66D4" w:rsidRDefault="008C66D4" w:rsidP="008C66D4">
      <w:r w:rsidRPr="005C205C">
        <w:rPr>
          <w:vertAlign w:val="superscript"/>
        </w:rPr>
        <w:t>1</w:t>
      </w:r>
      <w:r w:rsidRPr="005C205C">
        <w:t>School of Geology and Geophysics, The University of Oklahoma, 100 East Boyd Street, RM 710, Norman, Oklahoma, 73019, USA</w:t>
      </w:r>
    </w:p>
    <w:p w14:paraId="4A5ED79D" w14:textId="77777777" w:rsidR="008C66D4" w:rsidRDefault="008C66D4" w:rsidP="008C66D4">
      <w:r w:rsidRPr="005C205C">
        <w:rPr>
          <w:vertAlign w:val="superscript"/>
        </w:rPr>
        <w:t>2</w:t>
      </w:r>
      <w:r w:rsidRPr="005C205C">
        <w:t>The Geological Survey of Brazil – CPRM, 55 Rua Costa, São Paulo, São Paulo, Brazil</w:t>
      </w:r>
    </w:p>
    <w:p w14:paraId="33827CA0" w14:textId="77777777" w:rsidR="008C66D4" w:rsidRDefault="008C66D4" w:rsidP="008C66D4">
      <w:r w:rsidRPr="005C205C">
        <w:rPr>
          <w:vertAlign w:val="superscript"/>
        </w:rPr>
        <w:t>3</w:t>
      </w:r>
      <w:r w:rsidR="005044EC" w:rsidRPr="005044EC">
        <w:t>Oklahoma Geological Survey, 100 East Boyd Street, Room N-131, Norman, Oklahoma, 73019, USA</w:t>
      </w:r>
    </w:p>
    <w:p w14:paraId="2FF3D0C1" w14:textId="7050029E" w:rsidR="008C66D4" w:rsidRDefault="008C66D4" w:rsidP="004F4884">
      <w:pPr>
        <w:pStyle w:val="Heading2"/>
      </w:pPr>
      <w:bookmarkStart w:id="94" w:name="_Toc26534588"/>
      <w:r>
        <w:t>Preface</w:t>
      </w:r>
      <w:bookmarkEnd w:id="94"/>
    </w:p>
    <w:p w14:paraId="379C52A8" w14:textId="77777777" w:rsidR="008C66D4" w:rsidRDefault="008C66D4" w:rsidP="008C66D4">
      <w:r>
        <w:t xml:space="preserve">This chapter is presented as it was published in </w:t>
      </w:r>
      <w:r w:rsidR="00307A6B">
        <w:t xml:space="preserve">Interpretation </w:t>
      </w:r>
      <w:r w:rsidR="00511FBA">
        <w:t>(Pires de Lima et al., 2019</w:t>
      </w:r>
      <w:r>
        <w:t>)</w:t>
      </w:r>
      <w:r w:rsidR="00307A6B">
        <w:t>. A preliminary piece was published in AAPG’s Explorer (Pires de Lima et al.</w:t>
      </w:r>
      <w:r>
        <w:t>,</w:t>
      </w:r>
      <w:r w:rsidR="00307A6B">
        <w:t xml:space="preserve"> 201</w:t>
      </w:r>
      <w:r w:rsidR="00511FBA">
        <w:t>8</w:t>
      </w:r>
      <w:r w:rsidR="00307A6B">
        <w:t>).</w:t>
      </w:r>
      <w:r>
        <w:t xml:space="preserve"> This chapter shows the results of the application of transfer learning to </w:t>
      </w:r>
      <w:r w:rsidR="00511FBA">
        <w:t xml:space="preserve">classify lithofacies </w:t>
      </w:r>
      <w:r w:rsidR="00511FBA" w:rsidRPr="00511FBA">
        <w:t xml:space="preserve">from </w:t>
      </w:r>
      <w:r w:rsidR="00511FBA">
        <w:t xml:space="preserve">a core from </w:t>
      </w:r>
      <w:r w:rsidR="00511FBA" w:rsidRPr="00511FBA">
        <w:t>the Mississippian limestone and chert reservoirs in the Anadarko Shelf, Grant County, Oklahoma</w:t>
      </w:r>
      <w:r w:rsidR="00511FBA">
        <w:t xml:space="preserve">. </w:t>
      </w:r>
    </w:p>
    <w:p w14:paraId="031BC902" w14:textId="77777777" w:rsidR="008C66D4" w:rsidRDefault="008C66D4" w:rsidP="008C66D4">
      <w:r>
        <w:t>References:</w:t>
      </w:r>
    </w:p>
    <w:p w14:paraId="5BFAFA43" w14:textId="77777777" w:rsidR="00307A6B" w:rsidRDefault="00307A6B" w:rsidP="008C66D4">
      <w:pPr>
        <w:spacing w:line="240" w:lineRule="auto"/>
        <w:ind w:left="720" w:hanging="720"/>
      </w:pPr>
      <w:r w:rsidRPr="00307A6B">
        <w:t xml:space="preserve">Pires de Lima, R., Marfurt, K., Suriamin, F., Pranter, M., Soreghan, G., 2018. Convolutional Neural Networks – If </w:t>
      </w:r>
      <w:r w:rsidR="002853AD">
        <w:t>t</w:t>
      </w:r>
      <w:r w:rsidRPr="00307A6B">
        <w:t xml:space="preserve">hey can </w:t>
      </w:r>
      <w:r w:rsidR="002853AD">
        <w:t>i</w:t>
      </w:r>
      <w:r w:rsidRPr="00307A6B">
        <w:t xml:space="preserve">dentify an </w:t>
      </w:r>
      <w:r w:rsidR="002853AD">
        <w:t>o</w:t>
      </w:r>
      <w:r w:rsidRPr="00307A6B">
        <w:t xml:space="preserve">ncoming </w:t>
      </w:r>
      <w:r w:rsidR="002853AD">
        <w:t>c</w:t>
      </w:r>
      <w:r w:rsidRPr="00307A6B">
        <w:t xml:space="preserve">ar, can </w:t>
      </w:r>
      <w:r w:rsidR="002853AD">
        <w:t>t</w:t>
      </w:r>
      <w:r w:rsidRPr="00307A6B">
        <w:t xml:space="preserve">hey </w:t>
      </w:r>
      <w:r w:rsidR="002853AD">
        <w:t>i</w:t>
      </w:r>
      <w:r w:rsidRPr="00307A6B">
        <w:t xml:space="preserve">dentify </w:t>
      </w:r>
      <w:r w:rsidR="002853AD">
        <w:t>l</w:t>
      </w:r>
      <w:r w:rsidRPr="00307A6B">
        <w:t xml:space="preserve">ithofacies in </w:t>
      </w:r>
      <w:r w:rsidR="002853AD">
        <w:t>c</w:t>
      </w:r>
      <w:r w:rsidRPr="00307A6B">
        <w:t>ore? AAPG Explor</w:t>
      </w:r>
      <w:r>
        <w:t>er</w:t>
      </w:r>
      <w:r w:rsidRPr="00307A6B">
        <w:t>.</w:t>
      </w:r>
    </w:p>
    <w:p w14:paraId="465FC072" w14:textId="77777777" w:rsidR="008C66D4" w:rsidRDefault="008C66D4" w:rsidP="008C66D4">
      <w:pPr>
        <w:spacing w:line="240" w:lineRule="auto"/>
        <w:ind w:left="720" w:hanging="720"/>
      </w:pPr>
      <w:r>
        <w:t>Pires de Lima, R., Marfurt, K., Duarte, D., Bonar, A., 2019b. Progress and Challenges in Deep Learning Analysis of Geoscience Images, in: 81st EAGE Conference and Exhibition 2019. EAGE. https://doi.org/10.3997/2214-4609.201901607</w:t>
      </w:r>
    </w:p>
    <w:p w14:paraId="6266B9AB" w14:textId="77777777" w:rsidR="0023049E" w:rsidRDefault="0023049E" w:rsidP="0023049E">
      <w:pPr>
        <w:spacing w:line="240" w:lineRule="auto"/>
        <w:ind w:left="720" w:hanging="720"/>
      </w:pPr>
    </w:p>
    <w:p w14:paraId="19EDB050" w14:textId="77777777" w:rsidR="005044EC" w:rsidRDefault="005044EC">
      <w:pPr>
        <w:spacing w:line="240" w:lineRule="auto"/>
        <w:rPr>
          <w:rFonts w:ascii="Times New Roman" w:hAnsi="Times New Roman"/>
          <w:b/>
          <w:caps/>
        </w:rPr>
      </w:pPr>
      <w:r>
        <w:rPr>
          <w:rFonts w:ascii="Times New Roman" w:hAnsi="Times New Roman"/>
          <w:b/>
          <w:caps/>
        </w:rPr>
        <w:br w:type="page"/>
      </w:r>
    </w:p>
    <w:p w14:paraId="4E91A2B6" w14:textId="77777777" w:rsidR="005044EC" w:rsidRPr="008B60E0" w:rsidRDefault="005044EC" w:rsidP="004F4884">
      <w:pPr>
        <w:pStyle w:val="Heading2"/>
      </w:pPr>
      <w:bookmarkStart w:id="95" w:name="_Toc26534589"/>
      <w:r w:rsidRPr="008B60E0">
        <w:lastRenderedPageBreak/>
        <w:t>Abstract</w:t>
      </w:r>
      <w:bookmarkEnd w:id="95"/>
    </w:p>
    <w:p w14:paraId="441BFC0E" w14:textId="77777777" w:rsidR="005044EC" w:rsidRPr="008B60E0" w:rsidRDefault="005044EC" w:rsidP="005044EC">
      <w:pPr>
        <w:pStyle w:val="SEGBodyText"/>
        <w:rPr>
          <w:rFonts w:ascii="Times New Roman" w:hAnsi="Times New Roman"/>
        </w:rPr>
      </w:pPr>
      <w:r w:rsidRPr="008B60E0">
        <w:rPr>
          <w:rFonts w:ascii="Times New Roman" w:hAnsi="Times New Roman"/>
        </w:rPr>
        <w:t xml:space="preserve">Artificial intelligence methods have a very wide range of applications. From speech recognition to self-driving cars, the development of modern deep learning architectures is helping researchers achieve new levels of accuracy in different fields. Although deep convolutional neural networks (a kind of deep learning technique) have reached or surpassed human-level performance in image recognition tasks, little has been done to transport this new image classification technology to geoscientific problems. We present what we believe to be the first </w:t>
      </w:r>
      <w:r>
        <w:rPr>
          <w:rFonts w:ascii="Times New Roman" w:hAnsi="Times New Roman"/>
        </w:rPr>
        <w:t>paper</w:t>
      </w:r>
      <w:r w:rsidRPr="008B60E0">
        <w:rPr>
          <w:rFonts w:ascii="Times New Roman" w:hAnsi="Times New Roman"/>
        </w:rPr>
        <w:t xml:space="preserve"> using convolutional neural networks to identify lithofacies in cores. We </w:t>
      </w:r>
      <w:r>
        <w:rPr>
          <w:rFonts w:ascii="Times New Roman" w:hAnsi="Times New Roman"/>
        </w:rPr>
        <w:t>use</w:t>
      </w:r>
      <w:r w:rsidRPr="008B60E0">
        <w:rPr>
          <w:rFonts w:ascii="Times New Roman" w:hAnsi="Times New Roman"/>
        </w:rPr>
        <w:t xml:space="preserve"> highly accurate models (trained with millions of images) and transfer learning to classify images of cored carbonate rocks. We show that different modern convolutional neural network architectures can achieve high levels of lithological image classification accuracy (~90%) and can be used to aid in the core description task. This core image classification technique has the potential to greatly standardize and accelerate the description process. We also provide the community with a new set of labeled data that can be used for further geologic/data science studies. </w:t>
      </w:r>
    </w:p>
    <w:p w14:paraId="00A17A0F" w14:textId="77777777" w:rsidR="005044EC" w:rsidRPr="008B60E0" w:rsidRDefault="005044EC" w:rsidP="004F4884">
      <w:pPr>
        <w:pStyle w:val="Heading2"/>
      </w:pPr>
      <w:bookmarkStart w:id="96" w:name="_Toc26534590"/>
      <w:r w:rsidRPr="008B60E0">
        <w:t>Introduction</w:t>
      </w:r>
      <w:bookmarkEnd w:id="96"/>
    </w:p>
    <w:p w14:paraId="4DD4442D" w14:textId="77777777" w:rsidR="005044EC" w:rsidRPr="008B60E0" w:rsidRDefault="005044EC" w:rsidP="005044EC">
      <w:pPr>
        <w:pStyle w:val="SEGBodyText"/>
        <w:rPr>
          <w:rFonts w:ascii="Times New Roman" w:hAnsi="Times New Roman"/>
        </w:rPr>
      </w:pPr>
      <w:r w:rsidRPr="008B60E0">
        <w:rPr>
          <w:rFonts w:ascii="Times New Roman" w:hAnsi="Times New Roman"/>
        </w:rPr>
        <w:t xml:space="preserve">Advances in deep learning and artificial intelligence promise to not only drive our cars but also taste our beer </w:t>
      </w:r>
      <w:r w:rsidRPr="008B60E0">
        <w:rPr>
          <w:rFonts w:ascii="Times New Roman" w:hAnsi="Times New Roman"/>
        </w:rPr>
        <w:fldChar w:fldCharType="begin" w:fldLock="1"/>
      </w:r>
      <w:r>
        <w:rPr>
          <w:rFonts w:ascii="Times New Roman" w:hAnsi="Times New Roman"/>
        </w:rPr>
        <w:instrText>ADDIN CSL_CITATION {"citationItems":[{"id":"ITEM-1","itemData":{"DOI":"10.1016/0925-4005(94)87089-6","ISSN":"0925-4005","abstract":"This paper describes the results of a three year project, jointly funded by the UK government and industry, to develop a multisensor system capable of discriminating between the aromas of different beers. The system consists of an array of up to 24 conducting polymer sensors (thin films electrodeposited onto a microelectrode structure). The conducting polymers provide the active layer in these conductometric odour sensors and respond differentially to the headspaces of beers and lagers. The interface circuitry and signal conditioning have been designed and realized in custom PCBs housed in a Eurorack-based multisensor system. A comprehensive suite of software modules has been developed to automate the sampling system and process the sensor array data. The output from the polymer array is pre-processed using a variety of algorithms (e.g., fractional change in conductance, normalized relative response) and then classified using a statistical (chemometric fingerprinting technique) or neural predictive classifier (multi-layer perceptron using back-propagation learning). The odour-sensing system can distinguish subtle taints, e.g., 0.5 ppm of diacetyl in an ethanol solution with only nine different varieties of conducting polymers.","author":[{"dropping-particle":"","family":"Gardner","given":"Julian W.","non-dropping-particle":"","parse-names":false,"suffix":""},{"dropping-particle":"","family":"Pearce","given":"Timothy C.","non-dropping-particle":"","parse-names":false,"suffix":""},{"dropping-particle":"","family":"Friel","given":"Sharon","non-dropping-particle":"","parse-names":false,"suffix":""},{"dropping-particle":"","family":"Bartlett","given":"Philip N.","non-dropping-particle":"","parse-names":false,"suffix":""},{"dropping-particle":"","family":"Blair","given":"Neil","non-dropping-particle":"","parse-names":false,"suffix":""}],"container-title":"Sensors and Actuators B: Chemical","id":"ITEM-1","issue":"1-3","issued":{"date-parts":[["1994","3","1"]]},"page":"240-243","publisher":"Elsevier","title":"A multisensor system for beer flavour monitoring using an array of conducting polymers and predictive classifiers","type":"article-journal","volume":"18"},"uris":["http://www.mendeley.com/documents/?uuid=939de149-d08a-3a16-9a73-1a30fda6a4d0"]},{"id":"ITEM-2","itemData":{"DOI":"10.1109/MC.2017.4451204","author":[{"dropping-particle":"","family":"Daily","given":"Mike","non-dropping-particle":"","parse-names":false,"suffix":""},{"dropping-particle":"","family":"Medasani","given":"Swarup","non-dropping-particle":"","parse-names":false,"suffix":""},{"dropping-particle":"","family":"Behringer","given":"Reinhold","non-dropping-particle":"","parse-names":false,"suffix":""},{"dropping-particle":"","family":"Trivedi","given":"Mohan","non-dropping-particle":"","parse-names":false,"suffix":""}],"container-title":"Computer","id":"ITEM-2","issue":"12","issued":{"date-parts":[["2017","12"]]},"page":"18-23","title":"Self-Driving Cars","type":"article-journal","volume":"50"},"uris":["http://www.mendeley.com/documents/?uuid=76a03fdf-49b4-315d-8e38-930edd854c38"]}],"mendeley":{"formattedCitation":"(Daily et al., 2017; Gardner et al., 1994)","plainTextFormattedCitation":"(Daily et al., 2017; Gardner et al., 1994)","previouslyFormattedCitation":"(Daily et al., 2017; Gardner et al., 1994)"},"properties":{"noteIndex":0},"schema":"https://github.com/citation-style-language/schema/raw/master/csl-citation.json"}</w:instrText>
      </w:r>
      <w:r w:rsidRPr="008B60E0">
        <w:rPr>
          <w:rFonts w:ascii="Times New Roman" w:hAnsi="Times New Roman"/>
        </w:rPr>
        <w:fldChar w:fldCharType="separate"/>
      </w:r>
      <w:r w:rsidRPr="001B3350">
        <w:rPr>
          <w:rFonts w:ascii="Times New Roman" w:hAnsi="Times New Roman"/>
          <w:noProof/>
        </w:rPr>
        <w:t>(Daily et al., 2017; Gardner et al., 1994)</w:t>
      </w:r>
      <w:r w:rsidRPr="008B60E0">
        <w:rPr>
          <w:rFonts w:ascii="Times New Roman" w:hAnsi="Times New Roman"/>
        </w:rPr>
        <w:fldChar w:fldCharType="end"/>
      </w:r>
      <w:r w:rsidRPr="008B60E0">
        <w:rPr>
          <w:rFonts w:ascii="Times New Roman" w:hAnsi="Times New Roman"/>
        </w:rPr>
        <w:t xml:space="preserve">. Specifically, recent advances in the architecture of </w:t>
      </w:r>
      <w:r>
        <w:rPr>
          <w:rFonts w:ascii="Times New Roman" w:hAnsi="Times New Roman"/>
        </w:rPr>
        <w:t>deep learning</w:t>
      </w:r>
      <w:r w:rsidRPr="008B60E0">
        <w:rPr>
          <w:rFonts w:ascii="Times New Roman" w:hAnsi="Times New Roman"/>
        </w:rPr>
        <w:t xml:space="preserve"> convolutional neural networks (CNN) have brought the field of image classification and computer vision to a new level. Very deep convolutional neural networks emerged in 2014 and have achieved new levels of accuracy in several artificial intelligence classification problems </w:t>
      </w:r>
      <w:r w:rsidRPr="008B60E0">
        <w:rPr>
          <w:rFonts w:ascii="Times New Roman" w:hAnsi="Times New Roman"/>
        </w:rPr>
        <w:fldChar w:fldCharType="begin" w:fldLock="1"/>
      </w:r>
      <w:r w:rsidRPr="008B60E0">
        <w:rPr>
          <w:rFonts w:ascii="Times New Roman" w:hAnsi="Times New Roman"/>
        </w:rPr>
        <w:instrText>ADDIN CSL_CITATION {"citationItems":[{"id":"ITEM-1","itemData":{"author":[{"dropping-particle":"","family":"Szegedy","given":"Christian","non-dropping-particle":"","parse-names":false,"suffix":""},{"dropping-particle":"","family":"Liu","given":"Wei","non-dropping-particle":"","parse-names":false,"suffix":""},{"dropping-particle":"","family":"Jia","given":"Yangqing","non-dropping-particle":"","parse-names":false,"suffix":""},{"dropping-particle":"","family":"Sermanet","given":"Pierre","non-dropping-particle":"","parse-names":false,"suffix":""},{"dropping-particle":"","family":"Reed","given":"Scott E","non-dropping-particle":"","parse-names":false,"suffix":""},{"dropping-particle":"","family":"Anguelov","given":"Dragomir","non-dropping-particle":"","parse-names":false,"suffix":""},{"dropping-particle":"","family":"Erhan","given":"Dumitru","non-dropping-particle":"","parse-names":false,"suffix":""},{"dropping-particle":"","family":"Vanhoucke","given":"Vincent","non-dropping-particle":"","parse-names":false,"suffix":""},{"dropping-particle":"","family":"Rabinovich","given":"Andrew","non-dropping-particle":"","parse-names":false,"suffix":""}],"container-title":"CoRR","id":"ITEM-1","issued":{"date-parts":[["2014"]]},"title":"Going Deeper with Convolutions","type":"article-journal","volume":"abs/1409.4"},"uris":["http://www.mendeley.com/documents/?uuid=68cc5b41-206a-44ff-a9a4-fbca1d0a6e37"]}],"mendeley":{"formattedCitation":"(Szegedy et al., 2014)","plainTextFormattedCitation":"(Szegedy et al., 2014)","previouslyFormattedCitation":"(Szegedy et al., 2014)"},"properties":{"noteIndex":0},"schema":"https://github.com/citation-style-language/schema/raw/master/csl-citation.json"}</w:instrText>
      </w:r>
      <w:r w:rsidRPr="008B60E0">
        <w:rPr>
          <w:rFonts w:ascii="Times New Roman" w:hAnsi="Times New Roman"/>
        </w:rPr>
        <w:fldChar w:fldCharType="separate"/>
      </w:r>
      <w:r w:rsidRPr="008B60E0">
        <w:rPr>
          <w:rFonts w:ascii="Times New Roman" w:hAnsi="Times New Roman"/>
          <w:noProof/>
        </w:rPr>
        <w:t>(Szegedy et al., 2014)</w:t>
      </w:r>
      <w:r w:rsidRPr="008B60E0">
        <w:rPr>
          <w:rFonts w:ascii="Times New Roman" w:hAnsi="Times New Roman"/>
        </w:rPr>
        <w:fldChar w:fldCharType="end"/>
      </w:r>
      <w:r w:rsidRPr="008B60E0">
        <w:rPr>
          <w:rFonts w:ascii="Times New Roman" w:hAnsi="Times New Roman"/>
        </w:rPr>
        <w:t xml:space="preserve">. The current benchmark in object </w:t>
      </w:r>
      <w:r w:rsidRPr="008B60E0">
        <w:rPr>
          <w:rFonts w:ascii="Times New Roman" w:hAnsi="Times New Roman"/>
        </w:rPr>
        <w:lastRenderedPageBreak/>
        <w:t xml:space="preserve">category classification and detection, named ImageNet, consists of hundreds of mixed-object categories and millions of images </w:t>
      </w:r>
      <w:r w:rsidRPr="008B60E0">
        <w:rPr>
          <w:rFonts w:ascii="Times New Roman" w:hAnsi="Times New Roman"/>
        </w:rPr>
        <w:fldChar w:fldCharType="begin" w:fldLock="1"/>
      </w:r>
      <w:r w:rsidRPr="008B60E0">
        <w:rPr>
          <w:rFonts w:ascii="Times New Roman" w:hAnsi="Times New Roman"/>
        </w:rPr>
        <w:instrText>ADDIN CSL_CITATION {"citationItems":[{"id":"ITEM-1","itemData":{"DOI":"10.1007/s11263-015-0816-y","ISSN":"0920-5691","author":[{"dropping-particle":"","family":"Russakovsky","given":"Olga","non-dropping-particle":"","parse-names":false,"suffix":""},{"dropping-particle":"","family":"Deng","given":"Jia","non-dropping-particle":"","parse-names":false,"suffix":""},{"dropping-particle":"","family":"Su","given":"Hao","non-dropping-particle":"","parse-names":false,"suffix":""},{"dropping-particle":"","family":"Krause","given":"Jonathan","non-dropping-particle":"","parse-names":false,"suffix":""},{"dropping-particle":"","family":"Satheesh","given":"Sanjeev","non-dropping-particle":"","parse-names":false,"suffix":""},{"dropping-particle":"","family":"Ma","given":"Sean","non-dropping-particle":"","parse-names":false,"suffix":""},{"dropping-particle":"","family":"Huang","given":"Zhiheng","non-dropping-particle":"","parse-names":false,"suffix":""},{"dropping-particle":"","family":"Karpathy","given":"Andrej","non-dropping-particle":"","parse-names":false,"suffix":""},{"dropping-particle":"","family":"Khosla","given":"Aditya","non-dropping-particle":"","parse-names":false,"suffix":""},{"dropping-particle":"","family":"Bernstein","given":"Michael","non-dropping-particle":"","parse-names":false,"suffix":""},{"dropping-particle":"","family":"Berg","given":"Alexander C.","non-dropping-particle":"","parse-names":false,"suffix":""},{"dropping-particle":"","family":"Fei-Fei","given":"Li","non-dropping-particle":"","parse-names":false,"suffix":""}],"container-title":"International Journal of Computer Vision","id":"ITEM-1","issue":"3","issued":{"date-parts":[["2015","12","11"]]},"page":"211-252","publisher":"Springer US","title":"ImageNet Large Scale Visual Recognition Challenge","type":"article-journal","volume":"115"},"uris":["http://www.mendeley.com/documents/?uuid=2c3988eb-b27d-3475-963d-67d67b346a31"]},{"id":"ITEM-2","itemData":{"DOI":"10.1109/CVPR.2009.5206848","ISSN":"1063-6919","author":[{"dropping-particle":"","family":"Deng","given":"J","non-dropping-particle":"","parse-names":false,"suffix":""},{"dropping-particle":"","family":"Dong","given":"W","non-dropping-particle":"","parse-names":false,"suffix":""},{"dropping-particle":"","family":"Socher","given":"R","non-dropping-particle":"","parse-names":false,"suffix":""},{"dropping-particle":"","family":"Li","given":"L","non-dropping-particle":"","parse-names":false,"suffix":""},{"dropping-particle":"","family":"Li","given":"Kai","non-dropping-particle":"","parse-names":false,"suffix":""},{"dropping-particle":"","family":"Fei-Fei","given":"Li","non-dropping-particle":"","parse-names":false,"suffix":""}],"container-title":"2009 IEEE Conference on Computer Vision and Pattern Recognition","id":"ITEM-2","issued":{"date-parts":[["2009","6"]]},"page":"248-255","title":"ImageNet: A large-scale hierarchical image database","type":"paper-conference"},"uris":["http://www.mendeley.com/documents/?uuid=d016a89e-81e0-4ec9-bcfb-0fcfc01ce7ad"]}],"mendeley":{"formattedCitation":"(Deng et al., 2009; Russakovsky et al., 2015)","plainTextFormattedCitation":"(Deng et al., 2009; Russakovsky et al., 2015)","previouslyFormattedCitation":"(Deng et al., 2009; Russakovsky et al., 2015)"},"properties":{"noteIndex":0},"schema":"https://github.com/citation-style-language/schema/raw/master/csl-citation.json"}</w:instrText>
      </w:r>
      <w:r w:rsidRPr="008B60E0">
        <w:rPr>
          <w:rFonts w:ascii="Times New Roman" w:hAnsi="Times New Roman"/>
        </w:rPr>
        <w:fldChar w:fldCharType="separate"/>
      </w:r>
      <w:r w:rsidRPr="008B60E0">
        <w:rPr>
          <w:rFonts w:ascii="Times New Roman" w:hAnsi="Times New Roman"/>
          <w:noProof/>
        </w:rPr>
        <w:t>(Deng et al., 2009; Russakovsky et al., 2015)</w:t>
      </w:r>
      <w:r w:rsidRPr="008B60E0">
        <w:rPr>
          <w:rFonts w:ascii="Times New Roman" w:hAnsi="Times New Roman"/>
        </w:rPr>
        <w:fldChar w:fldCharType="end"/>
      </w:r>
      <w:r w:rsidRPr="008B60E0">
        <w:rPr>
          <w:rFonts w:ascii="Times New Roman" w:hAnsi="Times New Roman"/>
        </w:rPr>
        <w:t xml:space="preserve"> and it is commonly used to train CNNs. Current CNN models are able to differentiate the image of a leopard from that of a container ship, but moreover can differentiate images of leopards from their biological cousins -cheetahs and snow leopards </w:t>
      </w:r>
      <w:r w:rsidRPr="008B60E0">
        <w:rPr>
          <w:rFonts w:ascii="Times New Roman" w:hAnsi="Times New Roman"/>
        </w:rPr>
        <w:fldChar w:fldCharType="begin" w:fldLock="1"/>
      </w:r>
      <w:r w:rsidRPr="008B60E0">
        <w:rPr>
          <w:rFonts w:ascii="Times New Roman" w:hAnsi="Times New Roman"/>
        </w:rPr>
        <w:instrText>ADDIN CSL_CITATION {"citationItems":[{"id":"ITEM-1","itemData":{"author":[{"dropping-particle":"","family":"Krizhevsky","given":"Alex","non-dropping-particle":"","parse-names":false,"suffix":""},{"dropping-particle":"","family":"Sutskever","given":"Ilya","non-dropping-particle":"","parse-names":false,"suffix":""},{"dropping-particle":"","family":"Hinton","given":"Geoffrey E","non-dropping-particle":"","parse-names":false,"suffix":""}],"collection-title":"NIPS'12","container-title":"Proceedings of the 25th International Conference on Neural Information Processing Systems - Volume 1","id":"ITEM-1","issued":{"date-parts":[["2012"]]},"page":"1097-1105","publisher":"Curran Associates Inc.","publisher-place":"USA","title":"ImageNet Classification with Deep Convolutional Neural Networks","type":"paper-conference"},"uris":["http://www.mendeley.com/documents/?uuid=d1bdbb5f-bb6d-464f-b23e-e9ad964cafa2"]}],"mendeley":{"formattedCitation":"(Krizhevsky et al., 2012)","plainTextFormattedCitation":"(Krizhevsky et al., 2012)","previouslyFormattedCitation":"(Krizhevsky et al., 2012)"},"properties":{"noteIndex":0},"schema":"https://github.com/citation-style-language/schema/raw/master/csl-citation.json"}</w:instrText>
      </w:r>
      <w:r w:rsidRPr="008B60E0">
        <w:rPr>
          <w:rFonts w:ascii="Times New Roman" w:hAnsi="Times New Roman"/>
        </w:rPr>
        <w:fldChar w:fldCharType="separate"/>
      </w:r>
      <w:r w:rsidRPr="008B60E0">
        <w:rPr>
          <w:rFonts w:ascii="Times New Roman" w:hAnsi="Times New Roman"/>
          <w:noProof/>
        </w:rPr>
        <w:t>(Krizhevsky et al., 2012)</w:t>
      </w:r>
      <w:r w:rsidRPr="008B60E0">
        <w:rPr>
          <w:rFonts w:ascii="Times New Roman" w:hAnsi="Times New Roman"/>
        </w:rPr>
        <w:fldChar w:fldCharType="end"/>
      </w:r>
      <w:r w:rsidRPr="008B60E0">
        <w:rPr>
          <w:rFonts w:ascii="Times New Roman" w:hAnsi="Times New Roman"/>
        </w:rPr>
        <w:t xml:space="preserve">. </w:t>
      </w:r>
    </w:p>
    <w:p w14:paraId="63484B10" w14:textId="77777777" w:rsidR="005044EC" w:rsidRPr="008B60E0" w:rsidRDefault="005044EC" w:rsidP="005044EC">
      <w:pPr>
        <w:pStyle w:val="SEGBodyText"/>
        <w:rPr>
          <w:rFonts w:ascii="Times New Roman" w:hAnsi="Times New Roman"/>
        </w:rPr>
      </w:pPr>
      <w:r w:rsidRPr="008B60E0">
        <w:rPr>
          <w:rFonts w:ascii="Times New Roman" w:hAnsi="Times New Roman"/>
        </w:rPr>
        <w:t xml:space="preserve">Although machine learning has been significantly used in geoscience fields, the application of this technique in core-based lithofacies identification, a key component to better understand oil and gas reservoirs, is still limited. </w:t>
      </w:r>
      <w:r>
        <w:rPr>
          <w:rFonts w:ascii="Times New Roman" w:hAnsi="Times New Roman"/>
        </w:rPr>
        <w:t>Machine learning</w:t>
      </w:r>
      <w:r w:rsidRPr="008B60E0">
        <w:rPr>
          <w:rFonts w:ascii="Times New Roman" w:hAnsi="Times New Roman"/>
        </w:rPr>
        <w:t xml:space="preserve"> techniques have been intensely used to aid seismic-facies classification </w:t>
      </w:r>
      <w:r w:rsidRPr="008B60E0">
        <w:rPr>
          <w:rFonts w:ascii="Times New Roman" w:hAnsi="Times New Roman"/>
        </w:rPr>
        <w:fldChar w:fldCharType="begin" w:fldLock="1"/>
      </w:r>
      <w:r>
        <w:rPr>
          <w:rFonts w:ascii="Times New Roman" w:hAnsi="Times New Roman"/>
        </w:rPr>
        <w:instrText>ADDIN CSL_CITATION {"citationItems":[{"id":"ITEM-1","itemData":{"DOI":"10.1190/INT-2015-0094.1","ISSN":"2324-8858","author":[{"dropping-particle":"","family":"Zhao","given":"Tao","non-dropping-particle":"","parse-names":false,"suffix":""},{"dropping-particle":"","family":"Zhang","given":"Jing","non-dropping-particle":"","parse-names":false,"suffix":""},{"dropping-particle":"","family":"Li","given":"Fangyu","non-dropping-particle":"","parse-names":false,"suffix":""},{"dropping-particle":"","family":"Marfurt","given":"Kurt J.","non-dropping-particle":"","parse-names":false,"suffix":""}],"container-title":"Interpretation","id":"ITEM-1","issue":"1","issued":{"date-parts":[["2016","2","1"]]},"page":"SB79-SB89","publisher":"GeoScienceWorld","title":"Characterizing a turbidite system in Canterbury Basin, New Zealand, using seismic attributes and distance-preserving self-organizing maps","type":"article-journal","volume":"4"},"uris":["http://www.mendeley.com/documents/?uuid=8b674bcc-b70a-3e4a-a825-edf936e97642"]},{"id":"ITEM-2","itemData":{"DOI":"10.1190/INT-2016-0132.1","ISSN":"2324-8858","author":[{"dropping-particle":"","family":"Zhao","given":"Tao","non-dropping-particle":"","parse-names":false,"suffix":""},{"dropping-particle":"","family":"Li","given":"Fangyu","non-dropping-particle":"","parse-names":false,"suffix":""},{"dropping-particle":"","family":"Marfurt","given":"Kurt J.","non-dropping-particle":"","parse-names":false,"suffix":""}],"container-title":"Interpretation","id":"ITEM-2","issue":"2","issued":{"date-parts":[["2017","5","31"]]},"page":"T163-T171","publisher":"GeoScienceWorld","title":"Constraining self-organizing map facies analysis with stratigraphy: An approach to increase the credibility in automatic seismic facies classification","type":"article-journal","volume":"5"},"uris":["http://www.mendeley.com/documents/?uuid=8ec90cb2-9bb7-3cb8-a26e-e06a72feff6b"]},{"id":"ITEM-3","itemData":{"DOI":"10.1190/geo2010-0150.1","ISSN":"0016-8033","author":[{"dropping-particle":"","family":"Matos","given":"Marcilio Castro","non-dropping-particle":"de","parse-names":false,"suffix":""},{"dropping-particle":"","family":"Yenugu","given":"Malleswar (Moe)","non-dropping-particle":"","parse-names":false,"suffix":""},{"dropping-particle":"","family":"Angelo","given":"Sipuikinene Miguel","non-dropping-particle":"","parse-names":false,"suffix":""},{"dropping-particle":"","family":"Marfurt","given":"Kurt J.","non-dropping-particle":"","parse-names":false,"suffix":""}],"container-title":"Geophysics","id":"ITEM-3","issue":"5","issued":{"date-parts":[["2011","9","1"]]},"page":"P11-P21","publisher":"GeoScienceWorld","title":"Integrated seismic texture segmentation and cluster analysis applied to channel delineation and chert reservoir characterization","type":"article-journal","volume":"76"},"uris":["http://www.mendeley.com/documents/?uuid=dd698223-e74f-389d-b821-789565f34565"]},{"id":"ITEM-4","itemData":{"DOI":"10.1190/1.2392789","ISSN":"0016-8033","abstract":"Unsupervised seismic facies analysis provides an effective way to estimate reservoir properties by combining different seismic attributes through pattern recognition algorithms. However, without consistent geological information, parameters such as the number of facies and even the input seismic attributes are usually chosen in an empirical way. In this context, we propose two new semiautomatic alternative methods. In the first one, we use the clustering of the Kohonen self-organizing maps (SOMs) as a new way to build seismic facies maps and to estimate the number of seismic facies. In the second method, we use wavelet transforms to identify seismic trace singularities in each geologically oriented segment, and then we build the seismic facies map using the clustering of the SOM. We tested both methods using synthetic and real seismic data from the Namorado deepwater giant oilfield in Campos Basin, offshore Brazil. The results confirm that we can estimate the appropriate number of seismic facies through t...","author":[{"dropping-particle":"","family":"Matos","given":"Marcílio Castro","non-dropping-particle":"de","parse-names":false,"suffix":""},{"dropping-particle":"","family":"Osorio","given":"Paulo Léo","non-dropping-particle":"","parse-names":false,"suffix":""},{"dropping-particle":"","family":"Johann","given":"Paulo Roberto","non-dropping-particle":"","parse-names":false,"suffix":""}],"container-title":"Geophysics","id":"ITEM-4","issue":"1","issued":{"date-parts":[["2007","1","13"]]},"page":"P9-P21","publisher":"Society of Exploration Geophysicists","title":"Unsupervised seismic facies analysis using wavelet transform and self-organizing maps","type":"article-journal","volume":"72"},"uris":["http://www.mendeley.com/documents/?uuid=ffcaf9cc-2dd5-35b2-b2f5-47d825e9595a"]},{"id":"ITEM-5","itemData":{"DOI":"10.1190/geo2017-0524.1","ISSN":"0016-8033","abstract":"ABSTRACTOne of the most important goals of seismic stratigraphy studies is to interpret the elements of the seismic facies with respect to the geologic environment. Prestack seismic data carry rich information that can help us get higher resolution and more accurate facies maps. Therefore, it is promising to use prestack seismic data for the seismic facies recognition task. However, because each identified object changes from the poststack trace vectors to a prestack trace matrix, effective feature extraction becomes more challenging. We have developed a novel data-driven offset-temporal feature extraction approach using the deep convolutional autoencoder (DCAE). As an unsupervised deep learning method, DCAE learns nonlinear, discriminant, and invariant features from unlabeled data. Then, seismic facies analysis can be accomplished through the use of conventional classification or clustering techniques (e.g., K-means or self-organizing maps). Using a physical model and field prestack seismic surveys, we c...","author":[{"dropping-particle":"","family":"Qian","given":"Feng","non-dropping-particle":"","parse-names":false,"suffix":""},{"dropping-particle":"","family":"Yin","given":"Miao","non-dropping-particle":"","parse-names":false,"suffix":""},{"dropping-particle":"","family":"Liu","given":"Xiao-Yang","non-dropping-particle":"","parse-names":false,"suffix":""},{"dropping-particle":"","family":"Wang","given":"Yao-Jun","non-dropping-particle":"","parse-names":false,"suffix":""},{"dropping-particle":"","family":"Lu","given":"Cai","non-dropping-particle":"","parse-names":false,"suffix":""},{"dropping-particle":"","family":"Hu","given":"Guang-Min","non-dropping-particle":"","parse-names":false,"suffix":""}],"container-title":"Geophysics","id":"ITEM-5","issue":"3","issued":{"date-parts":[["2018","5","9"]]},"page":"A39-A43","publisher":"Society of Exploration Geophysicists","title":"Unsupervised seismic facies analysis via deep convolutional autoencoders","type":"article-journal","volume":"83"},"uris":["http://www.mendeley.com/documents/?uuid=9f5971f5-4233-3cf3-af8b-b4dd2fb49812"]},{"id":"ITEM-6","itemData":{"DOI":"10.1190/INT-2015-0098.1","ISSN":"2324-8858","abstract":"AbstractOne of the key components of traditional seismic interpretation is to associate or “label” a specific seismic amplitude package of reflectors with an appropriate seismic or geologic facies. The object of seismic clustering algorithms is to use a computer to accelerate this process, allowing one to generate interpreted facies for large 3D volumes. Determining which attributes best quantify a specific amplitude or morphology component seen by the human interpreter is critical to successful clustering. Unfortunately, many patterns, such as coherence images of salt domes, result in a salt-and-pepper classification. Application of 3D Kuwahara median filters smooths the interior attribute response and sharpens the contrast between neighboring facies, thereby preconditioning the attribute volumes for subsequent clustering. In our workflow, the interpreter manually painted n target facies using traditional interpretation techniques, resulting in attribute training data for each facies. Candidate attribute...","author":[{"dropping-particle":"","family":"Qi","given":"Jie","non-dropping-particle":"","parse-names":false,"suffix":""},{"dropping-particle":"","family":"Lin","given":"Tengfei","non-dropping-particle":"","parse-names":false,"suffix":""},{"dropping-particle":"","family":"Zhao","given":"Tao","non-dropping-particle":"","parse-names":false,"suffix":""},{"dropping-particle":"","family":"Li","given":"Fangyu","non-dropping-particle":"","parse-names":false,"suffix":""},{"dropping-particle":"","family":"Marfurt","given":"Kurt","non-dropping-particle":"","parse-names":false,"suffix":""}],"container-title":"Interpretation","id":"ITEM-6","issue":"1","issued":{"date-parts":[["2016","2","15"]]},"page":"SB91-SB106","publisher":"Society of Exploration Geophysicists and American Association of Petroleum Geologists","title":"Semisupervised multiattribute seismic facies analysis","type":"article-journal","volume":"4"},"uris":["http://www.mendeley.com/documents/?uuid=4f8d605d-1391-3fa5-a71c-54ef5148b211"]},{"id":"ITEM-7","itemData":{"DOI":"10.1190/INT-2013-0077.1","ISSN":"2324-8858","abstract":"AbstractSeismic facies estimation is a critical component in understanding the stratigraphy and lithology of hydrocarbon reservoirs. With the adoption of 3D technology and increasing survey size, manual techniques of facies classification have become increasingly time consuming. Besides, the numbers of seismic attributes have increased dramatically, providing increasingly accurate measurements of reflector morphology. However, these seismic attributes add multiple “dimensions” to the data greatly expanding the amount of data to be analyzed. Principal component analysis and self-organizing maps (SOMs) are popular techniques to reduce such dimensionality by projecting the data onto a lower order space in which clusters can be more readily identified and interpreted. After dimensional reduction, popular classification algorithms such as neural net, K-means, and Kohonen SOMs are routinely done for general well log prediction or analysis and seismic facies modeling. Although these clustering methods have been ...","author":[{"dropping-particle":"","family":"Roy","given":"Atish","non-dropping-particle":"","parse-names":false,"suffix":""},{"dropping-particle":"","family":"Romero-Peláez","given":"Araceli S.","non-dropping-particle":"","parse-names":false,"suffix":""},{"dropping-particle":"","family":"Kwiatkowski","given":"Tim J.","non-dropping-particle":"","parse-names":false,"suffix":""},{"dropping-particle":"","family":"Marfurt","given":"Kurt J.","non-dropping-particle":"","parse-names":false,"suffix":""}],"container-title":"Interpretation","id":"ITEM-7","issue":"1","issued":{"date-parts":[["2014","2"]]},"page":"SA31-SA47","publisher":"Society of Exploration Geophysicists and American Association of Petroleum Geologists","title":"Generative topographic mapping for seismic facies estimation of a carbonate wash, Veracruz Basin, southern Mexico","type":"article-journal","volume":"2"},"uris":["http://www.mendeley.com/documents/?uuid=f90aa8b5-fa6e-3d37-a78e-05e9706472bc"]}],"mendeley":{"formattedCitation":"(de Matos et al., 2011, 2007; Qi et al., 2016; Qian et al., 2018; Roy et al., 2014; Zhao et al., 2017, 2016)","plainTextFormattedCitation":"(de Matos et al., 2011, 2007; Qi et al., 2016; Qian et al., 2018; Roy et al., 2014; Zhao et al., 2017, 2016)","previouslyFormattedCitation":"(de Matos et al., 2011, 2007; Qi et al., 2016; Qian et al., 2018; Roy et al., 2014; Zhao et al., 2017, 2016)"},"properties":{"noteIndex":0},"schema":"https://github.com/citation-style-language/schema/raw/master/csl-citation.json"}</w:instrText>
      </w:r>
      <w:r w:rsidRPr="008B60E0">
        <w:rPr>
          <w:rFonts w:ascii="Times New Roman" w:hAnsi="Times New Roman"/>
        </w:rPr>
        <w:fldChar w:fldCharType="separate"/>
      </w:r>
      <w:r w:rsidRPr="001B3350">
        <w:rPr>
          <w:rFonts w:ascii="Times New Roman" w:hAnsi="Times New Roman"/>
          <w:noProof/>
        </w:rPr>
        <w:t>(de Matos et al., 2011, 2007; Qi et al., 2016; Qian et al., 2018; Roy et al., 2014; Zhao et al., 2017, 2016)</w:t>
      </w:r>
      <w:r w:rsidRPr="008B60E0">
        <w:rPr>
          <w:rFonts w:ascii="Times New Roman" w:hAnsi="Times New Roman"/>
        </w:rPr>
        <w:fldChar w:fldCharType="end"/>
      </w:r>
      <w:r w:rsidRPr="008B60E0">
        <w:rPr>
          <w:rFonts w:ascii="Times New Roman" w:hAnsi="Times New Roman"/>
        </w:rPr>
        <w:t xml:space="preserve">, electrofacies classification </w:t>
      </w:r>
      <w:r w:rsidRPr="008B60E0">
        <w:rPr>
          <w:rFonts w:ascii="Times New Roman" w:hAnsi="Times New Roman"/>
        </w:rPr>
        <w:fldChar w:fldCharType="begin" w:fldLock="1"/>
      </w:r>
      <w:r w:rsidRPr="008B60E0">
        <w:rPr>
          <w:rFonts w:ascii="Times New Roman" w:hAnsi="Times New Roman"/>
        </w:rPr>
        <w:instrText>ADDIN CSL_CITATION {"citationItems":[{"id":"ITEM-1","itemData":{"DOI":"10.1306/05131614229","ISSN":"0149-1423","author":[{"dropping-particle":"","family":"Allen","given":"Daniel B","non-dropping-particle":"","parse-names":false,"suffix":""},{"dropping-particle":"","family":"Pranter","given":"Matthew J","non-dropping-particle":"","parse-names":false,"suffix":""}],"container-title":"AAPG Bulletin","id":"ITEM-1","issue":"12","issued":{"date-parts":[["2016"]]},"page":"1775-1801","title":"Geologically constrained electrofacies classification of fluvial deposits: An example from the Cretaceous Mesaverde Group, Uinta and Piceance Basins","type":"article-journal","volume":"100"},"uris":["http://www.mendeley.com/documents/?uuid=85a5e616-168b-42bd-9170-2ec072b223ca"]}],"mendeley":{"formattedCitation":"(Allen and Pranter, 2016)","plainTextFormattedCitation":"(Allen and Pranter, 2016)","previouslyFormattedCitation":"(Allen and Pranter, 2016)"},"properties":{"noteIndex":0},"schema":"https://github.com/citation-style-language/schema/raw/master/csl-citation.json"}</w:instrText>
      </w:r>
      <w:r w:rsidRPr="008B60E0">
        <w:rPr>
          <w:rFonts w:ascii="Times New Roman" w:hAnsi="Times New Roman"/>
        </w:rPr>
        <w:fldChar w:fldCharType="separate"/>
      </w:r>
      <w:r w:rsidRPr="008B60E0">
        <w:rPr>
          <w:rFonts w:ascii="Times New Roman" w:hAnsi="Times New Roman"/>
          <w:noProof/>
        </w:rPr>
        <w:t>(Allen and Pranter, 2016)</w:t>
      </w:r>
      <w:r w:rsidRPr="008B60E0">
        <w:rPr>
          <w:rFonts w:ascii="Times New Roman" w:hAnsi="Times New Roman"/>
        </w:rPr>
        <w:fldChar w:fldCharType="end"/>
      </w:r>
      <w:r w:rsidRPr="008B60E0">
        <w:rPr>
          <w:rFonts w:ascii="Times New Roman" w:hAnsi="Times New Roman"/>
        </w:rPr>
        <w:t xml:space="preserve">; lithofacies classification from well logs </w:t>
      </w:r>
      <w:r w:rsidRPr="008B60E0">
        <w:rPr>
          <w:rFonts w:ascii="Times New Roman" w:hAnsi="Times New Roman"/>
        </w:rPr>
        <w:fldChar w:fldCharType="begin" w:fldLock="1"/>
      </w:r>
      <w:r>
        <w:rPr>
          <w:rFonts w:ascii="Times New Roman" w:hAnsi="Times New Roman"/>
        </w:rPr>
        <w:instrText>ADDIN CSL_CITATION {"citationItems":[{"id":"ITEM-1","itemData":{"DOI":"10.1071/EG999045","ISSN":"0812-3985","author":[{"dropping-particle":"","family":"Zhang","given":"Y.","non-dropping-particle":"","parse-names":false,"suffix":""},{"dropping-particle":"","family":"Salisch","given":"H.A.","non-dropping-particle":"","parse-names":false,"suffix":""},{"dropping-particle":"","family":"McPherson","given":"J.G.","non-dropping-particle":"","parse-names":false,"suffix":""}],"container-title":"Exploration Geophysics","id":"ITEM-1","issue":"2","issued":{"date-parts":[["1999"]]},"page":"45","title":"Application of neural networks to identify lithofacies from well logs","type":"article-journal","volume":"30"},"uris":["http://www.mendeley.com/documents/?uuid=c1095d74-bcda-3d13-8b3c-17bec8ca9106"]},{"id":"ITEM-2","itemData":{"DOI":"10.1190/segam2017-17729805.1","author":[{"dropping-particle":"","family":"Bestagini","given":"Paolo","non-dropping-particle":"","parse-names":false,"suffix":""},{"dropping-particle":"","family":"Lipari","given":"Vincenzo","non-dropping-particle":"","parse-names":false,"suffix":""},{"dropping-particle":"","family":"Tubaro","given":"Stefano","non-dropping-particle":"","parse-names":false,"suffix":""}],"container-title":"SEG Technical Program Expanded Abstracts 2017","id":"ITEM-2","issued":{"date-parts":[["2017","8","17"]]},"page":"2137-2142","publisher":"Society of Exploration Geophysicists","title":"A machine learning approach to facies classification using well logs","type":"paper-conference"},"uris":["http://www.mendeley.com/documents/?uuid=366414b9-6a2f-3bfa-a563-95acd35f5727"]},{"id":"ITEM-3","itemData":{"ISSN":"0024-581X","author":[{"dropping-particle":"","family":"Baldwin","given":"Jeffrey L.","non-dropping-particle":"","parse-names":false,"suffix":""},{"dropping-particle":"","family":"Bateman","given":"Richard M.","non-dropping-particle":"","parse-names":false,"suffix":""},{"dropping-particle":"","family":"Wheatley","given":"Chales L.","non-dropping-particle":"","parse-names":false,"suffix":""}],"container-title":"The Log Analyst","id":"ITEM-3","issue":"05","issued":{"date-parts":[["1990","9","1"]]},"publisher":"Society of Professional Well Log Analysts","title":"Application of a neural network to the problem of mineral identification from well logs","type":"book","volume":"31"},"uris":["http://www.mendeley.com/documents/?uuid=36e6f562-56fe-3dca-b48b-81ccb4d0d9e6"]}],"mendeley":{"formattedCitation":"(Baldwin et al., 1990; Bestagini et al., 2017; Zhang et al., 1999)","plainTextFormattedCitation":"(Baldwin et al., 1990; Bestagini et al., 2017; Zhang et al., 1999)","previouslyFormattedCitation":"(Baldwin et al., 1990; Bestagini et al., 2017; Zhang et al., 1999)"},"properties":{"noteIndex":0},"schema":"https://github.com/citation-style-language/schema/raw/master/csl-citation.json"}</w:instrText>
      </w:r>
      <w:r w:rsidRPr="008B60E0">
        <w:rPr>
          <w:rFonts w:ascii="Times New Roman" w:hAnsi="Times New Roman"/>
        </w:rPr>
        <w:fldChar w:fldCharType="separate"/>
      </w:r>
      <w:r w:rsidRPr="001B3350">
        <w:rPr>
          <w:rFonts w:ascii="Times New Roman" w:hAnsi="Times New Roman"/>
          <w:noProof/>
        </w:rPr>
        <w:t>(Baldwin et al., 1990; Bestagini et al., 2017; Zhang et al., 1999)</w:t>
      </w:r>
      <w:r w:rsidRPr="008B60E0">
        <w:rPr>
          <w:rFonts w:ascii="Times New Roman" w:hAnsi="Times New Roman"/>
        </w:rPr>
        <w:fldChar w:fldCharType="end"/>
      </w:r>
      <w:r>
        <w:rPr>
          <w:rFonts w:ascii="Times New Roman" w:hAnsi="Times New Roman"/>
        </w:rPr>
        <w:t xml:space="preserve">, to predict permeability in tight sands </w:t>
      </w:r>
      <w:r>
        <w:rPr>
          <w:rFonts w:ascii="Times New Roman" w:hAnsi="Times New Roman"/>
        </w:rPr>
        <w:fldChar w:fldCharType="begin" w:fldLock="1"/>
      </w:r>
      <w:r>
        <w:rPr>
          <w:rFonts w:ascii="Times New Roman" w:hAnsi="Times New Roman"/>
        </w:rPr>
        <w:instrText>ADDIN CSL_CITATION {"citationItems":[{"id":"ITEM-1","itemData":{"DOI":"10.1016/J.JAPPGEO.2018.09.011","ISSN":"0926-9851","abstract":"Permeability prediction has long been one of the most important and difficult tasks of reservoir characterization, especially for tight sands with strong heterogeneity. A unified model is important for the un-cored wells and can reduce a lot of work in practice. In this case, we are going to establish a field-scale unified permeability model for the tight gas sands of the Middle Jurassic Shaximiao Formation in the Western Sichuan Basin, China. The tight gas sands are isolated channel sands with strong heterogeneity. In addition to the porosity, well logs are also selected as the input feature to help to derive the non-linear relations. We choose simple linear regression (SLR) using porosity, multiple linear regression (MLR), multiple-layer perceptron (MLR) and support vector regression (SVR) using multiple input features as our machine learning methods for this task. For the non-linear methods, MLP and SVR, we present how to decide their key parameters based on the theoretical analysis and experiments to keep their generalization capability. Finally, the results show that the non-linear MLP and SVR outperform the linear SLR and MLR for the unified permeability model. The blind well average performance of MLP and SVR improves about 50% on R2 and decrease about 30% on MARE than MLR.","author":[{"dropping-particle":"","family":"Zhang","given":"Guoyin","non-dropping-particle":"","parse-names":false,"suffix":""},{"dropping-particle":"","family":"Wang","given":"Zhizhang","non-dropping-particle":"","parse-names":false,"suffix":""},{"dropping-particle":"","family":"Li","given":"Huaji","non-dropping-particle":"","parse-names":false,"suffix":""},{"dropping-particle":"","family":"Sun","given":"Yanan","non-dropping-particle":"","parse-names":false,"suffix":""},{"dropping-particle":"","family":"Zhang","given":"Qingchen","non-dropping-particle":"","parse-names":false,"suffix":""},{"dropping-particle":"","family":"Chen","given":"Wei","non-dropping-particle":"","parse-names":false,"suffix":""}],"container-title":"Journal of Applied Geophysics","id":"ITEM-1","issued":{"date-parts":[["2018","12","1"]]},"page":"605-615","publisher":"Elsevier","title":"Permeability prediction of isolated channel sands using machine learning","type":"article-journal","volume":"159"},"uris":["http://www.mendeley.com/documents/?uuid=66c1fab8-f110-3ff8-8ef9-74799c716946"]}],"mendeley":{"formattedCitation":"(Zhang et al., 2018)","plainTextFormattedCitation":"(Zhang et al., 2018)","previouslyFormattedCitation":"(Zhang et al., 2018)"},"properties":{"noteIndex":0},"schema":"https://github.com/citation-style-language/schema/raw/master/csl-citation.json"}</w:instrText>
      </w:r>
      <w:r>
        <w:rPr>
          <w:rFonts w:ascii="Times New Roman" w:hAnsi="Times New Roman"/>
        </w:rPr>
        <w:fldChar w:fldCharType="separate"/>
      </w:r>
      <w:r w:rsidRPr="00EE3379">
        <w:rPr>
          <w:rFonts w:ascii="Times New Roman" w:hAnsi="Times New Roman"/>
          <w:noProof/>
        </w:rPr>
        <w:t>(Zhang et al., 2018)</w:t>
      </w:r>
      <w:r>
        <w:rPr>
          <w:rFonts w:ascii="Times New Roman" w:hAnsi="Times New Roman"/>
        </w:rPr>
        <w:fldChar w:fldCharType="end"/>
      </w:r>
      <w:r w:rsidRPr="008B60E0">
        <w:rPr>
          <w:rFonts w:ascii="Times New Roman" w:hAnsi="Times New Roman"/>
        </w:rPr>
        <w:t xml:space="preserve">, and even for seismicity studies </w:t>
      </w:r>
      <w:r w:rsidRPr="008B60E0">
        <w:rPr>
          <w:rFonts w:ascii="Times New Roman" w:hAnsi="Times New Roman"/>
        </w:rPr>
        <w:fldChar w:fldCharType="begin" w:fldLock="1"/>
      </w:r>
      <w:r w:rsidRPr="008B60E0">
        <w:rPr>
          <w:rFonts w:ascii="Times New Roman" w:hAnsi="Times New Roman"/>
        </w:rPr>
        <w:instrText>ADDIN CSL_CITATION {"citationItems":[{"id":"ITEM-1","itemData":{"DOI":"10.15530/urtec-2018-2897507-MS","author":[{"dropping-particle":"","family":"Sinha","given":"Saurabh","non-dropping-particle":"","parse-names":false,"suffix":""},{"dropping-particle":"","family":"Wen","given":"Yunjie","non-dropping-particle":"","parse-names":false,"suffix":""},{"dropping-particle":"","family":"Pires de Lima","given":"Rafael A.","non-dropping-particle":"","parse-names":false,"suffix":""},{"dropping-particle":"","family":"Marfurt","given":"Kurt","non-dropping-particle":"","parse-names":false,"suffix":""}],"id":"ITEM-1","issued":{"date-parts":[["2018","7","23"]]},"publisher":"Unconventional Resources Technology Conference","title":"Statistical controls on induced seismicity","type":"paper-conference"},"uris":["http://www.mendeley.com/documents/?uuid=dffc0ea0-b023-30ff-9d55-d5f0d726d2b3"]},{"id":"ITEM-2","itemData":{"DOI":"10.1016/J.CAGEO.2015.11.006","ISSN":"0098-3004","abstract":"This paper presents a fully automatic method for seismic event classification within a sparse regional seismograph network. The method is based on a supervised pattern recognition technique called the Support Vector Machine (SVM). The classification relies on differences in signal energy distribution between natural and artificial seismic sources. We filtered seismic records via 20 narrow band-pass filters and divided them into four phase windows: P, P coda, S, and S coda. We then computed a short-term average (STA) value for each filter channel and phase window. The 80 discrimination parameters served as a training model for the SVM. We calculated station specific SVM models for 19 on-line seismic stations in Finland. The training data set included 918 positive (earthquake) and 3469 negative (non-earthquake) examples. An independent test period determined method and rules for integrating station-specific classification results into network results. Finally, we applied the network classification rules to independent evaluation data comprising 5435 fully automatic event determinations, 5404 of which had been manually identified as explosions or noise, and 31 as earthquakes. The SVM method correctly identified 94% of the non-earthquakes and all but one of the earthquakes. The result implies that the SVM tool can identify and filter out blasts and spurious events from fully automatic event solutions with a high level of accuracy. The tool helps to reduce the work-load and costs of manual seismic analysis by leaving only a small fraction of automatic event determinations, the probable earthquakes, for more detailed seismological analysis. The self-learning approach presented here is flexible and easily adjustable to the requirements of a denser or wider high-frequency network.","author":[{"dropping-particle":"","family":"Kortström","given":"Jari","non-dropping-particle":"","parse-names":false,"suffix":""},{"dropping-particle":"","family":"Uski","given":"Marja","non-dropping-particle":"","parse-names":false,"suffix":""},{"dropping-particle":"","family":"Tiira","given":"Timo","non-dropping-particle":"","parse-names":false,"suffix":""}],"container-title":"Computers &amp; Geosciences","id":"ITEM-2","issued":{"date-parts":[["2016","2","1"]]},"page":"22-30","publisher":"Pergamon","title":"Automatic classification of seismic events within a regional seismograph network","type":"article-journal","volume":"87"},"uris":["http://www.mendeley.com/documents/?uuid=46f547e6-9681-3bef-848f-6f9987f2a7df"]},{"id":"ITEM-3","itemData":{"DOI":"10.1126/sciadv.1700578","ISSN":"2375-2548","abstract":"The recent evolution of induced seismicity in Central United States calls for exhaustive catalogs to improve seismic hazard assessment. Over the last decades, the volume of seismic data has increased exponentially, creating a need for efficient algorithms to reliably detect and locate earthquakes. Today’s most elaborate methods scan through the plethora of continuous seismic records, searching for repeating seismic signals. We leverage the recent advances in artificial intelligence and present ConvNetQuake, a highly scalable convolutional neural network for earthquake detection and location from a single waveform. We apply our technique to study the induced seismicity in Oklahoma, USA. We detect more than 17 times more earthquakes than previously cataloged by the Oklahoma Geological Survey. Our algorithm is orders of magnitude faster than established methods.","author":[{"dropping-particle":"","family":"Perol","given":"Thibaut","non-dropping-particle":"","parse-names":false,"suffix":""},{"dropping-particle":"","family":"Gharbi","given":"Michaël","non-dropping-particle":"","parse-names":false,"suffix":""},{"dropping-particle":"","family":"Denolle","given":"Marine","non-dropping-particle":"","parse-names":false,"suffix":""}],"container-title":"Science Advances","id":"ITEM-3","issue":"2","issued":{"date-parts":[["2018","2","14"]]},"page":"e1700578","publisher":"American Association for the Advancement of Science","title":"Convolutional neural network for earthquake detection and location","type":"article-journal","volume":"4"},"uris":["http://www.mendeley.com/documents/?uuid=ef294b5d-c8b9-336d-80f2-9ec24d3bc768"]},{"id":"ITEM-4","itemData":{"DOI":"10.1109/TGRS.2018.2852302","ISSN":"0196-2892",</w:instrText>
      </w:r>
      <w:r w:rsidRPr="00691AC3">
        <w:rPr>
          <w:rFonts w:ascii="Times New Roman" w:hAnsi="Times New Roman"/>
          <w:lang w:val="de-DE"/>
        </w:rPr>
        <w:instrText>"author":[{"dropping-particle":"","family":"Wu","given":"Y","non-dropping-particle":"","parse-names":false,"suffix":""},{"dropping-particle":"","family":"Lin","given":"Y","non-dropping-particle":"","parse-names":false,"suffix":""},{"dropping-particle":"","family":"Zhou","given":"Z","non-dropping-particle":"","parse-names":false,"suffix":""},{"dropping-particle":"","family":"Bolton","given":"D C","non-dropping-particle":"","parse-names":false,"suffix":""},{"dropping-particle":"","family":"Liu","given":"J","non-dropping-particle":"","parse-names":false,"suffix":""},{"dropping-particle":"","family":"Johnson","given":"P","non-dropping-particle":"","parse-names":false,"suffix":""}],"container-title":"IEEE Transactions on Geoscience and Remote Sensing","id":"ITEM-4","issued":{"date-parts":[["2018"]]},"page":"1-14","title":"DeepDetect: A Cascaded Region-Based Densely Connected Network for Seismic Event Detection","type":"article-journal"},"uris":["http://www.mendeley.com/documents/?uuid=8366b2d7-d582-41a6-accf-697a0439d831"]}],"mendeley":{"formattedCitation":"(Kortström et al., 2016; Perol et al., 2018; Sinha et al., 2018; Wu et al., 2018)","plainTextFormattedCitation":"(Kortström et al., 2016; Perol et al., 2018; Sinha et al., 2018; Wu et al., 2018)","previouslyFormattedCitation":"(Kortström et al., 2016; Perol et al., 2018; Sinha et al., 2018; Wu et al., 2018)"},"properties":{"noteIndex":0},"schema":"https://github.com/citation-style-language/schema/raw/master/csl-citation.json"}</w:instrText>
      </w:r>
      <w:r w:rsidRPr="008B60E0">
        <w:rPr>
          <w:rFonts w:ascii="Times New Roman" w:hAnsi="Times New Roman"/>
        </w:rPr>
        <w:fldChar w:fldCharType="separate"/>
      </w:r>
      <w:r w:rsidRPr="00691AC3">
        <w:rPr>
          <w:rFonts w:ascii="Times New Roman" w:hAnsi="Times New Roman"/>
          <w:noProof/>
          <w:lang w:val="de-DE"/>
        </w:rPr>
        <w:t>(Kortström et al., 2016; Perol et al., 2018; Sinha et al., 2018; Wu et al., 2018)</w:t>
      </w:r>
      <w:r w:rsidRPr="008B60E0">
        <w:rPr>
          <w:rFonts w:ascii="Times New Roman" w:hAnsi="Times New Roman"/>
        </w:rPr>
        <w:fldChar w:fldCharType="end"/>
      </w:r>
      <w:r w:rsidRPr="00691AC3">
        <w:rPr>
          <w:rFonts w:ascii="Times New Roman" w:hAnsi="Times New Roman"/>
          <w:lang w:val="de-DE"/>
        </w:rPr>
        <w:t xml:space="preserve">. </w:t>
      </w:r>
      <w:r w:rsidRPr="008B60E0">
        <w:rPr>
          <w:rFonts w:ascii="Times New Roman" w:hAnsi="Times New Roman"/>
        </w:rPr>
        <w:t>Cored wells are important as they are the only data that provide the ground-truth of subsurface reservoirs including the lithofacies variations. The goals of core-based rock-type descriptions are to identify key lithofacies and facies associations, evaluate facies stacking and identify stratigraphic surfaces, interpret depositional environments, evaluate relationships among porosity, permeability, and lithofacies, and help operators to identify optimal zones for designing completions. Traditional core-based lithofacies identification is challenging as it is costly, time consuming, and subjective (e.g. different geologists describe the same core may yield different results).  To address some of the core-based lithofacies identification challenges, we evaluate whether a CNN can help a specialist on their image-recognition task.</w:t>
      </w:r>
    </w:p>
    <w:p w14:paraId="67748C83" w14:textId="77777777" w:rsidR="005044EC" w:rsidRPr="008B60E0" w:rsidRDefault="005044EC" w:rsidP="005044EC">
      <w:pPr>
        <w:pStyle w:val="SEGBodyText"/>
        <w:rPr>
          <w:rFonts w:ascii="Times New Roman" w:hAnsi="Times New Roman"/>
        </w:rPr>
      </w:pPr>
      <w:r w:rsidRPr="008B60E0">
        <w:rPr>
          <w:rFonts w:ascii="Times New Roman" w:hAnsi="Times New Roman"/>
        </w:rPr>
        <w:lastRenderedPageBreak/>
        <w:t xml:space="preserve"> CNN goes hand-in-hand with the construction and archival of digital data bases. Many museums are now busy digitizing and sharing their collections </w:t>
      </w:r>
      <w:r w:rsidRPr="008B60E0">
        <w:rPr>
          <w:rFonts w:ascii="Times New Roman" w:hAnsi="Times New Roman"/>
        </w:rPr>
        <w:fldChar w:fldCharType="begin" w:fldLock="1"/>
      </w:r>
      <w:r w:rsidRPr="008B60E0">
        <w:rPr>
          <w:rFonts w:ascii="Times New Roman" w:hAnsi="Times New Roman"/>
        </w:rPr>
        <w:instrText>ADDIN CSL_CITATION {"citationItems":[{"id":"ITEM-1","itemData":{"DOI":"10.3897/zookeys.209.3178","ISSN":"1313-2970","PMID":"22859884","abstract":"Traditional approaches for digitizing natural history collections, which include both imaging and metadata capture, are both labour- and time-intensive. Mass-digitization can only be completed if the resource-intensive steps, such as specimen selection and databasing of associated information, are minimized. Digitization of larger collections should employ an \"industrial\" approach, using the principles of automation and crowd sourcing, with minimal initial metadata collection including a mandatory persistent identifier. A new workflow for the mass-digitization of natural history museum collections based on these principles, and using SatScan® tray scanning system, is described.","author":[{"dropping-particle":"","family":"Blagoderov","given":"Vladimir","non-dropping-particle":"","parse-names":false,"suffix":""},{"dropping-particle":"","family":"Kitching","given":"Ian J","non-dropping-particle":"","parse-names":false,"suffix":""},{"dropping-particle":"","family":"Livermore","given":"Laurence","non-dropping-particle":"","parse-names":false,"suffix":""},{"dropping-particle":"","family":"Simonsen","given":"Thomas J","non-dropping-particle":"","parse-names":false,"suffix":""},{"dropping-particle":"","family":"Smith","given":"Vincent S","non-dropping-particle":"","parse-names":false,"suffix":""}],"container-title":"ZooKeys","id":"ITEM-1","issue":"209","issued":{"date-parts":[["2012"]]},"page":"133-46","publisher":"Pensoft Publishers","title":"No specimen left behind: industrial scale digitization of natural history collections","type":"article-journal"},"uris":["http://www.mendeley.com/documents/?uuid=f7e5851f-90e8-338e-98dc-840e38bac542"]},{"id":"ITEM-2","itemData":{"DOI":"10.1093/biosci/biv005","ISSN":"1525-3244","author":[{"dropping-particle":"","family":"Ellwood","given":"Elizabeth R.","non-dropping-particle":"","parse-names":false,"suffix":""},{"dropping-particle":"","family":"Dunckel","given":"Betty A.","non-dropping-particle":"","parse-names":false,"suffix":""},{"dropping-particle":"","family":"Flemons","given":"Paul","non-dropping-particle":"","parse-names":false,"suffix":""},{"dropping-particle":"","family":"Guralnick","given":"Robert","non-dropping-particle":"","parse-names":false,"suffix":""},{"dropping-particle":"","family":"Nelson","given":"Gil","non-dropping-particle":"","parse-names":false,"suffix":""},{"dropping-particle":"","family":"Newman","given":"Greg","non-dropping-particle":"","parse-names":false,"suffix":""},{"dropping-particle":"","family":"Newman","given":"Sarah","non-dropping-particle":"","parse-names":false,"suffix":""},{"dropping-particle":"","family":"Paul","given":"Deborah","non-dropping-particle":"","parse-names":false,"suffix":""},{"dropping-particle":"","family":"Riccardi","given":"Greg","non-dropping-particle":"","parse-names":false,"suffix":""},{"dropping-particle":"","family":"Rios","given":"Nelson","non-dropping-particle":"","parse-names":false,"suffix":""},{"dropping-particle":"","family":"Seltmann","given":"Katja C.","non-dropping-particle":"","parse-names":false,"suffix":""},{"dropping-particle":"","family":"Mast","given":"Austin R.","non-dropping-particle":"","parse-names":false,"suffix":""}],"container-title":"BioScience","id":"ITEM-2","issue":"4","issued":{"date-parts":[["2015","4","1"]]},"page":"383-396","publisher":"Oxford University Press","title":"Accelerating the Digitization of Biodiversity Research Specimens through Online Public Participation","type":"article-journal","volume":"65"},"uris":["http://www.mendeley.com/documents/?uuid=cdd2501d-71ce-3d49-868c-335c4011f43c"]}],"mendeley":{"formattedCitation":"(Blagoderov et al., 2012; Ellwood et al., 2015)","plainTextFormattedCitation":"(Blagoderov et al., 2012; Ellwood et al., 2015)","previouslyFormattedCitation":"(Blagoderov et al., 2012; Ellwood et al., 2015)"},"properties":{"noteIndex":0},"schema":"https://github.com/citation-style-language/schema/raw/master/csl-citation.json"}</w:instrText>
      </w:r>
      <w:r w:rsidRPr="008B60E0">
        <w:rPr>
          <w:rFonts w:ascii="Times New Roman" w:hAnsi="Times New Roman"/>
        </w:rPr>
        <w:fldChar w:fldCharType="separate"/>
      </w:r>
      <w:r w:rsidRPr="008B60E0">
        <w:rPr>
          <w:rFonts w:ascii="Times New Roman" w:hAnsi="Times New Roman"/>
          <w:noProof/>
        </w:rPr>
        <w:t>(Blagoderov et al., 2012; Ellwood et al., 2015)</w:t>
      </w:r>
      <w:r w:rsidRPr="008B60E0">
        <w:rPr>
          <w:rFonts w:ascii="Times New Roman" w:hAnsi="Times New Roman"/>
        </w:rPr>
        <w:fldChar w:fldCharType="end"/>
      </w:r>
      <w:r w:rsidRPr="008B60E0">
        <w:rPr>
          <w:rFonts w:ascii="Times New Roman" w:hAnsi="Times New Roman"/>
        </w:rPr>
        <w:t xml:space="preserve"> With the exception of core measured by deep sea drilling projects and the like (e.g. NOAA, 2016), core images are not readily available. As an example, more than 100 miles of cores are stored in the Oklahoma Petroleum Information Center (OPIC), managed by the Oklahoma Geologic Survey. Other states and countries have similar repositories (USGS Core Research Center, 2018). Further digitization of this valuable resource resulting in core images will not only facilitate access to data for traditional analysis but also provide the information needed to build and calibrate innovative machine learning algorithms. The work we use here has the potential to organize many miles of slabbed cores into a reliable and coherent system easily accessible to a variety of users. </w:t>
      </w:r>
    </w:p>
    <w:p w14:paraId="7D3F6669" w14:textId="77777777" w:rsidR="005044EC" w:rsidRPr="008B60E0" w:rsidRDefault="005044EC" w:rsidP="005044EC">
      <w:pPr>
        <w:pStyle w:val="SEGBodyText"/>
        <w:rPr>
          <w:rFonts w:ascii="Times New Roman" w:hAnsi="Times New Roman"/>
        </w:rPr>
      </w:pPr>
      <w:r w:rsidRPr="008B60E0">
        <w:rPr>
          <w:rFonts w:ascii="Times New Roman" w:hAnsi="Times New Roman"/>
        </w:rPr>
        <w:t xml:space="preserve">In this paper, we provide one of the first attempts to conduct automated core lithofacies classification using CNN. We begin with an overview of the methodology, which includes data preparation and transfer learning. The details of the CNN method are summarized in tutorial form in Appendix A. Next, we apply CNN to our core data set, and use confusion matrices, both test and validation accuracies, as well as a precision, recall, and F1 score </w:t>
      </w:r>
      <w:r w:rsidRPr="008B60E0">
        <w:rPr>
          <w:rFonts w:ascii="Times New Roman" w:hAnsi="Times New Roman"/>
        </w:rPr>
        <w:fldChar w:fldCharType="begin" w:fldLock="1"/>
      </w:r>
      <w:r w:rsidRPr="008B60E0">
        <w:rPr>
          <w:rFonts w:ascii="Times New Roman" w:hAnsi="Times New Roman"/>
        </w:rPr>
        <w:instrText>ADDIN CSL_CITATION {"citationItems":[{"id":"ITEM-1","itemData":{"DOI":"10.1016/J.PATREC.2005.10.010","ISSN":"0167-8655","abstract":"Receiver operating characteristics (ROC) graphs are useful for organizing classifiers and visualizing their performance. ROC graphs are commonly used in medical decision making, and in recent years have been used increasingly in machine learning and data mining research. Although ROC graphs are apparently simple, there are some common misconceptions and pitfalls when using them in practice. The purpose of this article is to serve as an introduction to ROC graphs and as a guide for using them in research.","author":[{"dropping-particle":"","family":"Fawcett","given":"Tom","non-dropping-particle":"","parse-names":false,"suffix":""}],"container-title":"Pattern Recognition Letters","id":"ITEM-1","issue":"8","issued":{"date-parts":[["2006","6","1"]]},"page":"861-874","publisher":"North-Holland","title":"An introduction to ROC analysis","type":"article-journal","volume":"27"},"uris":["http://www.mendeley.com/documents/?uuid=b276f6e0-fafa-3cbc-9c15-7834641be445"]}],"mendeley":{"formattedCitation":"(Fawcett, 2006)","plainTextFormattedCitation":"(Fawcett, 2006)","previouslyFormattedCitation":"(Fawcett, 2006)"},"properties":{"noteIndex":0},"schema":"https://github.com/citation-style-language/schema/raw/master/csl-citation.json"}</w:instrText>
      </w:r>
      <w:r w:rsidRPr="008B60E0">
        <w:rPr>
          <w:rFonts w:ascii="Times New Roman" w:hAnsi="Times New Roman"/>
        </w:rPr>
        <w:fldChar w:fldCharType="separate"/>
      </w:r>
      <w:r w:rsidRPr="008B60E0">
        <w:rPr>
          <w:rFonts w:ascii="Times New Roman" w:hAnsi="Times New Roman"/>
          <w:noProof/>
        </w:rPr>
        <w:t>(Fawcett, 2006)</w:t>
      </w:r>
      <w:r w:rsidRPr="008B60E0">
        <w:rPr>
          <w:rFonts w:ascii="Times New Roman" w:hAnsi="Times New Roman"/>
        </w:rPr>
        <w:fldChar w:fldCharType="end"/>
      </w:r>
      <w:r w:rsidRPr="008B60E0">
        <w:rPr>
          <w:rFonts w:ascii="Times New Roman" w:hAnsi="Times New Roman"/>
        </w:rPr>
        <w:t xml:space="preserve"> computed with the final-test set as means to analyze our results.  We conclude with a summary of our findings and suggestions on how our workflow can be extended and improved.</w:t>
      </w:r>
    </w:p>
    <w:p w14:paraId="0448CEC6" w14:textId="77777777" w:rsidR="005044EC" w:rsidRPr="008B60E0" w:rsidRDefault="005044EC" w:rsidP="004F4884">
      <w:pPr>
        <w:pStyle w:val="Heading2"/>
      </w:pPr>
      <w:bookmarkStart w:id="97" w:name="_Toc26534591"/>
      <w:r>
        <w:t>Methodology</w:t>
      </w:r>
      <w:bookmarkEnd w:id="97"/>
    </w:p>
    <w:p w14:paraId="78312285" w14:textId="77777777" w:rsidR="005044EC" w:rsidRPr="008B60E0" w:rsidRDefault="005044EC" w:rsidP="005044EC">
      <w:pPr>
        <w:pStyle w:val="SEGBodyText"/>
        <w:rPr>
          <w:rFonts w:ascii="Times New Roman" w:hAnsi="Times New Roman"/>
        </w:rPr>
      </w:pPr>
      <w:r w:rsidRPr="008B60E0">
        <w:rPr>
          <w:rFonts w:ascii="Times New Roman" w:hAnsi="Times New Roman"/>
        </w:rPr>
        <w:t xml:space="preserve">The deep learning methodology and CNN techniques are now very well disseminated in diverse fields. </w:t>
      </w:r>
      <w:r w:rsidRPr="008B60E0">
        <w:rPr>
          <w:rFonts w:ascii="Times New Roman" w:hAnsi="Times New Roman"/>
        </w:rPr>
        <w:fldChar w:fldCharType="begin" w:fldLock="1"/>
      </w:r>
      <w:r w:rsidRPr="008B60E0">
        <w:rPr>
          <w:rFonts w:ascii="Times New Roman" w:hAnsi="Times New Roman"/>
        </w:rPr>
        <w:instrText>ADDIN CSL_CITATION {"citationItems":[{"id":"ITEM-1","itemData":{"DOI":"10.1038/nature14539","ISSN":"0028-0836","abstract":"Deep learning","author":[{"dropping-particle":"","family":"LeCun","given":"Yann","non-dropping-particle":"","parse-names":false,"suffix":""},{"dropping-particle":"","family":"Bengio","given":"Yoshua","non-dropping-particle":"","parse-names":false,"suffix":""},{"dropping-particle":"","family":"Hinton","given":"Geoffrey","non-dropping-particle":"","parse-names":false,"suffix":""}],"container-title":"Nature","id":"ITEM-1","issue":"7553","issued":{"date-parts":[["2015","5","28"]]},"page":"436-444","publisher":"Nature Publishing Group","title":"Deep learning","type":"article-journal","volume":"521"},"uris":["http://www.mendeley.com/documents/?uuid=0649e55b-84c4-3d3a-a37b-adcdaa740493"]}],"mendeley":{"formattedCitation":"(LeCun et al., 2015)","manualFormatting":"LeCun et al. (2015)","plainTextFormattedCitation":"(LeCun et al., 2015)","previouslyFormattedCitation":"(LeCun et al., 2015)"},"properties":{"noteIndex":0},"schema":"https://github.com/citation-style-language/schema/raw/master/csl-citation.json"}</w:instrText>
      </w:r>
      <w:r w:rsidRPr="008B60E0">
        <w:rPr>
          <w:rFonts w:ascii="Times New Roman" w:hAnsi="Times New Roman"/>
        </w:rPr>
        <w:fldChar w:fldCharType="separate"/>
      </w:r>
      <w:r w:rsidRPr="008B60E0">
        <w:rPr>
          <w:rFonts w:ascii="Times New Roman" w:hAnsi="Times New Roman"/>
          <w:noProof/>
        </w:rPr>
        <w:t>LeCun et al. (2015)</w:t>
      </w:r>
      <w:r w:rsidRPr="008B60E0">
        <w:rPr>
          <w:rFonts w:ascii="Times New Roman" w:hAnsi="Times New Roman"/>
        </w:rPr>
        <w:fldChar w:fldCharType="end"/>
      </w:r>
      <w:r w:rsidRPr="008B60E0">
        <w:rPr>
          <w:rFonts w:ascii="Times New Roman" w:hAnsi="Times New Roman"/>
        </w:rPr>
        <w:t xml:space="preserve"> </w:t>
      </w:r>
      <w:r w:rsidRPr="008B60E0">
        <w:rPr>
          <w:rFonts w:ascii="Times New Roman" w:hAnsi="Times New Roman"/>
          <w:noProof/>
        </w:rPr>
        <w:t xml:space="preserve">presented details in the construction of and showed the value of deep learning.  </w:t>
      </w:r>
      <w:r w:rsidRPr="008B60E0">
        <w:rPr>
          <w:rStyle w:val="FootnoteReference"/>
          <w:rFonts w:ascii="Times New Roman" w:hAnsi="Times New Roman"/>
          <w:noProof/>
        </w:rPr>
        <w:fldChar w:fldCharType="begin" w:fldLock="1"/>
      </w:r>
      <w:r w:rsidRPr="008B60E0">
        <w:rPr>
          <w:rFonts w:ascii="Times New Roman" w:hAnsi="Times New Roman"/>
          <w:noProof/>
        </w:rPr>
        <w:instrText>ADDIN CSL_CITATION {"citationItems":[{"id":"ITEM-1","itemData":{"author":[{"dropping-particle":"","family":"Dumoulin","given":"V","non-dropping-particle":"","parse-names":false,"suffix":""},{"dropping-particle":"","family":"Visin","given":"F","non-dropping-particle":"","parse-names":false,"suffix":""}],"container-title":"ArXiv e-prints","id":"ITEM-1","issued":{"date-parts":[["2016","3"]]},"title":"A guide to convolution arithmetic for deep learning","type":"article-journal"},"uris":["http://www.mendeley.com/documents/?uuid=ca964fad-8eae-4ccf-aa36-0a3d2463c2ff"]}],"mendeley":{"formattedCitation":"(Dumoulin and Visin, 2016)","manualFormatting":"Dumoulin and Visin (2016)","plainTextFormattedCitation":"(Dumoulin and Visin, 2016)","previouslyFormattedCitation":"(Dumoulin and Visin, 2016)"},"properties":{"noteIndex":0},"schema":"https://github.com/citation-style-language/schema/raw/master/csl-citation.json"}</w:instrText>
      </w:r>
      <w:r w:rsidRPr="008B60E0">
        <w:rPr>
          <w:rStyle w:val="FootnoteReference"/>
          <w:rFonts w:ascii="Times New Roman" w:hAnsi="Times New Roman"/>
          <w:noProof/>
        </w:rPr>
        <w:fldChar w:fldCharType="separate"/>
      </w:r>
      <w:r w:rsidRPr="008B60E0">
        <w:rPr>
          <w:rFonts w:ascii="Times New Roman" w:hAnsi="Times New Roman"/>
          <w:noProof/>
        </w:rPr>
        <w:t>Dumoulin and Visin (2016)</w:t>
      </w:r>
      <w:r w:rsidRPr="008B60E0">
        <w:rPr>
          <w:rStyle w:val="FootnoteReference"/>
          <w:rFonts w:ascii="Times New Roman" w:hAnsi="Times New Roman"/>
          <w:noProof/>
        </w:rPr>
        <w:fldChar w:fldCharType="end"/>
      </w:r>
      <w:r w:rsidRPr="008B60E0">
        <w:rPr>
          <w:rFonts w:ascii="Times New Roman" w:hAnsi="Times New Roman"/>
          <w:noProof/>
        </w:rPr>
        <w:t xml:space="preserve"> gave details on convolutions and other arithmetic </w:t>
      </w:r>
      <w:r w:rsidRPr="008B60E0">
        <w:rPr>
          <w:rFonts w:ascii="Times New Roman" w:hAnsi="Times New Roman"/>
          <w:noProof/>
        </w:rPr>
        <w:lastRenderedPageBreak/>
        <w:t xml:space="preserve">steps used in deep learning algorithms. Although carefully constructed interative papers have been published detailing CNN image transformations and image understanding </w:t>
      </w:r>
      <w:r w:rsidRPr="008B60E0">
        <w:rPr>
          <w:rFonts w:ascii="Times New Roman" w:hAnsi="Times New Roman"/>
          <w:noProof/>
        </w:rPr>
        <w:fldChar w:fldCharType="begin" w:fldLock="1"/>
      </w:r>
      <w:r>
        <w:rPr>
          <w:rFonts w:ascii="Times New Roman" w:hAnsi="Times New Roman"/>
          <w:noProof/>
        </w:rPr>
        <w:instrText>ADDIN CSL_CITATION {"citationItems":[{"id":"ITEM-1","itemData":{"DOI":"10.23915/distill.00007","author":[{"dropping-particle":"","family":"Olah","given":"Chris","non-dropping-particle":"","parse-names":false,"suffix":""},{"dropping-particle":"","family":"Mordvintsev","given":"Alexander","non-dropping-particle":"","parse-names":false,"suffix":""},{"dropping-particle":"","family":"Schubert","given":"Ludwig","non-dropping-particle":"","parse-names":false,"suffix":""}],"container-title":"Distill","id":"ITEM-1","issued":{"date-parts":[["2017"]]},"note":"https://distill.pub/2017/feature-visualization","title":"Feature Visualization","type":"article-journal"},"uris":["http://www.mendeley.com/documents/?uuid=173495c0-8322-4a7f-b026-bc1185657a6a"]},{"id":"ITEM-2","itemData":{"DOI":"10.23915/distill.00010","author":[{"dropping-particle":"","family":"Olah","given":"Chris","non-dropping-particle":"","parse-names":false,"suffix":""},{"dropping-particle":"","family":"Satyanarayan","given":"Arvind","non-dropping-particle":"","parse-names":false,"suffix":""},{"dropping-particle":"","family":"Johnson","given":"Ian","non-dropping-particle":"","parse-names":false,"suffix":""},{"dropping-particle":"","family":"Carter","given":"Shan","non-dropping-particle":"","parse-names":false,"suffix":""},{"dropping-particle":"","family":"Schubert","given":"Ludwig","non-dropping-particle":"","parse-names":false,"suffix":""},{"dropping-particle":"","family":"Ye","given":"Katherine","non-dropping-particle":"","parse-names":false,"suffix":""},{"dropping-particle":"","family":"Mordvintsev","given":"Alexander","non-dropping-particle":"","parse-names":false,"suffix":""}],"container-title":"Distill","id":"ITEM-2","issued":{"date-parts":[["2018"]]},"note":"https://distill.pub/2018/building-blocks","title":"The Building Blocks of Interpretability","type":"article-journal"},"uris":["http://www.mendeley.com/documents/?uuid=9c175a0a-4c26-4ca4-b472-f29eed38a0b4"]}],"mendeley":{"formattedCitation":"(Olah et al., 2018, 2017)","manualFormatting":"(e.g. Olah et al., 2017, 2018)","plainTextFormattedCitation":"(Olah et al., 2018, 2017)","previouslyFormattedCitation":"(Olah et al., 2018, 2017)"},"properties":{"noteIndex":0},"schema":"https://github.com/citation-style-language/schema/raw/master/csl-citation.json"}</w:instrText>
      </w:r>
      <w:r w:rsidRPr="008B60E0">
        <w:rPr>
          <w:rFonts w:ascii="Times New Roman" w:hAnsi="Times New Roman"/>
          <w:noProof/>
        </w:rPr>
        <w:fldChar w:fldCharType="separate"/>
      </w:r>
      <w:r w:rsidRPr="008B60E0">
        <w:rPr>
          <w:rFonts w:ascii="Times New Roman" w:hAnsi="Times New Roman"/>
          <w:noProof/>
        </w:rPr>
        <w:t>(e.g. Olah et al., 2017, 2018)</w:t>
      </w:r>
      <w:r w:rsidRPr="008B60E0">
        <w:rPr>
          <w:rFonts w:ascii="Times New Roman" w:hAnsi="Times New Roman"/>
          <w:noProof/>
        </w:rPr>
        <w:fldChar w:fldCharType="end"/>
      </w:r>
      <w:r w:rsidRPr="008B60E0">
        <w:rPr>
          <w:rFonts w:ascii="Times New Roman" w:hAnsi="Times New Roman"/>
          <w:noProof/>
        </w:rPr>
        <w:t xml:space="preserve">, CNN may appear to be “magic” and therefore somewhat suspect to the practicing geoscientist. For this reason, </w:t>
      </w:r>
      <w:r w:rsidRPr="008B60E0">
        <w:rPr>
          <w:rFonts w:ascii="Times New Roman" w:hAnsi="Times New Roman"/>
        </w:rPr>
        <w:t xml:space="preserve">Appendix A provides a tutorial that looks under the covers, providing a simple CNN application to classify images into three groups. The work for this paper was developed using open-source computational packages described by  </w:t>
      </w:r>
      <w:r w:rsidRPr="008B60E0">
        <w:rPr>
          <w:rFonts w:ascii="Times New Roman" w:hAnsi="Times New Roman"/>
        </w:rPr>
        <w:fldChar w:fldCharType="begin" w:fldLock="1"/>
      </w:r>
      <w:r>
        <w:rPr>
          <w:rFonts w:ascii="Times New Roman" w:hAnsi="Times New Roman"/>
        </w:rPr>
        <w:instrText>ADDIN CSL_CITATION {"citationItems":[{"id":"ITEM-1","itemData":{"DOI":"10.1109/MCSE.2007.55","abstract":"Matplotlib is a 2D graphics package used for Python\nfor application development, interactive scripting, and\npublication-quality image generation across user\ninterfaces and operating systems.","author":[{"dropping-particle":"","family":"Hunter","given":"J D","non-dropping-particle":"","parse-names":false,"suffix":""}],"container-title":"Computing In Science &amp; Engineering","id":"ITEM-1","issue":"3","issued":{"date-parts":[["2007"]]},"page":"90-95","publisher":"IEEE COMPUTER SOC","title":"Matplotlib: A 2D graphics environment","type":"article-journal","volume":"9"},"uris":["http://www.mendeley.com/documents/?uuid=9389eb3d-86f2-4802-bc2c-22f0ee98eaff"]},{"id":"ITEM-2","itemData":{"author":[{"dropping-particle":"","family":"Chollet","given":"François","non-dropping-particle":"","parse-names":false,"suffix":""},{"dropping-particle":"","family":"others","given":"","non-dropping-particle":"","parse-names":false,"suffix":""}],"id":"ITEM-2","issued":{"date-parts":[["2015"]]},"title":"Keras","type":"article"},"uris":["http://www.mendeley.com/documents/?uuid=5b7f7240-f28b-4f23-bbd4-36a135e7e898"]},{"id":"ITEM-3","itemData":{"author":[{"dropping-particle":"","family":"Abadi","given":"Martin","non-dropping-particle":"","parse-names":false,"suffix":""},{"dropping-particle":"","family":"Barham","given":"Paul","non-dropping-particle":"","parse-names":false,"suffix":""},{"dropping-particle":"","family":"Chen","given":"Jianmin","non-dropping-particle":"","parse-names":false,"suffix":""},{"dropping-particle":"","family":"Chen","given":"Zhifeng","non-dropping-particle":"","parse-names":false,"suffix":""},{"dropping-particle":"","family":"Davis","given":"Andy","non-dropping-particle":"","parse-names":false,"suffix":""},{"dropping-particle":"","family":"Dean","given":"Jeffrey","non-dropping-particle":"","parse-names":false,"suffix":""},{"dropping-particle":"","family":"Devin","given":"Matthieu","non-dropping-particle":"","parse-names":false,"suffix":""},{"dropping-particle":"","family":"Ghemawat","given":"Sanjay","non-dropping-particle":"","parse-names":false,"suffix":""},{"dropping-particle":"","family":"Irving","given":"Geoffrey","non-dropping-particle":"","parse-names":false,"suffix":""},{"dropping-particle":"","family":"Isard","given":"Michael","non-dropping-particle":"","parse-names":false,"suffix":""},{"dropping-particle":"","family":"Kudlur","given":"Manjunath","non-dropping-particle":"","parse-names":false,"suffix":""},{"dropping-particle":"","family":"Levenberg","given":"Josh","non-dropping-particle":"","parse-names":false,"suffix":""},{"dropping-particle":"","family":"Monga","given":"Rajat","non-dropping-particle":"","parse-names":false,"suffix":""},{"dropping-particle":"","family":"Moore","given":"Sherry","non-dropping-particle":"","parse-names":false,"suffix":""},{"dropping-particle":"","family":"Murray","given":"Derek G","non-dropping-particle":"","parse-names":false,"suffix":""},{"dropping-particle":"","family":"Steiner","given":"Benoit","non-dropping-particle":"","parse-names":false,"suffix":""},{"dropping-particle":"","family":"Tucker","given":"Paul","non-dropping-particle":"","parse-names":false,"suffix":""},{"dropping-particle":"","family":"Vasudevan","given":"Vijay","non-dropping-particle":"","parse-names":false,"suffix":""},{"dropping-particle":"","family":"Warden","given":"Pete","non-dropping-particle":"","parse-names":false,"suffix":""},{"dropping-particle":"","family":"Wicke","given":"Martin","non-dropping-particle":"","parse-names":false,"suffix":""},{"dropping-particle":"","family":"Yu","given":"Yuan","non-dropping-particle":"","parse-names":false,"suffix":""},{"dropping-particle":"","family":"Zheng","given":"Xiaoqiang","non-dropping-particle":"","parse-names":false,"suffix":""}],"container-title":"12th USENIX Symposium on Operating Systems Design and Implementation (OSDI 16)","id":"ITEM-3","issued":{"date-parts":[["2016"]]},"page":"265-283","title":"TensorFlow: A system for large-scale machine learning","type":"paper-conference"},"uris":["http://www.mendeley.com/documents/?uuid=1209d133-c63c-45f5-b9a7-3e214a0558f1"]}],"mendeley":{"formattedCitation":"(Abadi et al., 2016; Chollet and others, 2015; Hunter, 2007)","manualFormatting":"Hunter (2007), Chollet et al. (2015), and Abadi et al. (2016)","plainTextFormattedCitation":"(Abadi et al., 2016; Chollet and others, 2015; Hunter, 2007)","previouslyFormattedCitation":"(Abadi et al., 2016; Chollet and others, 2015; Hunter, 2007)"},"properties":{"noteIndex":0},"schema":"https://github.com/citation-style-language/schema/raw/master/csl-citation.json"}</w:instrText>
      </w:r>
      <w:r w:rsidRPr="008B60E0">
        <w:rPr>
          <w:rFonts w:ascii="Times New Roman" w:hAnsi="Times New Roman"/>
        </w:rPr>
        <w:fldChar w:fldCharType="separate"/>
      </w:r>
      <w:r w:rsidRPr="008B60E0">
        <w:rPr>
          <w:rFonts w:ascii="Times New Roman" w:hAnsi="Times New Roman"/>
          <w:noProof/>
        </w:rPr>
        <w:t>Hunter (2007), Chollet et al. (2015), and Abadi et al. (2016)</w:t>
      </w:r>
      <w:r w:rsidRPr="008B60E0">
        <w:rPr>
          <w:rFonts w:ascii="Times New Roman" w:hAnsi="Times New Roman"/>
        </w:rPr>
        <w:fldChar w:fldCharType="end"/>
      </w:r>
      <w:r w:rsidRPr="008B60E0">
        <w:rPr>
          <w:rFonts w:ascii="Times New Roman" w:hAnsi="Times New Roman"/>
        </w:rPr>
        <w:t xml:space="preserve"> </w:t>
      </w:r>
    </w:p>
    <w:p w14:paraId="1006490C" w14:textId="77777777" w:rsidR="005044EC" w:rsidRPr="008B60E0" w:rsidRDefault="005044EC" w:rsidP="005044EC">
      <w:pPr>
        <w:pStyle w:val="SEGBodyText"/>
        <w:rPr>
          <w:rFonts w:ascii="Times New Roman" w:hAnsi="Times New Roman"/>
        </w:rPr>
      </w:pPr>
      <w:r w:rsidRPr="008B60E0">
        <w:rPr>
          <w:rFonts w:ascii="Times New Roman" w:hAnsi="Times New Roman"/>
        </w:rPr>
        <w:t xml:space="preserve">When used for image recognition tasks, CNN models need examples (images) to understand the properties of each “class” they try to discriminate. Part of the parameters learned for a primary task (such as the ImageNet classification) can be transferred to a secondary task (e.g. lithofacies classification) through the use of transfer learning </w:t>
      </w:r>
      <w:r w:rsidRPr="008B60E0">
        <w:rPr>
          <w:rFonts w:ascii="Times New Roman" w:hAnsi="Times New Roman"/>
        </w:rPr>
        <w:fldChar w:fldCharType="begin" w:fldLock="1"/>
      </w:r>
      <w:r>
        <w:rPr>
          <w:rFonts w:ascii="Times New Roman" w:hAnsi="Times New Roman"/>
        </w:rPr>
        <w:instrText>ADDIN CSL_CITATION {"citationItems":[{"id":"ITEM-1","itemData":{"DOI":"10.1109/TKDE.2009.191","author":[{"dropping-particle":"","family":"Pan","given":"Sinno Jialin","non-dropping-particle":"","parse-names":false,"suffix":""},{"dropping-particle":"","family":"Yang","given":"Qiang","non-dropping-particle":"","parse-names":false,"suffix":""}],"container-title":"IEEE Transactions on Knowledge and Data Engineering","id":"ITEM-1","issue":"10","issued":{"date-parts":[["2010","10"]]},"page":"1345-1359","title":"A Survey on Transfer Learning","type":"article-journal","volume":"22"},"uris":["http://www.mendeley.com/documents/?uuid=de3a0e47-6009-304c-9f42-af160b2ffac2"]},{"id":"ITEM-2","itemData":{"abstract":"Many deep neural networks trained on natural images exhibit a curious phenomenon in common: on the first layer they learn features similar to Gabor filters and color blobs. Such first-layer features appear not to be specific to a particular dataset or task, but general in that they are applicable to many datasets and tasks. Features must eventually transition from general to specific by the last layer of the network, but this transition has not been studied extensively. In this paper we experimentally quantify the generality versus specificity of neurons in each layer of a deep convolutional neural network and report a few surprising results. Transferability is negatively affected by two distinct issues: (1) the specialization of higher layer neurons to their original task at the expense of performance on the target task, which was expected, and (2) optimization difficulties related to splitting networks between co-adapted neurons, which was not expected. In an example network trained on ImageNet, we demonstrate that either of these two issues may dominate, depending on whether features are transferred from the bottom, middle, or top of the network. We also document that the transferability of features decreases as the distance between the base task and target task increases, but that transferring features even from distant tasks can be better than using random features. A final surprising result is that initializing a network with transferred features from almost any number of layers can produce a boost to generalization that lingers even after fine-tuning to the target dataset.","author":[{"dropping-particle":"","family":"Yosinski","given":"Jason","non-dropping-particle":"","parse-names":false,"suffix":""},{"dropping-particle":"","family":"Clune","given":"Jeff","non-dropping-particle":"","parse-names":false,"suffix":""},{"dropping-particle":"","family":"Bengio","given":"Yoshua","non-dropping-particle":"","parse-names":false,"suffix":""},{"dropping-particle":"","family":"Lipson","given":"Hod","non-dropping-particle":"","parse-names":false,"suffix":""}],"container-title":"Advances in Neural Information Processing Systems","id":"ITEM-2","issued":{"date-parts":[["2014","11","6"]]},"page":"3320-3328","title":"How transferable are features in deep neural networks?","type":"article-journal","volume":"27"},"uris":["http://www.mendeley.com/documents/?uuid=803012bc-b88d-392a-8cbd-4f098fe2c123"]},{"id":"ITEM-3","itemData":{"DOI":"10.1109/CVPR.2014.222","ISBN":"978-1-4799-5118-5","author":[{"dropping-particle":"","family":"Oquab","given":"Maxime","non-dropping-particle":"","parse-names":false,"suffix":""},{"dropping-particle":"","family":"Bottou","given":"Leon","non-dropping-particle":"","parse-names":false,"suffix":""},{"dropping-particle":"","family":"Laptev","given":"Ivan","non-dropping-particle":"","parse-names":false,"suffix":""},{"dropping-particle":"","family":"Sivic","given":"Josef","non-dropping-particle":"","parse-names":false,"suffix":""}],"container-title":"2014 IEEE Conference on Computer Vision and Pattern Recognition","id":"ITEM-3","issued":{"date-parts":[["2014","6"]]},"page":"1717-1724","publisher":"IEEE","title":"Learning and Transferring Mid-level Image Representations Using Convolutional Neural Networks","type":"paper-conference"},"uris":["http://www.mendeley.com/documents/?uuid=da261e6e-cbc0-3ed3-ab37-b065ee5a8169"]}],"mendeley":{"formattedCitation":"(Oquab et al., 2014; Pan and Yang, 2010; Yosinski et al., 2014)","plainTextFormattedCitation":"(Oquab et al., 2014; Pan and Yang, 2010; Yosinski et al., 2014)","previouslyFormattedCitation":"(Oquab et al., 2014; Pan and Yang, 2010; Yosinski et al., 2014)"},"properties":{"noteIndex":0},"schema":"https://github.com/citation-style-language/schema/raw/master/csl-citation.json"}</w:instrText>
      </w:r>
      <w:r w:rsidRPr="008B60E0">
        <w:rPr>
          <w:rFonts w:ascii="Times New Roman" w:hAnsi="Times New Roman"/>
        </w:rPr>
        <w:fldChar w:fldCharType="separate"/>
      </w:r>
      <w:r w:rsidRPr="001B3350">
        <w:rPr>
          <w:rFonts w:ascii="Times New Roman" w:hAnsi="Times New Roman"/>
          <w:noProof/>
        </w:rPr>
        <w:t>(Oquab et al., 2014; Pan and Yang, 2010; Yosinski et al., 2014)</w:t>
      </w:r>
      <w:r w:rsidRPr="008B60E0">
        <w:rPr>
          <w:rFonts w:ascii="Times New Roman" w:hAnsi="Times New Roman"/>
        </w:rPr>
        <w:fldChar w:fldCharType="end"/>
      </w:r>
      <w:r w:rsidRPr="008B60E0">
        <w:rPr>
          <w:rFonts w:ascii="Times New Roman" w:hAnsi="Times New Roman"/>
        </w:rPr>
        <w:t xml:space="preserve">. Our work focuses on using transfer learning of complex CNN architectures to serve our specific image recognition task. The following subsections detail how we prepared our datasets and give a brief explanation of transfer learning. </w:t>
      </w:r>
    </w:p>
    <w:p w14:paraId="5C2D073B" w14:textId="77777777" w:rsidR="005044EC" w:rsidRPr="008B60E0" w:rsidRDefault="005044EC" w:rsidP="004F4884">
      <w:pPr>
        <w:pStyle w:val="Heading2"/>
      </w:pPr>
      <w:bookmarkStart w:id="98" w:name="_Toc26534592"/>
      <w:r w:rsidRPr="008B60E0">
        <w:t>Data Preparation</w:t>
      </w:r>
      <w:bookmarkEnd w:id="98"/>
    </w:p>
    <w:p w14:paraId="467B5347" w14:textId="77777777" w:rsidR="005044EC" w:rsidRPr="008B60E0" w:rsidRDefault="005044EC" w:rsidP="005044EC">
      <w:pPr>
        <w:pStyle w:val="SEGBodyText"/>
        <w:keepNext/>
        <w:rPr>
          <w:rFonts w:ascii="Times New Roman" w:hAnsi="Times New Roman"/>
        </w:rPr>
      </w:pPr>
      <w:r w:rsidRPr="008B60E0">
        <w:rPr>
          <w:rFonts w:ascii="Times New Roman" w:hAnsi="Times New Roman"/>
        </w:rPr>
        <w:t xml:space="preserve">We used core described using traditional methods published by </w:t>
      </w:r>
      <w:r w:rsidRPr="008B60E0">
        <w:rPr>
          <w:rFonts w:ascii="Times New Roman" w:hAnsi="Times New Roman"/>
        </w:rPr>
        <w:fldChar w:fldCharType="begin" w:fldLock="1"/>
      </w:r>
      <w:r w:rsidRPr="008B60E0">
        <w:rPr>
          <w:rFonts w:ascii="Times New Roman" w:hAnsi="Times New Roman"/>
        </w:rPr>
        <w:instrText>ADDIN CSL_CITATION {"citationItems":[{"id":"ITEM-1","itemData":{"DOI":"10.1190/int-2017-0204.1","ISSN":"2324-8858","abstract":"This study shows how stratigraphic and lithofacies control pore structures in the Mississippian limestone and chert reservoir of north-central Oklahoma. There are 17 lithofacies and 29 high-frequency cycles documented in the Mississippian interval of this study. The high-frequency cycles have thickness ranging from 1-100 ft (0.3-30.5 m) and are mainly asymmetric regressive phases. The pore characteristics, measured through digital-image analysis of thin-sections photomicrographs (N&gt;3,100), exhibit unique correlations with core porosity, permeability, and lithofacies within a sequence-stratigraphic framework. There are five fundamental correlations observed. First, porosity from digital-image analysis (DIA) and laboratory core measurements has a strong positive relationship (R2 = 0.94). However, some values from DIA porosity yield relatively higher values, specifically in spiculitic mudstone-wackestones and argillaceous spiculitic mudstone-wackestones. The difference is hypothesized due to the present of i...","author":[{"dropping-particle":"","family":"Suriamin","given":"F.","non-dropping-particle":"","parse-names":false,"suffix":""},{"dropping-particle":"","family":"Pranter","given":"Matthew J.","non-dropping-particle":"","parse-names":false,"suffix":""}],"container-title":"Interpretation","id":"ITEM-1","issued":{"date-parts":[["2018","7","25"]]},"page":"1-66","publisher":" Society of Exploration Geophysicists and American Association of Petroleum Geologists ","title":"Stratigraphic and lithofacies control on pore characteristics of Mississippian limestone and chert reservoirs of north-central Oklahoma","type":"article-journal"},"uris":["http://www.mendeley.com/documents/?uuid=5cae5496-2325-38a6-bfe4-969272bd6d50"]}],"mendeley":{"formattedCitation":"(Suriamin and Pranter, 2018)","manualFormatting":"Suriamin and Pranter (2018)","plainTextFormattedCitation":"(Suriamin and Pranter, 2018)","previouslyFormattedCitation":"(Suriamin and Pranter, 2018)"},"properties":{"noteIndex":0},"schema":"https://github.com/citation-style-language/schema/raw/master/csl-citation.json"}</w:instrText>
      </w:r>
      <w:r w:rsidRPr="008B60E0">
        <w:rPr>
          <w:rFonts w:ascii="Times New Roman" w:hAnsi="Times New Roman"/>
        </w:rPr>
        <w:fldChar w:fldCharType="separate"/>
      </w:r>
      <w:r w:rsidRPr="008B60E0">
        <w:rPr>
          <w:rFonts w:ascii="Times New Roman" w:hAnsi="Times New Roman"/>
          <w:noProof/>
        </w:rPr>
        <w:t>Suriamin and Pranter (2018)</w:t>
      </w:r>
      <w:r w:rsidRPr="008B60E0">
        <w:rPr>
          <w:rFonts w:ascii="Times New Roman" w:hAnsi="Times New Roman"/>
        </w:rPr>
        <w:fldChar w:fldCharType="end"/>
      </w:r>
      <w:r w:rsidRPr="008B60E0">
        <w:rPr>
          <w:rFonts w:ascii="Times New Roman" w:hAnsi="Times New Roman"/>
        </w:rPr>
        <w:t xml:space="preserve">,  capturing images using modern photographic equipment to generate the set of labeled data to feed our CNN. The total section used for this project consists of approximately 700 feet </w:t>
      </w:r>
      <w:r>
        <w:rPr>
          <w:rFonts w:ascii="Times New Roman" w:hAnsi="Times New Roman"/>
        </w:rPr>
        <w:t xml:space="preserve">from one </w:t>
      </w:r>
      <w:r w:rsidRPr="008B60E0">
        <w:rPr>
          <w:rFonts w:ascii="Times New Roman" w:hAnsi="Times New Roman"/>
        </w:rPr>
        <w:t>core from the Mississippian limestone and chert reservoirs in the Anadarko Shelf, Grant County, Oklahoma. The set of core images shown in Table 1 includes 17 different lithofacies. Two pairs of lithofacies exhibit similar lithology and appearance; we grouped these into a single class for this project (</w:t>
      </w:r>
      <w:r w:rsidRPr="008B60E0">
        <w:rPr>
          <w:rFonts w:ascii="Times New Roman" w:hAnsi="Times New Roman"/>
        </w:rPr>
        <w:fldChar w:fldCharType="begin"/>
      </w:r>
      <w:r w:rsidRPr="008B60E0">
        <w:rPr>
          <w:rFonts w:ascii="Times New Roman" w:hAnsi="Times New Roman"/>
        </w:rPr>
        <w:instrText xml:space="preserve"> REF _Ref530994014 \h  \* MERGEFORMAT </w:instrText>
      </w:r>
      <w:r w:rsidRPr="008B60E0">
        <w:rPr>
          <w:rFonts w:ascii="Times New Roman" w:hAnsi="Times New Roman"/>
        </w:rPr>
      </w:r>
      <w:r w:rsidRPr="008B60E0">
        <w:rPr>
          <w:rFonts w:ascii="Times New Roman" w:hAnsi="Times New Roman"/>
        </w:rPr>
        <w:fldChar w:fldCharType="separate"/>
      </w:r>
      <w:r w:rsidR="001C535D" w:rsidRPr="008B60E0">
        <w:rPr>
          <w:rFonts w:ascii="Times New Roman" w:hAnsi="Times New Roman"/>
        </w:rPr>
        <w:t xml:space="preserve">Figure </w:t>
      </w:r>
      <w:r w:rsidR="001C535D">
        <w:rPr>
          <w:rFonts w:ascii="Times New Roman" w:hAnsi="Times New Roman"/>
          <w:noProof/>
        </w:rPr>
        <w:t>3</w:t>
      </w:r>
      <w:r w:rsidRPr="008B60E0">
        <w:rPr>
          <w:rFonts w:ascii="Times New Roman" w:hAnsi="Times New Roman"/>
        </w:rPr>
        <w:fldChar w:fldCharType="end"/>
      </w:r>
      <w:r w:rsidRPr="008B60E0">
        <w:rPr>
          <w:rFonts w:ascii="Times New Roman" w:hAnsi="Times New Roman"/>
        </w:rPr>
        <w:t xml:space="preserve">). We carefully cropped the images in a standardized </w:t>
      </w:r>
      <w:r w:rsidRPr="008B60E0">
        <w:rPr>
          <w:rFonts w:ascii="Times New Roman" w:hAnsi="Times New Roman"/>
        </w:rPr>
        <w:lastRenderedPageBreak/>
        <w:t>fashion, providing consistent input to the CNN. We used a sliding window technique to extract consistent squared cropped sections from the original core images (Figure 1</w:t>
      </w:r>
      <w:r>
        <w:rPr>
          <w:rFonts w:ascii="Times New Roman" w:hAnsi="Times New Roman"/>
        </w:rPr>
        <w:t>)</w:t>
      </w:r>
      <w:r w:rsidRPr="008B60E0">
        <w:rPr>
          <w:rFonts w:ascii="Times New Roman" w:hAnsi="Times New Roman"/>
        </w:rPr>
        <w:t>, generating 180 by 180 pixel images</w:t>
      </w:r>
      <w:r>
        <w:rPr>
          <w:rFonts w:ascii="Times New Roman" w:hAnsi="Times New Roman"/>
        </w:rPr>
        <w:t xml:space="preserve"> representing roughly 2 by 2 inches of cored rock</w:t>
      </w:r>
      <w:r w:rsidRPr="008B60E0">
        <w:rPr>
          <w:rFonts w:ascii="Times New Roman" w:hAnsi="Times New Roman"/>
        </w:rPr>
        <w:t xml:space="preserve">. Note in </w:t>
      </w:r>
      <w:r w:rsidRPr="008B60E0">
        <w:rPr>
          <w:rFonts w:ascii="Times New Roman" w:hAnsi="Times New Roman"/>
        </w:rPr>
        <w:fldChar w:fldCharType="begin"/>
      </w:r>
      <w:r w:rsidRPr="008B60E0">
        <w:rPr>
          <w:rFonts w:ascii="Times New Roman" w:hAnsi="Times New Roman"/>
        </w:rPr>
        <w:instrText xml:space="preserve"> REF _Ref530994014 \h  \* MERGEFORMAT </w:instrText>
      </w:r>
      <w:r w:rsidRPr="008B60E0">
        <w:rPr>
          <w:rFonts w:ascii="Times New Roman" w:hAnsi="Times New Roman"/>
        </w:rPr>
      </w:r>
      <w:r w:rsidRPr="008B60E0">
        <w:rPr>
          <w:rFonts w:ascii="Times New Roman" w:hAnsi="Times New Roman"/>
        </w:rPr>
        <w:fldChar w:fldCharType="separate"/>
      </w:r>
      <w:r w:rsidR="001C535D" w:rsidRPr="008B60E0">
        <w:rPr>
          <w:rFonts w:ascii="Times New Roman" w:hAnsi="Times New Roman"/>
        </w:rPr>
        <w:t xml:space="preserve">Figure </w:t>
      </w:r>
      <w:r w:rsidR="001C535D">
        <w:rPr>
          <w:rFonts w:ascii="Times New Roman" w:hAnsi="Times New Roman"/>
          <w:noProof/>
        </w:rPr>
        <w:t>3</w:t>
      </w:r>
      <w:r w:rsidRPr="008B60E0">
        <w:rPr>
          <w:rFonts w:ascii="Times New Roman" w:hAnsi="Times New Roman"/>
        </w:rPr>
        <w:fldChar w:fldCharType="end"/>
      </w:r>
      <w:r w:rsidRPr="008B60E0">
        <w:rPr>
          <w:rFonts w:ascii="Times New Roman" w:hAnsi="Times New Roman"/>
        </w:rPr>
        <w:t xml:space="preserve"> that the heavily </w:t>
      </w:r>
      <w:r>
        <w:rPr>
          <w:rFonts w:ascii="Times New Roman" w:hAnsi="Times New Roman"/>
        </w:rPr>
        <w:t>damaged</w:t>
      </w:r>
      <w:r w:rsidRPr="008B60E0">
        <w:rPr>
          <w:rFonts w:ascii="Times New Roman" w:hAnsi="Times New Roman"/>
        </w:rPr>
        <w:t xml:space="preserve"> rock is not present in the images used for training/test. We chose to eliminate these images as they would increase variability within class. Ideally, more core data would provide sufficient images to define </w:t>
      </w:r>
      <w:r>
        <w:rPr>
          <w:rFonts w:ascii="Times New Roman" w:hAnsi="Times New Roman"/>
        </w:rPr>
        <w:t>damaged</w:t>
      </w:r>
      <w:r w:rsidRPr="008B60E0">
        <w:rPr>
          <w:rFonts w:ascii="Times New Roman" w:hAnsi="Times New Roman"/>
        </w:rPr>
        <w:t xml:space="preserve"> classes. The sliding window cropping process augments the number of images of our initially small collection, thereby further generalizing the CNN. Some classes contained less than 300 images. </w:t>
      </w:r>
      <w:r>
        <w:rPr>
          <w:rFonts w:ascii="Times New Roman" w:hAnsi="Times New Roman"/>
        </w:rPr>
        <w:t>I</w:t>
      </w:r>
      <w:r w:rsidRPr="00DA3318">
        <w:rPr>
          <w:rFonts w:ascii="Times New Roman" w:hAnsi="Times New Roman"/>
        </w:rPr>
        <w:t xml:space="preserve">n order to augment representation of those classes, </w:t>
      </w:r>
      <w:r>
        <w:rPr>
          <w:rFonts w:ascii="Times New Roman" w:hAnsi="Times New Roman"/>
        </w:rPr>
        <w:t xml:space="preserve">we </w:t>
      </w:r>
      <w:r w:rsidRPr="008B60E0">
        <w:rPr>
          <w:rFonts w:ascii="Times New Roman" w:hAnsi="Times New Roman"/>
        </w:rPr>
        <w:t xml:space="preserve">doubled the number of input images by flipping the image horizontally. Next, we select approximately 2% of the original data for each class to serve as test data.  During training, 5% of the total training data is randomly selected to be part of training-test. The training-test set is used for an overall performance evaluation. We provide more detailed analysis using the test set. </w:t>
      </w:r>
      <w:r>
        <w:rPr>
          <w:rFonts w:ascii="Times New Roman" w:hAnsi="Times New Roman"/>
        </w:rPr>
        <w:t xml:space="preserve">The selection of images to be part of the test has a higher standard than the images selected to be part of the training-test. As each image selected to be part of the test set force us to discard its neighbors (Figure 1), we select only 2% of the original data. </w:t>
      </w:r>
    </w:p>
    <w:p w14:paraId="04369367" w14:textId="77777777" w:rsidR="005044EC" w:rsidRPr="008B60E0" w:rsidRDefault="005044EC" w:rsidP="005044EC">
      <w:pPr>
        <w:pStyle w:val="SEGBodyText"/>
        <w:keepNext/>
        <w:rPr>
          <w:rFonts w:ascii="Times New Roman" w:hAnsi="Times New Roman"/>
        </w:rPr>
      </w:pPr>
      <w:r w:rsidRPr="008B60E0">
        <w:rPr>
          <w:rFonts w:ascii="Times New Roman" w:hAnsi="Times New Roman"/>
        </w:rPr>
        <w:t xml:space="preserve">Even after image augmentation, </w:t>
      </w:r>
      <w:r w:rsidRPr="008B60E0">
        <w:rPr>
          <w:rFonts w:ascii="Times New Roman" w:hAnsi="Times New Roman"/>
        </w:rPr>
        <w:fldChar w:fldCharType="begin"/>
      </w:r>
      <w:r w:rsidRPr="008B60E0">
        <w:rPr>
          <w:rFonts w:ascii="Times New Roman" w:hAnsi="Times New Roman"/>
        </w:rPr>
        <w:instrText xml:space="preserve"> REF _Ref531958861 \h  \* MERGEFORMAT </w:instrText>
      </w:r>
      <w:r w:rsidRPr="008B60E0">
        <w:rPr>
          <w:rFonts w:ascii="Times New Roman" w:hAnsi="Times New Roman"/>
        </w:rPr>
      </w:r>
      <w:r w:rsidRPr="008B60E0">
        <w:rPr>
          <w:rFonts w:ascii="Times New Roman" w:hAnsi="Times New Roman"/>
        </w:rPr>
        <w:fldChar w:fldCharType="separate"/>
      </w:r>
      <w:r w:rsidR="001C535D" w:rsidRPr="008B60E0">
        <w:rPr>
          <w:rFonts w:ascii="Times New Roman" w:hAnsi="Times New Roman"/>
        </w:rPr>
        <w:t xml:space="preserve">Table </w:t>
      </w:r>
      <w:r w:rsidR="001C535D">
        <w:rPr>
          <w:rFonts w:ascii="Times New Roman" w:hAnsi="Times New Roman"/>
          <w:noProof/>
        </w:rPr>
        <w:t>2</w:t>
      </w:r>
      <w:r w:rsidRPr="008B60E0">
        <w:rPr>
          <w:rFonts w:ascii="Times New Roman" w:hAnsi="Times New Roman"/>
        </w:rPr>
        <w:fldChar w:fldCharType="end"/>
      </w:r>
      <w:r w:rsidRPr="008B60E0">
        <w:rPr>
          <w:rFonts w:ascii="Times New Roman" w:hAnsi="Times New Roman"/>
        </w:rPr>
        <w:t xml:space="preserve"> shows that some classes have a significantly larger number of images than others. This difference in amount of labeled data for different classes is referred as class imbalance </w:t>
      </w:r>
      <w:r w:rsidRPr="008B60E0">
        <w:rPr>
          <w:rFonts w:ascii="Times New Roman" w:hAnsi="Times New Roman"/>
        </w:rPr>
        <w:fldChar w:fldCharType="begin" w:fldLock="1"/>
      </w:r>
      <w:r>
        <w:rPr>
          <w:rFonts w:ascii="Times New Roman" w:hAnsi="Times New Roman"/>
        </w:rPr>
        <w:instrText>ADDIN CSL_CITATION {"citationItems":[{"id":"ITEM-1","itemData":{"DOI":"10.1016/J.NEUNET.2018.07.011","ISSN":"0893-6080","abstract":"In this study, we systematically investigate the impact of class imbalance on classification performance of convolutional neural networks (CNNs) and compare frequently used methods to address the issue. Class imbalance is a common problem that has been comprehensively studied in classical machine learning, yet very limited systematic research is available in the context of deep learning. In our study, we use three benchmark datasets of increasing complexity, MNIST, CIFAR-10 and ImageNet, to investigate the effects of imbalance on classification and perform an extensive comparison of several methods to address the issue: oversampling, undersampling, two-phase training, and thresholding that compensates for prior class probabilities. Our main evaluation metric is area under the receiver operating characteristic curve (ROC AUC) adjusted to multi-class tasks since overall accuracy metric is associated with notable difficulties in the context of imbalanced data. Based on results from our experiments we conclude that (i) the effect of class imbalance on classification performance is detrimental; (ii) the method of addressing class imbalance that emerged as dominant in almost all analyzed scenarios was oversampling; (iii) oversampling should be applied to the level that completely eliminates the imbalance, whereas the optimal undersampling ratio depends on the extent of imbalance; (iv) as opposed to some classical machine learning models, oversampling does not cause overfitting of CNNs; (v) thresholding should be applied to compensate for prior class probabilities when overall number of properly classified cases is of interest.","author":[{"dropping-particle":"","family":"Buda","given":"Mateusz","non-dropping-particle":"","parse-names":false,"suffix":""},{"dropping-particle":"","family":"Maki","given":"Atsuto","non-dropping-particle":"","parse-names":false,"suffix":""},{"dropping-particle":"","family":"Mazurowski","given":"Maciej A.","non-dropping-particle":"","parse-names":false,"suffix":""}],"container-title":"Neural Networks","id":"ITEM-1","issued":{"date-parts":[["2018","10","1"]]},"page":"249-259","publisher":"Pergamon","title":"A systematic study of the class imbalance problem in convolutional neural networks","type":"article-journal","volume":"106"},"uris":["http://www.mendeley.com/documents/?uuid=1305bd87-597c-3bda-997f-20b019aa52a3"]},{"id":"ITEM-2","itemData":{"ISSN":"1088-467X","author":[{"dropping-particle":"","family":"Japkowicz","given":"Nathalie","non-dropping-particle":"","parse-names":false,"suffix":""},{"dropping-particle":"","family":"Stephen","given":"Shaju","non-dropping-particle":"","parse-names":false,"suffix":""}],"container-title":"Intell. Data Anal.","id":"ITEM-2","issue":"5","issued":{"date-parts":[["2002","10"]]},"page":"429-449","publisher":"IOS Press","publisher-place":"Amsterdam, The Netherlands, The Netherlands","title":"The Class Imbalance Problem: A Systematic Study","type":"article-journal","volume":"6"},"uris":["http://www.mendeley.com/documents/?uuid=9e263cf6-80c3-43fb-a8b1-c6e677b70427"]}],"mendeley":{"formattedCitation":"(Buda et al., 2018; Japkowicz and Stephen, 2002)","plainTextFormattedCitation":"(Buda et al., 2018; Japkowicz and Stephen, 2002)","previouslyFormattedCitation":"(Buda et al., 2018; Japkowicz and Stephen, 2002)"},"properties":{"noteIndex":0},"schema":"https://github.com/citation-style-language/schema/raw/master/csl-citation.json"}</w:instrText>
      </w:r>
      <w:r w:rsidRPr="008B60E0">
        <w:rPr>
          <w:rFonts w:ascii="Times New Roman" w:hAnsi="Times New Roman"/>
        </w:rPr>
        <w:fldChar w:fldCharType="separate"/>
      </w:r>
      <w:r w:rsidRPr="001B3350">
        <w:rPr>
          <w:rFonts w:ascii="Times New Roman" w:hAnsi="Times New Roman"/>
          <w:noProof/>
        </w:rPr>
        <w:t>(Buda et al., 2018; Japkowicz and Stephen, 2002)</w:t>
      </w:r>
      <w:r w:rsidRPr="008B60E0">
        <w:rPr>
          <w:rFonts w:ascii="Times New Roman" w:hAnsi="Times New Roman"/>
        </w:rPr>
        <w:fldChar w:fldCharType="end"/>
      </w:r>
      <w:r w:rsidRPr="008B60E0">
        <w:rPr>
          <w:rFonts w:ascii="Times New Roman" w:hAnsi="Times New Roman"/>
        </w:rPr>
        <w:t xml:space="preserve"> and can cause undesirable effects when training classifiers. In this study, we did not notice a significant bias caused by such class imbalance. Therefore, although we did not augment it, we chose to retain all of the images in the most common 13-14 Spiculitic mudstone-wackestone class. In </w:t>
      </w:r>
      <w:r w:rsidRPr="008B60E0">
        <w:rPr>
          <w:rFonts w:ascii="Times New Roman" w:hAnsi="Times New Roman"/>
        </w:rPr>
        <w:lastRenderedPageBreak/>
        <w:t xml:space="preserve">contrast, we removed from analysis classes represented by less than 30 images where initial testing indicated that these under-sampled classes were reducing CNN accuracy. </w:t>
      </w:r>
    </w:p>
    <w:p w14:paraId="3CC18A45" w14:textId="77777777" w:rsidR="00DC3A87" w:rsidRDefault="00DC3A87">
      <w:pPr>
        <w:spacing w:line="240" w:lineRule="auto"/>
        <w:rPr>
          <w:rFonts w:ascii="Times New Roman" w:hAnsi="Times New Roman"/>
          <w:bCs/>
          <w:iCs/>
        </w:rPr>
      </w:pPr>
      <w:r>
        <w:br w:type="page"/>
      </w:r>
    </w:p>
    <w:p w14:paraId="67E24737" w14:textId="77777777" w:rsidR="005044EC" w:rsidRPr="008B60E0" w:rsidRDefault="005044EC" w:rsidP="00607DF1">
      <w:pPr>
        <w:pStyle w:val="Caption"/>
      </w:pPr>
    </w:p>
    <w:tbl>
      <w:tblPr>
        <w:tblStyle w:val="PlainTable5"/>
        <w:tblW w:w="8640" w:type="dxa"/>
        <w:tblLook w:val="04A0" w:firstRow="1" w:lastRow="0" w:firstColumn="1" w:lastColumn="0" w:noHBand="0" w:noVBand="1"/>
      </w:tblPr>
      <w:tblGrid>
        <w:gridCol w:w="750"/>
        <w:gridCol w:w="5400"/>
        <w:gridCol w:w="1530"/>
        <w:gridCol w:w="990"/>
      </w:tblGrid>
      <w:tr w:rsidR="005044EC" w:rsidRPr="008B60E0" w14:paraId="506ABA45" w14:textId="77777777" w:rsidTr="005044EC">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720" w:type="dxa"/>
            <w:noWrap/>
            <w:vAlign w:val="center"/>
            <w:hideMark/>
          </w:tcPr>
          <w:p w14:paraId="6ED2F420" w14:textId="77777777" w:rsidR="005044EC" w:rsidRPr="005044EC" w:rsidRDefault="005044EC" w:rsidP="005044EC">
            <w:pPr>
              <w:spacing w:line="240" w:lineRule="auto"/>
              <w:jc w:val="left"/>
              <w:rPr>
                <w:rFonts w:eastAsia="Times New Roman" w:cstheme="minorHAnsi"/>
              </w:rPr>
            </w:pPr>
            <w:r w:rsidRPr="005044EC">
              <w:rPr>
                <w:rFonts w:eastAsia="Times New Roman" w:cstheme="minorHAnsi"/>
              </w:rPr>
              <w:t>Class</w:t>
            </w:r>
          </w:p>
        </w:tc>
        <w:tc>
          <w:tcPr>
            <w:tcW w:w="5400" w:type="dxa"/>
            <w:noWrap/>
            <w:vAlign w:val="center"/>
            <w:hideMark/>
          </w:tcPr>
          <w:p w14:paraId="2DEC6617" w14:textId="77777777" w:rsidR="005044EC" w:rsidRPr="005044EC" w:rsidRDefault="005044EC" w:rsidP="005044EC">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5044EC">
              <w:rPr>
                <w:rFonts w:eastAsia="Times New Roman" w:cstheme="minorHAnsi"/>
              </w:rPr>
              <w:t>Lithofacies</w:t>
            </w:r>
          </w:p>
        </w:tc>
        <w:tc>
          <w:tcPr>
            <w:tcW w:w="1530" w:type="dxa"/>
            <w:noWrap/>
            <w:vAlign w:val="center"/>
            <w:hideMark/>
          </w:tcPr>
          <w:p w14:paraId="61153A93" w14:textId="77777777" w:rsidR="005044EC" w:rsidRPr="005044EC" w:rsidRDefault="005044EC" w:rsidP="005044EC">
            <w:pPr>
              <w:spacing w:line="240" w:lineRule="auto"/>
              <w:jc w:val="right"/>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5044EC">
              <w:rPr>
                <w:rFonts w:eastAsia="Times New Roman" w:cstheme="minorHAnsi"/>
              </w:rPr>
              <w:t>Training set</w:t>
            </w:r>
          </w:p>
        </w:tc>
        <w:tc>
          <w:tcPr>
            <w:tcW w:w="990" w:type="dxa"/>
            <w:noWrap/>
            <w:vAlign w:val="center"/>
            <w:hideMark/>
          </w:tcPr>
          <w:p w14:paraId="0674F86A" w14:textId="77777777" w:rsidR="005044EC" w:rsidRPr="005044EC" w:rsidRDefault="005044EC" w:rsidP="005044EC">
            <w:pPr>
              <w:spacing w:line="240" w:lineRule="auto"/>
              <w:jc w:val="right"/>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5044EC">
              <w:rPr>
                <w:rFonts w:eastAsia="Times New Roman" w:cstheme="minorHAnsi"/>
              </w:rPr>
              <w:t>Test set</w:t>
            </w:r>
          </w:p>
        </w:tc>
      </w:tr>
      <w:tr w:rsidR="005044EC" w:rsidRPr="008B60E0" w14:paraId="46AEF3F5" w14:textId="77777777" w:rsidTr="005044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0" w:type="dxa"/>
            <w:noWrap/>
            <w:vAlign w:val="center"/>
            <w:hideMark/>
          </w:tcPr>
          <w:p w14:paraId="2978D903" w14:textId="77777777" w:rsidR="005044EC" w:rsidRPr="005044EC" w:rsidRDefault="005044EC" w:rsidP="005044EC">
            <w:pPr>
              <w:spacing w:line="240" w:lineRule="auto"/>
              <w:jc w:val="left"/>
              <w:rPr>
                <w:rFonts w:eastAsia="Times New Roman" w:cstheme="minorHAnsi"/>
              </w:rPr>
            </w:pPr>
            <w:r w:rsidRPr="005044EC">
              <w:rPr>
                <w:rFonts w:eastAsia="Times New Roman" w:cstheme="minorHAnsi"/>
              </w:rPr>
              <w:t>01</w:t>
            </w:r>
          </w:p>
        </w:tc>
        <w:tc>
          <w:tcPr>
            <w:tcW w:w="5400" w:type="dxa"/>
            <w:noWrap/>
            <w:vAlign w:val="center"/>
            <w:hideMark/>
          </w:tcPr>
          <w:p w14:paraId="1C2A09CE" w14:textId="77777777" w:rsidR="005044EC" w:rsidRPr="005044EC" w:rsidRDefault="005044EC" w:rsidP="005044EC">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5044EC">
              <w:rPr>
                <w:rFonts w:eastAsia="Times New Roman" w:cstheme="minorHAnsi"/>
              </w:rPr>
              <w:t>Chert breccia in greenish shale matrix</w:t>
            </w:r>
          </w:p>
        </w:tc>
        <w:tc>
          <w:tcPr>
            <w:tcW w:w="1530" w:type="dxa"/>
            <w:noWrap/>
            <w:vAlign w:val="center"/>
            <w:hideMark/>
          </w:tcPr>
          <w:p w14:paraId="13C6E2C7" w14:textId="77777777" w:rsidR="005044EC" w:rsidRPr="005044EC" w:rsidRDefault="005044EC" w:rsidP="005044EC">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5044EC">
              <w:rPr>
                <w:rFonts w:eastAsia="Times New Roman" w:cstheme="minorHAnsi"/>
              </w:rPr>
              <w:t>*218</w:t>
            </w:r>
          </w:p>
        </w:tc>
        <w:tc>
          <w:tcPr>
            <w:tcW w:w="990" w:type="dxa"/>
            <w:noWrap/>
            <w:vAlign w:val="center"/>
            <w:hideMark/>
          </w:tcPr>
          <w:p w14:paraId="4FF6B5F2" w14:textId="77777777" w:rsidR="005044EC" w:rsidRPr="005044EC" w:rsidRDefault="005044EC" w:rsidP="005044EC">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5044EC">
              <w:rPr>
                <w:rFonts w:eastAsia="Times New Roman" w:cstheme="minorHAnsi"/>
              </w:rPr>
              <w:t>3</w:t>
            </w:r>
          </w:p>
        </w:tc>
      </w:tr>
      <w:tr w:rsidR="005044EC" w:rsidRPr="008B60E0" w14:paraId="2A0FE034" w14:textId="77777777" w:rsidTr="005044EC">
        <w:trPr>
          <w:trHeight w:val="300"/>
        </w:trPr>
        <w:tc>
          <w:tcPr>
            <w:cnfStyle w:val="001000000000" w:firstRow="0" w:lastRow="0" w:firstColumn="1" w:lastColumn="0" w:oddVBand="0" w:evenVBand="0" w:oddHBand="0" w:evenHBand="0" w:firstRowFirstColumn="0" w:firstRowLastColumn="0" w:lastRowFirstColumn="0" w:lastRowLastColumn="0"/>
            <w:tcW w:w="720" w:type="dxa"/>
            <w:noWrap/>
            <w:vAlign w:val="center"/>
            <w:hideMark/>
          </w:tcPr>
          <w:p w14:paraId="40D1DF30" w14:textId="77777777" w:rsidR="005044EC" w:rsidRPr="005044EC" w:rsidRDefault="005044EC" w:rsidP="005044EC">
            <w:pPr>
              <w:spacing w:line="240" w:lineRule="auto"/>
              <w:jc w:val="left"/>
              <w:rPr>
                <w:rFonts w:eastAsia="Times New Roman" w:cstheme="minorHAnsi"/>
              </w:rPr>
            </w:pPr>
            <w:r w:rsidRPr="005044EC">
              <w:rPr>
                <w:rFonts w:eastAsia="Times New Roman" w:cstheme="minorHAnsi"/>
              </w:rPr>
              <w:t>02</w:t>
            </w:r>
          </w:p>
        </w:tc>
        <w:tc>
          <w:tcPr>
            <w:tcW w:w="5400" w:type="dxa"/>
            <w:noWrap/>
            <w:vAlign w:val="center"/>
            <w:hideMark/>
          </w:tcPr>
          <w:p w14:paraId="4E6BFE77" w14:textId="77777777" w:rsidR="005044EC" w:rsidRPr="005044EC" w:rsidRDefault="005044EC" w:rsidP="005044EC">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044EC">
              <w:rPr>
                <w:rFonts w:eastAsia="Times New Roman" w:cstheme="minorHAnsi"/>
              </w:rPr>
              <w:t>Chert breccia</w:t>
            </w:r>
          </w:p>
        </w:tc>
        <w:tc>
          <w:tcPr>
            <w:tcW w:w="1530" w:type="dxa"/>
            <w:noWrap/>
            <w:vAlign w:val="center"/>
            <w:hideMark/>
          </w:tcPr>
          <w:p w14:paraId="200E06C1" w14:textId="77777777" w:rsidR="005044EC" w:rsidRPr="005044EC" w:rsidRDefault="005044EC" w:rsidP="005044EC">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044EC">
              <w:rPr>
                <w:rFonts w:eastAsia="Times New Roman" w:cstheme="minorHAnsi"/>
              </w:rPr>
              <w:t>*236</w:t>
            </w:r>
          </w:p>
        </w:tc>
        <w:tc>
          <w:tcPr>
            <w:tcW w:w="990" w:type="dxa"/>
            <w:noWrap/>
            <w:vAlign w:val="center"/>
            <w:hideMark/>
          </w:tcPr>
          <w:p w14:paraId="5525E6B0" w14:textId="77777777" w:rsidR="005044EC" w:rsidRPr="005044EC" w:rsidRDefault="005044EC" w:rsidP="005044EC">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044EC">
              <w:rPr>
                <w:rFonts w:eastAsia="Times New Roman" w:cstheme="minorHAnsi"/>
              </w:rPr>
              <w:t>3</w:t>
            </w:r>
          </w:p>
        </w:tc>
      </w:tr>
      <w:tr w:rsidR="005044EC" w:rsidRPr="008B60E0" w14:paraId="67293FBC" w14:textId="77777777" w:rsidTr="005044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0" w:type="dxa"/>
            <w:noWrap/>
            <w:vAlign w:val="center"/>
            <w:hideMark/>
          </w:tcPr>
          <w:p w14:paraId="3E1904CE" w14:textId="77777777" w:rsidR="005044EC" w:rsidRPr="005044EC" w:rsidRDefault="005044EC" w:rsidP="005044EC">
            <w:pPr>
              <w:spacing w:line="240" w:lineRule="auto"/>
              <w:jc w:val="left"/>
              <w:rPr>
                <w:rFonts w:eastAsia="Times New Roman" w:cstheme="minorHAnsi"/>
              </w:rPr>
            </w:pPr>
            <w:r w:rsidRPr="005044EC">
              <w:rPr>
                <w:rFonts w:eastAsia="Times New Roman" w:cstheme="minorHAnsi"/>
              </w:rPr>
              <w:t>03</w:t>
            </w:r>
          </w:p>
        </w:tc>
        <w:tc>
          <w:tcPr>
            <w:tcW w:w="5400" w:type="dxa"/>
            <w:noWrap/>
            <w:vAlign w:val="center"/>
            <w:hideMark/>
          </w:tcPr>
          <w:p w14:paraId="60DA2B79" w14:textId="77777777" w:rsidR="005044EC" w:rsidRPr="005044EC" w:rsidRDefault="005044EC" w:rsidP="005044EC">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5044EC">
              <w:rPr>
                <w:rFonts w:eastAsia="Times New Roman" w:cstheme="minorHAnsi"/>
              </w:rPr>
              <w:t>Skeletal mudstone-wackestone</w:t>
            </w:r>
          </w:p>
        </w:tc>
        <w:tc>
          <w:tcPr>
            <w:tcW w:w="1530" w:type="dxa"/>
            <w:noWrap/>
            <w:vAlign w:val="center"/>
            <w:hideMark/>
          </w:tcPr>
          <w:p w14:paraId="2CC2BC97" w14:textId="77777777" w:rsidR="005044EC" w:rsidRPr="005044EC" w:rsidRDefault="005044EC" w:rsidP="005044EC">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5044EC">
              <w:rPr>
                <w:rFonts w:eastAsia="Times New Roman" w:cstheme="minorHAnsi"/>
              </w:rPr>
              <w:t>*258</w:t>
            </w:r>
          </w:p>
        </w:tc>
        <w:tc>
          <w:tcPr>
            <w:tcW w:w="990" w:type="dxa"/>
            <w:noWrap/>
            <w:vAlign w:val="center"/>
            <w:hideMark/>
          </w:tcPr>
          <w:p w14:paraId="45C9BB75" w14:textId="77777777" w:rsidR="005044EC" w:rsidRPr="005044EC" w:rsidRDefault="005044EC" w:rsidP="005044EC">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5044EC">
              <w:rPr>
                <w:rFonts w:eastAsia="Times New Roman" w:cstheme="minorHAnsi"/>
              </w:rPr>
              <w:t>4</w:t>
            </w:r>
          </w:p>
        </w:tc>
      </w:tr>
      <w:tr w:rsidR="005044EC" w:rsidRPr="008B60E0" w14:paraId="62497875" w14:textId="77777777" w:rsidTr="005044EC">
        <w:trPr>
          <w:trHeight w:val="300"/>
        </w:trPr>
        <w:tc>
          <w:tcPr>
            <w:cnfStyle w:val="001000000000" w:firstRow="0" w:lastRow="0" w:firstColumn="1" w:lastColumn="0" w:oddVBand="0" w:evenVBand="0" w:oddHBand="0" w:evenHBand="0" w:firstRowFirstColumn="0" w:firstRowLastColumn="0" w:lastRowFirstColumn="0" w:lastRowLastColumn="0"/>
            <w:tcW w:w="720" w:type="dxa"/>
            <w:noWrap/>
            <w:vAlign w:val="center"/>
            <w:hideMark/>
          </w:tcPr>
          <w:p w14:paraId="347EED08" w14:textId="77777777" w:rsidR="005044EC" w:rsidRPr="005044EC" w:rsidRDefault="005044EC" w:rsidP="005044EC">
            <w:pPr>
              <w:spacing w:line="240" w:lineRule="auto"/>
              <w:jc w:val="left"/>
              <w:rPr>
                <w:rFonts w:eastAsia="Times New Roman" w:cstheme="minorHAnsi"/>
              </w:rPr>
            </w:pPr>
            <w:r w:rsidRPr="005044EC">
              <w:rPr>
                <w:rFonts w:eastAsia="Times New Roman" w:cstheme="minorHAnsi"/>
              </w:rPr>
              <w:t>04</w:t>
            </w:r>
          </w:p>
        </w:tc>
        <w:tc>
          <w:tcPr>
            <w:tcW w:w="5400" w:type="dxa"/>
            <w:noWrap/>
            <w:vAlign w:val="center"/>
            <w:hideMark/>
          </w:tcPr>
          <w:p w14:paraId="04582EAA" w14:textId="77777777" w:rsidR="005044EC" w:rsidRPr="005044EC" w:rsidRDefault="005044EC" w:rsidP="005044EC">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044EC">
              <w:rPr>
                <w:rFonts w:eastAsia="Times New Roman" w:cstheme="minorHAnsi"/>
              </w:rPr>
              <w:t>Skeletal grainstone</w:t>
            </w:r>
          </w:p>
        </w:tc>
        <w:tc>
          <w:tcPr>
            <w:tcW w:w="1530" w:type="dxa"/>
            <w:noWrap/>
            <w:vAlign w:val="center"/>
            <w:hideMark/>
          </w:tcPr>
          <w:p w14:paraId="4602F2AB" w14:textId="77777777" w:rsidR="005044EC" w:rsidRPr="005044EC" w:rsidRDefault="005044EC" w:rsidP="005044EC">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044EC">
              <w:rPr>
                <w:rFonts w:eastAsia="Times New Roman" w:cstheme="minorHAnsi"/>
              </w:rPr>
              <w:t>*160</w:t>
            </w:r>
          </w:p>
        </w:tc>
        <w:tc>
          <w:tcPr>
            <w:tcW w:w="990" w:type="dxa"/>
            <w:noWrap/>
            <w:vAlign w:val="center"/>
            <w:hideMark/>
          </w:tcPr>
          <w:p w14:paraId="7A246BD3" w14:textId="77777777" w:rsidR="005044EC" w:rsidRPr="005044EC" w:rsidRDefault="005044EC" w:rsidP="005044EC">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044EC">
              <w:rPr>
                <w:rFonts w:eastAsia="Times New Roman" w:cstheme="minorHAnsi"/>
              </w:rPr>
              <w:t>3</w:t>
            </w:r>
          </w:p>
        </w:tc>
      </w:tr>
      <w:tr w:rsidR="005044EC" w:rsidRPr="008B60E0" w14:paraId="238D32BB" w14:textId="77777777" w:rsidTr="005044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0" w:type="dxa"/>
            <w:noWrap/>
            <w:vAlign w:val="center"/>
            <w:hideMark/>
          </w:tcPr>
          <w:p w14:paraId="379F159E" w14:textId="77777777" w:rsidR="005044EC" w:rsidRPr="005044EC" w:rsidRDefault="005044EC" w:rsidP="005044EC">
            <w:pPr>
              <w:spacing w:line="240" w:lineRule="auto"/>
              <w:jc w:val="left"/>
              <w:rPr>
                <w:rFonts w:eastAsia="Times New Roman" w:cstheme="minorHAnsi"/>
              </w:rPr>
            </w:pPr>
            <w:r w:rsidRPr="005044EC">
              <w:rPr>
                <w:rFonts w:eastAsia="Times New Roman" w:cstheme="minorHAnsi"/>
              </w:rPr>
              <w:t>05</w:t>
            </w:r>
          </w:p>
        </w:tc>
        <w:tc>
          <w:tcPr>
            <w:tcW w:w="5400" w:type="dxa"/>
            <w:noWrap/>
            <w:vAlign w:val="center"/>
            <w:hideMark/>
          </w:tcPr>
          <w:p w14:paraId="6D0D2490" w14:textId="77777777" w:rsidR="005044EC" w:rsidRPr="005044EC" w:rsidRDefault="005044EC" w:rsidP="005044EC">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5044EC">
              <w:rPr>
                <w:rFonts w:eastAsia="Times New Roman" w:cstheme="minorHAnsi"/>
              </w:rPr>
              <w:t>Splotchy packstone grainstone</w:t>
            </w:r>
          </w:p>
        </w:tc>
        <w:tc>
          <w:tcPr>
            <w:tcW w:w="1530" w:type="dxa"/>
            <w:noWrap/>
            <w:vAlign w:val="center"/>
            <w:hideMark/>
          </w:tcPr>
          <w:p w14:paraId="2C40A42C" w14:textId="77777777" w:rsidR="005044EC" w:rsidRPr="005044EC" w:rsidRDefault="005044EC" w:rsidP="005044EC">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5044EC">
              <w:rPr>
                <w:rFonts w:eastAsia="Times New Roman" w:cstheme="minorHAnsi"/>
              </w:rPr>
              <w:t>*344</w:t>
            </w:r>
          </w:p>
        </w:tc>
        <w:tc>
          <w:tcPr>
            <w:tcW w:w="990" w:type="dxa"/>
            <w:noWrap/>
            <w:vAlign w:val="center"/>
            <w:hideMark/>
          </w:tcPr>
          <w:p w14:paraId="46E6E933" w14:textId="77777777" w:rsidR="005044EC" w:rsidRPr="005044EC" w:rsidRDefault="005044EC" w:rsidP="005044EC">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5044EC">
              <w:rPr>
                <w:rFonts w:eastAsia="Times New Roman" w:cstheme="minorHAnsi"/>
              </w:rPr>
              <w:t>4</w:t>
            </w:r>
          </w:p>
        </w:tc>
      </w:tr>
      <w:tr w:rsidR="005044EC" w:rsidRPr="008B60E0" w14:paraId="2B560294" w14:textId="77777777" w:rsidTr="005044EC">
        <w:trPr>
          <w:trHeight w:val="300"/>
        </w:trPr>
        <w:tc>
          <w:tcPr>
            <w:cnfStyle w:val="001000000000" w:firstRow="0" w:lastRow="0" w:firstColumn="1" w:lastColumn="0" w:oddVBand="0" w:evenVBand="0" w:oddHBand="0" w:evenHBand="0" w:firstRowFirstColumn="0" w:firstRowLastColumn="0" w:lastRowFirstColumn="0" w:lastRowLastColumn="0"/>
            <w:tcW w:w="720" w:type="dxa"/>
            <w:noWrap/>
            <w:vAlign w:val="center"/>
            <w:hideMark/>
          </w:tcPr>
          <w:p w14:paraId="7ADFE44E" w14:textId="77777777" w:rsidR="005044EC" w:rsidRPr="005044EC" w:rsidRDefault="005044EC" w:rsidP="005044EC">
            <w:pPr>
              <w:spacing w:line="240" w:lineRule="auto"/>
              <w:jc w:val="left"/>
              <w:rPr>
                <w:rFonts w:eastAsia="Times New Roman" w:cstheme="minorHAnsi"/>
              </w:rPr>
            </w:pPr>
            <w:r w:rsidRPr="005044EC">
              <w:rPr>
                <w:rFonts w:eastAsia="Times New Roman" w:cstheme="minorHAnsi"/>
              </w:rPr>
              <w:t>06</w:t>
            </w:r>
          </w:p>
        </w:tc>
        <w:tc>
          <w:tcPr>
            <w:tcW w:w="5400" w:type="dxa"/>
            <w:noWrap/>
            <w:vAlign w:val="center"/>
            <w:hideMark/>
          </w:tcPr>
          <w:p w14:paraId="7A468343" w14:textId="77777777" w:rsidR="005044EC" w:rsidRPr="005044EC" w:rsidRDefault="005044EC" w:rsidP="005044EC">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044EC">
              <w:rPr>
                <w:rFonts w:eastAsia="Times New Roman" w:cstheme="minorHAnsi"/>
              </w:rPr>
              <w:t>Bedded skeletal peloidal packstone-grainstone</w:t>
            </w:r>
          </w:p>
        </w:tc>
        <w:tc>
          <w:tcPr>
            <w:tcW w:w="1530" w:type="dxa"/>
            <w:noWrap/>
            <w:vAlign w:val="center"/>
            <w:hideMark/>
          </w:tcPr>
          <w:p w14:paraId="7E269626" w14:textId="77777777" w:rsidR="005044EC" w:rsidRPr="005044EC" w:rsidRDefault="005044EC" w:rsidP="005044EC">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044EC">
              <w:rPr>
                <w:rFonts w:eastAsia="Times New Roman" w:cstheme="minorHAnsi"/>
              </w:rPr>
              <w:t>*416</w:t>
            </w:r>
          </w:p>
        </w:tc>
        <w:tc>
          <w:tcPr>
            <w:tcW w:w="990" w:type="dxa"/>
            <w:noWrap/>
            <w:vAlign w:val="center"/>
            <w:hideMark/>
          </w:tcPr>
          <w:p w14:paraId="295B36E7" w14:textId="77777777" w:rsidR="005044EC" w:rsidRPr="005044EC" w:rsidRDefault="005044EC" w:rsidP="005044EC">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044EC">
              <w:rPr>
                <w:rFonts w:eastAsia="Times New Roman" w:cstheme="minorHAnsi"/>
              </w:rPr>
              <w:t>4</w:t>
            </w:r>
          </w:p>
        </w:tc>
      </w:tr>
      <w:tr w:rsidR="005044EC" w:rsidRPr="008B60E0" w14:paraId="59A1A98E" w14:textId="77777777" w:rsidTr="005044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0" w:type="dxa"/>
            <w:noWrap/>
            <w:vAlign w:val="center"/>
            <w:hideMark/>
          </w:tcPr>
          <w:p w14:paraId="1DADA642" w14:textId="77777777" w:rsidR="005044EC" w:rsidRPr="005044EC" w:rsidRDefault="005044EC" w:rsidP="005044EC">
            <w:pPr>
              <w:spacing w:line="240" w:lineRule="auto"/>
              <w:jc w:val="left"/>
              <w:rPr>
                <w:rFonts w:eastAsia="Times New Roman" w:cstheme="minorHAnsi"/>
              </w:rPr>
            </w:pPr>
            <w:r w:rsidRPr="005044EC">
              <w:rPr>
                <w:rFonts w:eastAsia="Times New Roman" w:cstheme="minorHAnsi"/>
              </w:rPr>
              <w:t>07</w:t>
            </w:r>
          </w:p>
        </w:tc>
        <w:tc>
          <w:tcPr>
            <w:tcW w:w="5400" w:type="dxa"/>
            <w:noWrap/>
            <w:vAlign w:val="center"/>
            <w:hideMark/>
          </w:tcPr>
          <w:p w14:paraId="29CFF830" w14:textId="77777777" w:rsidR="005044EC" w:rsidRPr="005044EC" w:rsidRDefault="005044EC" w:rsidP="005044EC">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5044EC">
              <w:rPr>
                <w:rFonts w:eastAsia="Times New Roman" w:cstheme="minorHAnsi"/>
              </w:rPr>
              <w:t>Nodular packstone-grainstone</w:t>
            </w:r>
          </w:p>
        </w:tc>
        <w:tc>
          <w:tcPr>
            <w:tcW w:w="1530" w:type="dxa"/>
            <w:noWrap/>
            <w:vAlign w:val="center"/>
            <w:hideMark/>
          </w:tcPr>
          <w:p w14:paraId="2A71047C" w14:textId="77777777" w:rsidR="005044EC" w:rsidRPr="005044EC" w:rsidRDefault="005044EC" w:rsidP="005044EC">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5044EC">
              <w:rPr>
                <w:rFonts w:eastAsia="Times New Roman" w:cstheme="minorHAnsi"/>
              </w:rPr>
              <w:t>445</w:t>
            </w:r>
          </w:p>
        </w:tc>
        <w:tc>
          <w:tcPr>
            <w:tcW w:w="990" w:type="dxa"/>
            <w:noWrap/>
            <w:vAlign w:val="center"/>
            <w:hideMark/>
          </w:tcPr>
          <w:p w14:paraId="4CC5C19E" w14:textId="77777777" w:rsidR="005044EC" w:rsidRPr="005044EC" w:rsidRDefault="005044EC" w:rsidP="005044EC">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5044EC">
              <w:rPr>
                <w:rFonts w:eastAsia="Times New Roman" w:cstheme="minorHAnsi"/>
              </w:rPr>
              <w:t>11</w:t>
            </w:r>
          </w:p>
        </w:tc>
      </w:tr>
      <w:tr w:rsidR="005044EC" w:rsidRPr="008B60E0" w14:paraId="3F705BD6" w14:textId="77777777" w:rsidTr="005044EC">
        <w:trPr>
          <w:trHeight w:val="300"/>
        </w:trPr>
        <w:tc>
          <w:tcPr>
            <w:cnfStyle w:val="001000000000" w:firstRow="0" w:lastRow="0" w:firstColumn="1" w:lastColumn="0" w:oddVBand="0" w:evenVBand="0" w:oddHBand="0" w:evenHBand="0" w:firstRowFirstColumn="0" w:firstRowLastColumn="0" w:lastRowFirstColumn="0" w:lastRowLastColumn="0"/>
            <w:tcW w:w="720" w:type="dxa"/>
            <w:noWrap/>
            <w:vAlign w:val="center"/>
            <w:hideMark/>
          </w:tcPr>
          <w:p w14:paraId="29F2A0A7" w14:textId="77777777" w:rsidR="005044EC" w:rsidRPr="005044EC" w:rsidRDefault="005044EC" w:rsidP="005044EC">
            <w:pPr>
              <w:spacing w:line="240" w:lineRule="auto"/>
              <w:jc w:val="left"/>
              <w:rPr>
                <w:rFonts w:eastAsia="Times New Roman" w:cstheme="minorHAnsi"/>
              </w:rPr>
            </w:pPr>
            <w:r w:rsidRPr="005044EC">
              <w:rPr>
                <w:rFonts w:eastAsia="Times New Roman" w:cstheme="minorHAnsi"/>
              </w:rPr>
              <w:t>08</w:t>
            </w:r>
          </w:p>
        </w:tc>
        <w:tc>
          <w:tcPr>
            <w:tcW w:w="5400" w:type="dxa"/>
            <w:noWrap/>
            <w:vAlign w:val="center"/>
            <w:hideMark/>
          </w:tcPr>
          <w:p w14:paraId="5C09E801" w14:textId="77777777" w:rsidR="005044EC" w:rsidRPr="005044EC" w:rsidRDefault="005044EC" w:rsidP="005044EC">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044EC">
              <w:rPr>
                <w:rFonts w:eastAsia="Times New Roman" w:cstheme="minorHAnsi"/>
              </w:rPr>
              <w:t>Skeletal peloidal packstone-grainstone</w:t>
            </w:r>
          </w:p>
        </w:tc>
        <w:tc>
          <w:tcPr>
            <w:tcW w:w="1530" w:type="dxa"/>
            <w:noWrap/>
            <w:vAlign w:val="center"/>
            <w:hideMark/>
          </w:tcPr>
          <w:p w14:paraId="03165731" w14:textId="77777777" w:rsidR="005044EC" w:rsidRPr="005044EC" w:rsidRDefault="005044EC" w:rsidP="005044EC">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044EC">
              <w:rPr>
                <w:rFonts w:eastAsia="Times New Roman" w:cstheme="minorHAnsi"/>
              </w:rPr>
              <w:t>not used</w:t>
            </w:r>
          </w:p>
        </w:tc>
        <w:tc>
          <w:tcPr>
            <w:tcW w:w="990" w:type="dxa"/>
            <w:noWrap/>
            <w:vAlign w:val="center"/>
            <w:hideMark/>
          </w:tcPr>
          <w:p w14:paraId="0B1BAAB3" w14:textId="77777777" w:rsidR="005044EC" w:rsidRPr="005044EC" w:rsidRDefault="005044EC" w:rsidP="005044EC">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044EC">
              <w:rPr>
                <w:rFonts w:eastAsia="Times New Roman" w:cstheme="minorHAnsi"/>
              </w:rPr>
              <w:t>not used</w:t>
            </w:r>
          </w:p>
        </w:tc>
      </w:tr>
      <w:tr w:rsidR="005044EC" w:rsidRPr="008B60E0" w14:paraId="2E1CCB94" w14:textId="77777777" w:rsidTr="005044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0" w:type="dxa"/>
            <w:noWrap/>
            <w:vAlign w:val="center"/>
            <w:hideMark/>
          </w:tcPr>
          <w:p w14:paraId="54800429" w14:textId="77777777" w:rsidR="005044EC" w:rsidRPr="005044EC" w:rsidRDefault="005044EC" w:rsidP="005044EC">
            <w:pPr>
              <w:spacing w:line="240" w:lineRule="auto"/>
              <w:jc w:val="left"/>
              <w:rPr>
                <w:rFonts w:eastAsia="Times New Roman" w:cstheme="minorHAnsi"/>
              </w:rPr>
            </w:pPr>
            <w:r w:rsidRPr="005044EC">
              <w:rPr>
                <w:rFonts w:eastAsia="Times New Roman" w:cstheme="minorHAnsi"/>
              </w:rPr>
              <w:t>09</w:t>
            </w:r>
          </w:p>
        </w:tc>
        <w:tc>
          <w:tcPr>
            <w:tcW w:w="5400" w:type="dxa"/>
            <w:noWrap/>
            <w:vAlign w:val="center"/>
            <w:hideMark/>
          </w:tcPr>
          <w:p w14:paraId="4E2C8B3C" w14:textId="77777777" w:rsidR="005044EC" w:rsidRPr="005044EC" w:rsidRDefault="005044EC" w:rsidP="005044EC">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5044EC">
              <w:rPr>
                <w:rFonts w:eastAsia="Times New Roman" w:cstheme="minorHAnsi"/>
              </w:rPr>
              <w:t>Bioturbated skeletal peloidal packstone-grainstone</w:t>
            </w:r>
          </w:p>
        </w:tc>
        <w:tc>
          <w:tcPr>
            <w:tcW w:w="1530" w:type="dxa"/>
            <w:noWrap/>
            <w:vAlign w:val="center"/>
            <w:hideMark/>
          </w:tcPr>
          <w:p w14:paraId="1DE65DAE" w14:textId="77777777" w:rsidR="005044EC" w:rsidRPr="005044EC" w:rsidRDefault="005044EC" w:rsidP="005044EC">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5044EC">
              <w:rPr>
                <w:rFonts w:eastAsia="Times New Roman" w:cstheme="minorHAnsi"/>
              </w:rPr>
              <w:t>795</w:t>
            </w:r>
          </w:p>
        </w:tc>
        <w:tc>
          <w:tcPr>
            <w:tcW w:w="990" w:type="dxa"/>
            <w:noWrap/>
            <w:vAlign w:val="center"/>
            <w:hideMark/>
          </w:tcPr>
          <w:p w14:paraId="29A4B0BB" w14:textId="77777777" w:rsidR="005044EC" w:rsidRPr="005044EC" w:rsidRDefault="005044EC" w:rsidP="005044EC">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5044EC">
              <w:rPr>
                <w:rFonts w:eastAsia="Times New Roman" w:cstheme="minorHAnsi"/>
              </w:rPr>
              <w:t>19</w:t>
            </w:r>
          </w:p>
        </w:tc>
      </w:tr>
      <w:tr w:rsidR="005044EC" w:rsidRPr="008B60E0" w14:paraId="5ED3148C" w14:textId="77777777" w:rsidTr="005044EC">
        <w:trPr>
          <w:trHeight w:val="300"/>
        </w:trPr>
        <w:tc>
          <w:tcPr>
            <w:cnfStyle w:val="001000000000" w:firstRow="0" w:lastRow="0" w:firstColumn="1" w:lastColumn="0" w:oddVBand="0" w:evenVBand="0" w:oddHBand="0" w:evenHBand="0" w:firstRowFirstColumn="0" w:firstRowLastColumn="0" w:lastRowFirstColumn="0" w:lastRowLastColumn="0"/>
            <w:tcW w:w="720" w:type="dxa"/>
            <w:noWrap/>
            <w:vAlign w:val="center"/>
            <w:hideMark/>
          </w:tcPr>
          <w:p w14:paraId="21BAB7D9" w14:textId="77777777" w:rsidR="005044EC" w:rsidRPr="005044EC" w:rsidRDefault="005044EC" w:rsidP="005044EC">
            <w:pPr>
              <w:spacing w:line="240" w:lineRule="auto"/>
              <w:jc w:val="left"/>
              <w:rPr>
                <w:rFonts w:eastAsia="Times New Roman" w:cstheme="minorHAnsi"/>
              </w:rPr>
            </w:pPr>
            <w:r w:rsidRPr="005044EC">
              <w:rPr>
                <w:rFonts w:eastAsia="Times New Roman" w:cstheme="minorHAnsi"/>
              </w:rPr>
              <w:t>10</w:t>
            </w:r>
          </w:p>
        </w:tc>
        <w:tc>
          <w:tcPr>
            <w:tcW w:w="5400" w:type="dxa"/>
            <w:noWrap/>
            <w:vAlign w:val="center"/>
            <w:hideMark/>
          </w:tcPr>
          <w:p w14:paraId="132BB376" w14:textId="77777777" w:rsidR="005044EC" w:rsidRPr="005044EC" w:rsidRDefault="005044EC" w:rsidP="005044EC">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044EC">
              <w:rPr>
                <w:rFonts w:eastAsia="Times New Roman" w:cstheme="minorHAnsi"/>
              </w:rPr>
              <w:t>Bioturbated mudstone-wackestone</w:t>
            </w:r>
          </w:p>
        </w:tc>
        <w:tc>
          <w:tcPr>
            <w:tcW w:w="1530" w:type="dxa"/>
            <w:noWrap/>
            <w:vAlign w:val="center"/>
            <w:hideMark/>
          </w:tcPr>
          <w:p w14:paraId="0E906F1E" w14:textId="77777777" w:rsidR="005044EC" w:rsidRPr="005044EC" w:rsidRDefault="005044EC" w:rsidP="005044EC">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044EC">
              <w:rPr>
                <w:rFonts w:eastAsia="Times New Roman" w:cstheme="minorHAnsi"/>
              </w:rPr>
              <w:t>*150</w:t>
            </w:r>
          </w:p>
        </w:tc>
        <w:tc>
          <w:tcPr>
            <w:tcW w:w="990" w:type="dxa"/>
            <w:noWrap/>
            <w:vAlign w:val="center"/>
            <w:hideMark/>
          </w:tcPr>
          <w:p w14:paraId="56037CAE" w14:textId="77777777" w:rsidR="005044EC" w:rsidRPr="005044EC" w:rsidRDefault="005044EC" w:rsidP="005044EC">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044EC">
              <w:rPr>
                <w:rFonts w:eastAsia="Times New Roman" w:cstheme="minorHAnsi"/>
              </w:rPr>
              <w:t>4</w:t>
            </w:r>
          </w:p>
        </w:tc>
      </w:tr>
      <w:tr w:rsidR="005044EC" w:rsidRPr="008B60E0" w14:paraId="7401FCB3" w14:textId="77777777" w:rsidTr="005044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0" w:type="dxa"/>
            <w:noWrap/>
            <w:vAlign w:val="center"/>
            <w:hideMark/>
          </w:tcPr>
          <w:p w14:paraId="62C829EE" w14:textId="77777777" w:rsidR="005044EC" w:rsidRPr="005044EC" w:rsidRDefault="005044EC" w:rsidP="005044EC">
            <w:pPr>
              <w:spacing w:line="240" w:lineRule="auto"/>
              <w:jc w:val="left"/>
              <w:rPr>
                <w:rFonts w:eastAsia="Times New Roman" w:cstheme="minorHAnsi"/>
              </w:rPr>
            </w:pPr>
            <w:r w:rsidRPr="005044EC">
              <w:rPr>
                <w:rFonts w:eastAsia="Times New Roman" w:cstheme="minorHAnsi"/>
              </w:rPr>
              <w:t>11</w:t>
            </w:r>
          </w:p>
        </w:tc>
        <w:tc>
          <w:tcPr>
            <w:tcW w:w="5400" w:type="dxa"/>
            <w:noWrap/>
            <w:vAlign w:val="center"/>
            <w:hideMark/>
          </w:tcPr>
          <w:p w14:paraId="33FD7EF5" w14:textId="77777777" w:rsidR="005044EC" w:rsidRPr="005044EC" w:rsidRDefault="005044EC" w:rsidP="005044EC">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5044EC">
              <w:rPr>
                <w:rFonts w:eastAsia="Times New Roman" w:cstheme="minorHAnsi"/>
              </w:rPr>
              <w:t>Brecciated spiculitic mudstone</w:t>
            </w:r>
          </w:p>
        </w:tc>
        <w:tc>
          <w:tcPr>
            <w:tcW w:w="1530" w:type="dxa"/>
            <w:noWrap/>
            <w:vAlign w:val="center"/>
            <w:hideMark/>
          </w:tcPr>
          <w:p w14:paraId="1EFC3B46" w14:textId="77777777" w:rsidR="005044EC" w:rsidRPr="005044EC" w:rsidRDefault="005044EC" w:rsidP="005044EC">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5044EC">
              <w:rPr>
                <w:rFonts w:eastAsia="Times New Roman" w:cstheme="minorHAnsi"/>
              </w:rPr>
              <w:t>not used</w:t>
            </w:r>
          </w:p>
        </w:tc>
        <w:tc>
          <w:tcPr>
            <w:tcW w:w="990" w:type="dxa"/>
            <w:noWrap/>
            <w:vAlign w:val="center"/>
            <w:hideMark/>
          </w:tcPr>
          <w:p w14:paraId="4D7A9DBB" w14:textId="77777777" w:rsidR="005044EC" w:rsidRPr="005044EC" w:rsidRDefault="005044EC" w:rsidP="005044EC">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5044EC">
              <w:rPr>
                <w:rFonts w:eastAsia="Times New Roman" w:cstheme="minorHAnsi"/>
              </w:rPr>
              <w:t>not used</w:t>
            </w:r>
          </w:p>
        </w:tc>
      </w:tr>
      <w:tr w:rsidR="005044EC" w:rsidRPr="008B60E0" w14:paraId="60ED212A" w14:textId="77777777" w:rsidTr="005044EC">
        <w:trPr>
          <w:trHeight w:val="300"/>
        </w:trPr>
        <w:tc>
          <w:tcPr>
            <w:cnfStyle w:val="001000000000" w:firstRow="0" w:lastRow="0" w:firstColumn="1" w:lastColumn="0" w:oddVBand="0" w:evenVBand="0" w:oddHBand="0" w:evenHBand="0" w:firstRowFirstColumn="0" w:firstRowLastColumn="0" w:lastRowFirstColumn="0" w:lastRowLastColumn="0"/>
            <w:tcW w:w="720" w:type="dxa"/>
            <w:noWrap/>
            <w:vAlign w:val="center"/>
            <w:hideMark/>
          </w:tcPr>
          <w:p w14:paraId="0B486334" w14:textId="77777777" w:rsidR="005044EC" w:rsidRPr="005044EC" w:rsidRDefault="005044EC" w:rsidP="005044EC">
            <w:pPr>
              <w:spacing w:line="240" w:lineRule="auto"/>
              <w:jc w:val="left"/>
              <w:rPr>
                <w:rFonts w:eastAsia="Times New Roman" w:cstheme="minorHAnsi"/>
              </w:rPr>
            </w:pPr>
            <w:r w:rsidRPr="005044EC">
              <w:rPr>
                <w:rFonts w:eastAsia="Times New Roman" w:cstheme="minorHAnsi"/>
              </w:rPr>
              <w:t>12</w:t>
            </w:r>
          </w:p>
        </w:tc>
        <w:tc>
          <w:tcPr>
            <w:tcW w:w="5400" w:type="dxa"/>
            <w:noWrap/>
            <w:vAlign w:val="center"/>
            <w:hideMark/>
          </w:tcPr>
          <w:p w14:paraId="73128540" w14:textId="77777777" w:rsidR="005044EC" w:rsidRPr="005044EC" w:rsidRDefault="005044EC" w:rsidP="005044EC">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044EC">
              <w:rPr>
                <w:rFonts w:eastAsia="Times New Roman" w:cstheme="minorHAnsi"/>
              </w:rPr>
              <w:t>Intraclast spiculitic mudstone</w:t>
            </w:r>
          </w:p>
        </w:tc>
        <w:tc>
          <w:tcPr>
            <w:tcW w:w="1530" w:type="dxa"/>
            <w:noWrap/>
            <w:vAlign w:val="center"/>
            <w:hideMark/>
          </w:tcPr>
          <w:p w14:paraId="288ECD68" w14:textId="77777777" w:rsidR="005044EC" w:rsidRPr="005044EC" w:rsidRDefault="005044EC" w:rsidP="005044EC">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044EC">
              <w:rPr>
                <w:rFonts w:eastAsia="Times New Roman" w:cstheme="minorHAnsi"/>
              </w:rPr>
              <w:t>not used</w:t>
            </w:r>
          </w:p>
        </w:tc>
        <w:tc>
          <w:tcPr>
            <w:tcW w:w="990" w:type="dxa"/>
            <w:noWrap/>
            <w:vAlign w:val="center"/>
            <w:hideMark/>
          </w:tcPr>
          <w:p w14:paraId="096ACAA7" w14:textId="77777777" w:rsidR="005044EC" w:rsidRPr="005044EC" w:rsidRDefault="005044EC" w:rsidP="005044EC">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044EC">
              <w:rPr>
                <w:rFonts w:eastAsia="Times New Roman" w:cstheme="minorHAnsi"/>
              </w:rPr>
              <w:t>not used</w:t>
            </w:r>
          </w:p>
        </w:tc>
      </w:tr>
      <w:tr w:rsidR="005044EC" w:rsidRPr="008B60E0" w14:paraId="3273B1FE" w14:textId="77777777" w:rsidTr="005044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0" w:type="dxa"/>
            <w:shd w:val="clear" w:color="auto" w:fill="D9D9D9" w:themeFill="background1" w:themeFillShade="D9"/>
            <w:noWrap/>
            <w:vAlign w:val="center"/>
            <w:hideMark/>
          </w:tcPr>
          <w:p w14:paraId="041E2074" w14:textId="77777777" w:rsidR="005044EC" w:rsidRPr="005044EC" w:rsidRDefault="005044EC" w:rsidP="005044EC">
            <w:pPr>
              <w:spacing w:line="240" w:lineRule="auto"/>
              <w:jc w:val="left"/>
              <w:rPr>
                <w:rFonts w:eastAsia="Times New Roman" w:cstheme="minorHAnsi"/>
              </w:rPr>
            </w:pPr>
            <w:r w:rsidRPr="005044EC">
              <w:rPr>
                <w:rFonts w:eastAsia="Times New Roman" w:cstheme="minorHAnsi"/>
              </w:rPr>
              <w:t>13</w:t>
            </w:r>
          </w:p>
        </w:tc>
        <w:tc>
          <w:tcPr>
            <w:tcW w:w="5400" w:type="dxa"/>
            <w:shd w:val="clear" w:color="auto" w:fill="D9D9D9" w:themeFill="background1" w:themeFillShade="D9"/>
            <w:noWrap/>
            <w:vAlign w:val="center"/>
            <w:hideMark/>
          </w:tcPr>
          <w:p w14:paraId="12CFAD9A" w14:textId="77777777" w:rsidR="005044EC" w:rsidRPr="005044EC" w:rsidRDefault="005044EC" w:rsidP="005044EC">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5044EC">
              <w:rPr>
                <w:rFonts w:eastAsia="Times New Roman" w:cstheme="minorHAnsi"/>
              </w:rPr>
              <w:t>Spiculitic mudstone-wackestone</w:t>
            </w:r>
          </w:p>
        </w:tc>
        <w:tc>
          <w:tcPr>
            <w:tcW w:w="1530" w:type="dxa"/>
            <w:vMerge w:val="restart"/>
            <w:shd w:val="clear" w:color="auto" w:fill="D9D9D9" w:themeFill="background1" w:themeFillShade="D9"/>
            <w:noWrap/>
            <w:vAlign w:val="center"/>
            <w:hideMark/>
          </w:tcPr>
          <w:p w14:paraId="4443ADE9" w14:textId="77777777" w:rsidR="005044EC" w:rsidRPr="005044EC" w:rsidRDefault="005044EC" w:rsidP="005044EC">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5044EC">
              <w:rPr>
                <w:rFonts w:eastAsia="Times New Roman" w:cstheme="minorHAnsi"/>
              </w:rPr>
              <w:t>3077</w:t>
            </w:r>
          </w:p>
        </w:tc>
        <w:tc>
          <w:tcPr>
            <w:tcW w:w="990" w:type="dxa"/>
            <w:vMerge w:val="restart"/>
            <w:shd w:val="clear" w:color="auto" w:fill="D9D9D9" w:themeFill="background1" w:themeFillShade="D9"/>
            <w:noWrap/>
            <w:vAlign w:val="center"/>
            <w:hideMark/>
          </w:tcPr>
          <w:p w14:paraId="737389A0" w14:textId="77777777" w:rsidR="005044EC" w:rsidRPr="005044EC" w:rsidRDefault="005044EC" w:rsidP="005044EC">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5044EC">
              <w:rPr>
                <w:rFonts w:eastAsia="Times New Roman" w:cstheme="minorHAnsi"/>
              </w:rPr>
              <w:t>79</w:t>
            </w:r>
          </w:p>
        </w:tc>
      </w:tr>
      <w:tr w:rsidR="005044EC" w:rsidRPr="008B60E0" w14:paraId="21A417CC" w14:textId="77777777" w:rsidTr="005044EC">
        <w:trPr>
          <w:trHeight w:val="300"/>
        </w:trPr>
        <w:tc>
          <w:tcPr>
            <w:cnfStyle w:val="001000000000" w:firstRow="0" w:lastRow="0" w:firstColumn="1" w:lastColumn="0" w:oddVBand="0" w:evenVBand="0" w:oddHBand="0" w:evenHBand="0" w:firstRowFirstColumn="0" w:firstRowLastColumn="0" w:lastRowFirstColumn="0" w:lastRowLastColumn="0"/>
            <w:tcW w:w="720" w:type="dxa"/>
            <w:shd w:val="clear" w:color="auto" w:fill="D9D9D9" w:themeFill="background1" w:themeFillShade="D9"/>
            <w:noWrap/>
            <w:vAlign w:val="center"/>
            <w:hideMark/>
          </w:tcPr>
          <w:p w14:paraId="1B802249" w14:textId="77777777" w:rsidR="005044EC" w:rsidRPr="005044EC" w:rsidRDefault="005044EC" w:rsidP="005044EC">
            <w:pPr>
              <w:spacing w:line="240" w:lineRule="auto"/>
              <w:jc w:val="left"/>
              <w:rPr>
                <w:rFonts w:eastAsia="Times New Roman" w:cstheme="minorHAnsi"/>
              </w:rPr>
            </w:pPr>
            <w:r w:rsidRPr="005044EC">
              <w:rPr>
                <w:rFonts w:eastAsia="Times New Roman" w:cstheme="minorHAnsi"/>
              </w:rPr>
              <w:t>14</w:t>
            </w:r>
          </w:p>
        </w:tc>
        <w:tc>
          <w:tcPr>
            <w:tcW w:w="5400" w:type="dxa"/>
            <w:shd w:val="clear" w:color="auto" w:fill="D9D9D9" w:themeFill="background1" w:themeFillShade="D9"/>
            <w:noWrap/>
            <w:vAlign w:val="center"/>
            <w:hideMark/>
          </w:tcPr>
          <w:p w14:paraId="1DB00929" w14:textId="77777777" w:rsidR="005044EC" w:rsidRPr="005044EC" w:rsidRDefault="005044EC" w:rsidP="005044EC">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044EC">
              <w:rPr>
                <w:rFonts w:eastAsia="Times New Roman" w:cstheme="minorHAnsi"/>
              </w:rPr>
              <w:t>Argillaceous spiculitic mudstone-wackestone</w:t>
            </w:r>
          </w:p>
        </w:tc>
        <w:tc>
          <w:tcPr>
            <w:tcW w:w="1530" w:type="dxa"/>
            <w:vMerge/>
            <w:shd w:val="clear" w:color="auto" w:fill="D9D9D9" w:themeFill="background1" w:themeFillShade="D9"/>
            <w:vAlign w:val="center"/>
            <w:hideMark/>
          </w:tcPr>
          <w:p w14:paraId="055C3E0B" w14:textId="77777777" w:rsidR="005044EC" w:rsidRPr="005044EC" w:rsidRDefault="005044EC" w:rsidP="005044EC">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rPr>
            </w:pPr>
          </w:p>
        </w:tc>
        <w:tc>
          <w:tcPr>
            <w:tcW w:w="990" w:type="dxa"/>
            <w:vMerge/>
            <w:shd w:val="clear" w:color="auto" w:fill="D9D9D9" w:themeFill="background1" w:themeFillShade="D9"/>
            <w:vAlign w:val="center"/>
            <w:hideMark/>
          </w:tcPr>
          <w:p w14:paraId="3EC4DECC" w14:textId="77777777" w:rsidR="005044EC" w:rsidRPr="005044EC" w:rsidRDefault="005044EC" w:rsidP="005044EC">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rPr>
            </w:pPr>
          </w:p>
        </w:tc>
      </w:tr>
      <w:tr w:rsidR="005044EC" w:rsidRPr="008B60E0" w14:paraId="74C169AB" w14:textId="77777777" w:rsidTr="005044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0" w:type="dxa"/>
            <w:noWrap/>
            <w:vAlign w:val="center"/>
            <w:hideMark/>
          </w:tcPr>
          <w:p w14:paraId="2F319EDD" w14:textId="77777777" w:rsidR="005044EC" w:rsidRPr="005044EC" w:rsidRDefault="005044EC" w:rsidP="005044EC">
            <w:pPr>
              <w:spacing w:line="240" w:lineRule="auto"/>
              <w:jc w:val="left"/>
              <w:rPr>
                <w:rFonts w:eastAsia="Times New Roman" w:cstheme="minorHAnsi"/>
              </w:rPr>
            </w:pPr>
            <w:r w:rsidRPr="005044EC">
              <w:rPr>
                <w:rFonts w:eastAsia="Times New Roman" w:cstheme="minorHAnsi"/>
              </w:rPr>
              <w:t>15</w:t>
            </w:r>
          </w:p>
        </w:tc>
        <w:tc>
          <w:tcPr>
            <w:tcW w:w="5400" w:type="dxa"/>
            <w:noWrap/>
            <w:vAlign w:val="center"/>
            <w:hideMark/>
          </w:tcPr>
          <w:p w14:paraId="1DA84F24" w14:textId="77777777" w:rsidR="005044EC" w:rsidRPr="005044EC" w:rsidRDefault="005044EC" w:rsidP="005044EC">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5044EC">
              <w:rPr>
                <w:rFonts w:eastAsia="Times New Roman" w:cstheme="minorHAnsi"/>
              </w:rPr>
              <w:t>Glauconitic sandstone</w:t>
            </w:r>
          </w:p>
        </w:tc>
        <w:tc>
          <w:tcPr>
            <w:tcW w:w="1530" w:type="dxa"/>
            <w:noWrap/>
            <w:vAlign w:val="center"/>
            <w:hideMark/>
          </w:tcPr>
          <w:p w14:paraId="5CF0DD29" w14:textId="77777777" w:rsidR="005044EC" w:rsidRPr="005044EC" w:rsidRDefault="005044EC" w:rsidP="005044EC">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5044EC">
              <w:rPr>
                <w:rFonts w:eastAsia="Times New Roman" w:cstheme="minorHAnsi"/>
              </w:rPr>
              <w:t>not used</w:t>
            </w:r>
          </w:p>
        </w:tc>
        <w:tc>
          <w:tcPr>
            <w:tcW w:w="990" w:type="dxa"/>
            <w:noWrap/>
            <w:vAlign w:val="center"/>
            <w:hideMark/>
          </w:tcPr>
          <w:p w14:paraId="1F6159DE" w14:textId="77777777" w:rsidR="005044EC" w:rsidRPr="005044EC" w:rsidRDefault="005044EC" w:rsidP="005044EC">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5044EC">
              <w:rPr>
                <w:rFonts w:eastAsia="Times New Roman" w:cstheme="minorHAnsi"/>
              </w:rPr>
              <w:t>not used</w:t>
            </w:r>
          </w:p>
        </w:tc>
      </w:tr>
      <w:tr w:rsidR="005044EC" w:rsidRPr="008B60E0" w14:paraId="3831CAB0" w14:textId="77777777" w:rsidTr="005044EC">
        <w:trPr>
          <w:trHeight w:val="300"/>
        </w:trPr>
        <w:tc>
          <w:tcPr>
            <w:cnfStyle w:val="001000000000" w:firstRow="0" w:lastRow="0" w:firstColumn="1" w:lastColumn="0" w:oddVBand="0" w:evenVBand="0" w:oddHBand="0" w:evenHBand="0" w:firstRowFirstColumn="0" w:firstRowLastColumn="0" w:lastRowFirstColumn="0" w:lastRowLastColumn="0"/>
            <w:tcW w:w="720" w:type="dxa"/>
            <w:shd w:val="clear" w:color="auto" w:fill="D9D9D9" w:themeFill="background1" w:themeFillShade="D9"/>
            <w:noWrap/>
            <w:vAlign w:val="center"/>
            <w:hideMark/>
          </w:tcPr>
          <w:p w14:paraId="3AFFC506" w14:textId="77777777" w:rsidR="005044EC" w:rsidRPr="005044EC" w:rsidRDefault="005044EC" w:rsidP="005044EC">
            <w:pPr>
              <w:spacing w:line="240" w:lineRule="auto"/>
              <w:jc w:val="left"/>
              <w:rPr>
                <w:rFonts w:eastAsia="Times New Roman" w:cstheme="minorHAnsi"/>
              </w:rPr>
            </w:pPr>
            <w:r w:rsidRPr="005044EC">
              <w:rPr>
                <w:rFonts w:eastAsia="Times New Roman" w:cstheme="minorHAnsi"/>
              </w:rPr>
              <w:t>16</w:t>
            </w:r>
          </w:p>
        </w:tc>
        <w:tc>
          <w:tcPr>
            <w:tcW w:w="5400" w:type="dxa"/>
            <w:shd w:val="clear" w:color="auto" w:fill="D9D9D9" w:themeFill="background1" w:themeFillShade="D9"/>
            <w:noWrap/>
            <w:vAlign w:val="center"/>
            <w:hideMark/>
          </w:tcPr>
          <w:p w14:paraId="0136536C" w14:textId="77777777" w:rsidR="005044EC" w:rsidRPr="005044EC" w:rsidRDefault="005044EC" w:rsidP="005044EC">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044EC">
              <w:rPr>
                <w:rFonts w:eastAsia="Times New Roman" w:cstheme="minorHAnsi"/>
              </w:rPr>
              <w:t>Shale</w:t>
            </w:r>
          </w:p>
        </w:tc>
        <w:tc>
          <w:tcPr>
            <w:tcW w:w="1530" w:type="dxa"/>
            <w:vMerge w:val="restart"/>
            <w:shd w:val="clear" w:color="auto" w:fill="D9D9D9" w:themeFill="background1" w:themeFillShade="D9"/>
            <w:noWrap/>
            <w:vAlign w:val="center"/>
            <w:hideMark/>
          </w:tcPr>
          <w:p w14:paraId="1C2AFA5A" w14:textId="77777777" w:rsidR="005044EC" w:rsidRPr="005044EC" w:rsidRDefault="005044EC" w:rsidP="005044EC">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044EC">
              <w:rPr>
                <w:rFonts w:eastAsia="Times New Roman" w:cstheme="minorHAnsi"/>
              </w:rPr>
              <w:t>789</w:t>
            </w:r>
          </w:p>
        </w:tc>
        <w:tc>
          <w:tcPr>
            <w:tcW w:w="990" w:type="dxa"/>
            <w:vMerge w:val="restart"/>
            <w:shd w:val="clear" w:color="auto" w:fill="D9D9D9" w:themeFill="background1" w:themeFillShade="D9"/>
            <w:noWrap/>
            <w:vAlign w:val="center"/>
            <w:hideMark/>
          </w:tcPr>
          <w:p w14:paraId="37D3174E" w14:textId="77777777" w:rsidR="005044EC" w:rsidRPr="005044EC" w:rsidRDefault="005044EC" w:rsidP="005044EC">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044EC">
              <w:rPr>
                <w:rFonts w:eastAsia="Times New Roman" w:cstheme="minorHAnsi"/>
              </w:rPr>
              <w:t>17</w:t>
            </w:r>
          </w:p>
        </w:tc>
      </w:tr>
      <w:tr w:rsidR="005044EC" w:rsidRPr="008B60E0" w14:paraId="3CEA5C8E" w14:textId="77777777" w:rsidTr="005044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20" w:type="dxa"/>
            <w:shd w:val="clear" w:color="auto" w:fill="D9D9D9" w:themeFill="background1" w:themeFillShade="D9"/>
            <w:noWrap/>
            <w:vAlign w:val="center"/>
            <w:hideMark/>
          </w:tcPr>
          <w:p w14:paraId="69399EB2" w14:textId="77777777" w:rsidR="005044EC" w:rsidRPr="005044EC" w:rsidRDefault="005044EC" w:rsidP="005044EC">
            <w:pPr>
              <w:spacing w:line="240" w:lineRule="auto"/>
              <w:jc w:val="left"/>
              <w:rPr>
                <w:rFonts w:eastAsia="Times New Roman" w:cstheme="minorHAnsi"/>
              </w:rPr>
            </w:pPr>
            <w:r w:rsidRPr="005044EC">
              <w:rPr>
                <w:rFonts w:eastAsia="Times New Roman" w:cstheme="minorHAnsi"/>
              </w:rPr>
              <w:t>17</w:t>
            </w:r>
          </w:p>
        </w:tc>
        <w:tc>
          <w:tcPr>
            <w:tcW w:w="5400" w:type="dxa"/>
            <w:shd w:val="clear" w:color="auto" w:fill="D9D9D9" w:themeFill="background1" w:themeFillShade="D9"/>
            <w:noWrap/>
            <w:vAlign w:val="center"/>
            <w:hideMark/>
          </w:tcPr>
          <w:p w14:paraId="628A0DEB" w14:textId="77777777" w:rsidR="005044EC" w:rsidRPr="005044EC" w:rsidRDefault="005044EC" w:rsidP="005044EC">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5044EC">
              <w:rPr>
                <w:rFonts w:eastAsia="Times New Roman" w:cstheme="minorHAnsi"/>
              </w:rPr>
              <w:t>Shaly claystone</w:t>
            </w:r>
          </w:p>
        </w:tc>
        <w:tc>
          <w:tcPr>
            <w:tcW w:w="1530" w:type="dxa"/>
            <w:vMerge/>
            <w:shd w:val="clear" w:color="auto" w:fill="D9D9D9" w:themeFill="background1" w:themeFillShade="D9"/>
            <w:vAlign w:val="center"/>
            <w:hideMark/>
          </w:tcPr>
          <w:p w14:paraId="6544E8DB" w14:textId="77777777" w:rsidR="005044EC" w:rsidRPr="005044EC" w:rsidRDefault="005044EC" w:rsidP="005044EC">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rPr>
            </w:pPr>
          </w:p>
        </w:tc>
        <w:tc>
          <w:tcPr>
            <w:tcW w:w="990" w:type="dxa"/>
            <w:vMerge/>
            <w:shd w:val="clear" w:color="auto" w:fill="D9D9D9" w:themeFill="background1" w:themeFillShade="D9"/>
            <w:vAlign w:val="center"/>
            <w:hideMark/>
          </w:tcPr>
          <w:p w14:paraId="1FA5F666" w14:textId="77777777" w:rsidR="005044EC" w:rsidRPr="005044EC" w:rsidRDefault="005044EC" w:rsidP="005044EC">
            <w:pPr>
              <w:spacing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rPr>
            </w:pPr>
          </w:p>
        </w:tc>
      </w:tr>
      <w:tr w:rsidR="005044EC" w:rsidRPr="008B60E0" w14:paraId="2E0BA6B2" w14:textId="77777777" w:rsidTr="005044EC">
        <w:trPr>
          <w:trHeight w:val="300"/>
        </w:trPr>
        <w:tc>
          <w:tcPr>
            <w:cnfStyle w:val="001000000000" w:firstRow="0" w:lastRow="0" w:firstColumn="1" w:lastColumn="0" w:oddVBand="0" w:evenVBand="0" w:oddHBand="0" w:evenHBand="0" w:firstRowFirstColumn="0" w:firstRowLastColumn="0" w:lastRowFirstColumn="0" w:lastRowLastColumn="0"/>
            <w:tcW w:w="6120" w:type="dxa"/>
            <w:gridSpan w:val="2"/>
            <w:tcBorders>
              <w:right w:val="none" w:sz="0" w:space="0" w:color="auto"/>
            </w:tcBorders>
            <w:noWrap/>
            <w:vAlign w:val="center"/>
            <w:hideMark/>
          </w:tcPr>
          <w:p w14:paraId="05ED8197" w14:textId="77777777" w:rsidR="005044EC" w:rsidRPr="005044EC" w:rsidRDefault="005044EC" w:rsidP="005044EC">
            <w:pPr>
              <w:spacing w:line="240" w:lineRule="auto"/>
              <w:jc w:val="left"/>
              <w:rPr>
                <w:rFonts w:eastAsia="Times New Roman" w:cstheme="minorHAnsi"/>
              </w:rPr>
            </w:pPr>
            <w:r w:rsidRPr="005044EC">
              <w:rPr>
                <w:rFonts w:eastAsia="Times New Roman" w:cstheme="minorHAnsi"/>
              </w:rPr>
              <w:t>Total number of images in each set</w:t>
            </w:r>
          </w:p>
        </w:tc>
        <w:tc>
          <w:tcPr>
            <w:tcW w:w="1530" w:type="dxa"/>
            <w:tcBorders>
              <w:left w:val="nil"/>
            </w:tcBorders>
            <w:noWrap/>
            <w:vAlign w:val="center"/>
            <w:hideMark/>
          </w:tcPr>
          <w:p w14:paraId="039134B5" w14:textId="77777777" w:rsidR="005044EC" w:rsidRPr="005044EC" w:rsidRDefault="005044EC" w:rsidP="005044EC">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044EC">
              <w:rPr>
                <w:rFonts w:eastAsia="Times New Roman" w:cstheme="minorHAnsi"/>
              </w:rPr>
              <w:t>6888</w:t>
            </w:r>
          </w:p>
        </w:tc>
        <w:tc>
          <w:tcPr>
            <w:tcW w:w="990" w:type="dxa"/>
            <w:noWrap/>
            <w:vAlign w:val="center"/>
            <w:hideMark/>
          </w:tcPr>
          <w:p w14:paraId="749FB5BA" w14:textId="77777777" w:rsidR="005044EC" w:rsidRPr="005044EC" w:rsidRDefault="005044EC" w:rsidP="005044EC">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5044EC">
              <w:rPr>
                <w:rFonts w:eastAsia="Times New Roman" w:cstheme="minorHAnsi"/>
              </w:rPr>
              <w:t>151</w:t>
            </w:r>
          </w:p>
        </w:tc>
      </w:tr>
    </w:tbl>
    <w:p w14:paraId="1006B38A" w14:textId="77777777" w:rsidR="005044EC" w:rsidRPr="008B60E0" w:rsidRDefault="005044EC" w:rsidP="00DC3A87">
      <w:pPr>
        <w:spacing w:line="240" w:lineRule="auto"/>
        <w:rPr>
          <w:rFonts w:ascii="Times New Roman" w:hAnsi="Times New Roman"/>
        </w:rPr>
      </w:pPr>
      <w:bookmarkStart w:id="99" w:name="_Ref531958861"/>
      <w:bookmarkStart w:id="100" w:name="_Toc23441033"/>
      <w:bookmarkStart w:id="101" w:name="_Toc26534539"/>
      <w:r w:rsidRPr="008B60E0">
        <w:rPr>
          <w:rFonts w:ascii="Times New Roman" w:hAnsi="Times New Roman"/>
        </w:rPr>
        <w:t xml:space="preserve">Table </w:t>
      </w:r>
      <w:r w:rsidRPr="008B60E0">
        <w:rPr>
          <w:rFonts w:ascii="Times New Roman" w:hAnsi="Times New Roman"/>
          <w:noProof/>
        </w:rPr>
        <w:fldChar w:fldCharType="begin"/>
      </w:r>
      <w:r w:rsidRPr="008B60E0">
        <w:rPr>
          <w:rFonts w:ascii="Times New Roman" w:hAnsi="Times New Roman"/>
          <w:noProof/>
        </w:rPr>
        <w:instrText xml:space="preserve"> SEQ Table \* ARABIC </w:instrText>
      </w:r>
      <w:r w:rsidRPr="008B60E0">
        <w:rPr>
          <w:rFonts w:ascii="Times New Roman" w:hAnsi="Times New Roman"/>
          <w:noProof/>
        </w:rPr>
        <w:fldChar w:fldCharType="separate"/>
      </w:r>
      <w:r w:rsidR="001C535D">
        <w:rPr>
          <w:rFonts w:ascii="Times New Roman" w:hAnsi="Times New Roman"/>
          <w:noProof/>
        </w:rPr>
        <w:t>2</w:t>
      </w:r>
      <w:r w:rsidRPr="008B60E0">
        <w:rPr>
          <w:rFonts w:ascii="Times New Roman" w:hAnsi="Times New Roman"/>
          <w:noProof/>
        </w:rPr>
        <w:fldChar w:fldCharType="end"/>
      </w:r>
      <w:bookmarkEnd w:id="99"/>
      <w:r w:rsidRPr="008B60E0">
        <w:rPr>
          <w:rFonts w:ascii="Times New Roman" w:hAnsi="Times New Roman"/>
        </w:rPr>
        <w:t xml:space="preserve">: Class number assigned to each lithofacies in the core used in this study. Highlighted classes 13-14 and 16-17 exhibited similar lithology and appearance so combined to into two classes instead of four. During training, the training set data is further split: 10% are randomly selected to be part of a validation set and 5% are randomly assigned as training-test set. </w:t>
      </w:r>
      <w:r>
        <w:rPr>
          <w:rFonts w:ascii="Times New Roman" w:hAnsi="Times New Roman"/>
        </w:rPr>
        <w:t xml:space="preserve">The proportion used for validation and test splitting are commonly dependent on the number of samples available and the type of machine learning model being trained. CNN models usually improve with more examples; therefore, we selected a smaller percentage to be part of the validation and test sets. </w:t>
      </w:r>
      <w:r w:rsidRPr="008B60E0">
        <w:rPr>
          <w:rFonts w:ascii="Times New Roman" w:hAnsi="Times New Roman"/>
        </w:rPr>
        <w:t xml:space="preserve">Asterisks (*) indicate classes that were augmented using horizontally flipping the images. The last column of this table (Test set) comprises the selected images described in </w:t>
      </w:r>
      <w:r w:rsidRPr="008B60E0">
        <w:rPr>
          <w:rFonts w:ascii="Times New Roman" w:hAnsi="Times New Roman"/>
        </w:rPr>
        <w:fldChar w:fldCharType="begin"/>
      </w:r>
      <w:r w:rsidRPr="008B60E0">
        <w:rPr>
          <w:rFonts w:ascii="Times New Roman" w:hAnsi="Times New Roman"/>
        </w:rPr>
        <w:instrText xml:space="preserve"> REF _Ref530994014 \h  \* MERGEFORMAT </w:instrText>
      </w:r>
      <w:r w:rsidRPr="008B60E0">
        <w:rPr>
          <w:rFonts w:ascii="Times New Roman" w:hAnsi="Times New Roman"/>
        </w:rPr>
      </w:r>
      <w:r w:rsidRPr="008B60E0">
        <w:rPr>
          <w:rFonts w:ascii="Times New Roman" w:hAnsi="Times New Roman"/>
        </w:rPr>
        <w:fldChar w:fldCharType="separate"/>
      </w:r>
      <w:r w:rsidR="001C535D" w:rsidRPr="008B60E0">
        <w:rPr>
          <w:rFonts w:ascii="Times New Roman" w:hAnsi="Times New Roman"/>
        </w:rPr>
        <w:t xml:space="preserve">Figure </w:t>
      </w:r>
      <w:r w:rsidR="001C535D">
        <w:rPr>
          <w:rFonts w:ascii="Times New Roman" w:hAnsi="Times New Roman"/>
          <w:noProof/>
        </w:rPr>
        <w:t>3</w:t>
      </w:r>
      <w:r w:rsidRPr="008B60E0">
        <w:rPr>
          <w:rFonts w:ascii="Times New Roman" w:hAnsi="Times New Roman"/>
        </w:rPr>
        <w:fldChar w:fldCharType="end"/>
      </w:r>
      <w:r w:rsidRPr="008B60E0">
        <w:rPr>
          <w:rFonts w:ascii="Times New Roman" w:hAnsi="Times New Roman"/>
        </w:rPr>
        <w:t xml:space="preserve"> and is the test set used for further analysis in this paper. Classes with less than 30 original images were not used in this study (Modified from  </w:t>
      </w:r>
      <w:r w:rsidRPr="008B60E0">
        <w:rPr>
          <w:rFonts w:ascii="Times New Roman" w:hAnsi="Times New Roman"/>
        </w:rPr>
        <w:fldChar w:fldCharType="begin" w:fldLock="1"/>
      </w:r>
      <w:r w:rsidRPr="008B60E0">
        <w:rPr>
          <w:rFonts w:ascii="Times New Roman" w:hAnsi="Times New Roman"/>
        </w:rPr>
        <w:instrText>ADDIN CSL_CITATION {"citationItems":[{"id":"ITEM-1","itemData":{"DOI":"10.1190/int-2017-0204.1","ISSN":"2324-8858","abstract":"This study shows how stratigraphic and lithofacies control pore structures in the Mississippian limestone and chert reservoir of north-central Oklahoma. There are 17 lithofacies and 29 high-frequency cycles documented in the Mississippian interval of this study. The high-frequency cycles have thickness ranging from 1-100 ft (0.3-30.5 m) and are mainly asymmetric regressive phases. The pore characteristics, measured through digital-image analysis of thin-sections photomicrographs (N&gt;3,100), exhibit unique correlations with core porosity, permeability, and lithofacies within a sequence-stratigraphic framework. There are five fundamental correlations observed. First, porosity from digital-image analysis (DIA) and laboratory core measurements has a strong positive relationship (R2 = 0.94). However, some values from DIA porosity yield relatively higher values, specifically in spiculitic mudstone-wackestones and argillaceous spiculitic mudstone-wackestones. The difference is hypothesized due to the present of i...","author":[{"dropping-particle":"","family":"Suriamin","given":"F.","non-dropping-particle":"","parse-names":false,"suffix":""},{"dropping-particle":"","family":"Pranter","given":"Matthew J.","non-dropping-particle":"","parse-names":false,"suffix":""}],"container-title":"Interpretation","id":"ITEM-1","issued":{"date-parts":[["2018","7","25"]]},"page":"1-66","publisher":" Society of Exploration Geophysicists and American Association of Petroleum Geologists ","title":"Stratigraphic and lithofacies control on pore characteristics of Mississippian limestone and chert reservoirs of north-central Oklahoma","type":"article-journal"},"uris":["http://www.mendeley.com/documents/?uuid=5cae5496-2325-38a6-bfe4-969272bd6d50"]}],"mendeley":{"formattedCitation":"(Suriamin and Pranter, 2018)","manualFormatting":"Suriamin and Pranter, 2018)","plainTextFormattedCitation":"(Suriamin and Pranter, 2018)","previouslyFormattedCitation":"(Suriamin and Pranter, 2018)"},"properties":{"noteIndex":0},"schema":"https://github.com/citation-style-language/schema/raw/master/csl-citation.json"}</w:instrText>
      </w:r>
      <w:r w:rsidRPr="008B60E0">
        <w:rPr>
          <w:rFonts w:ascii="Times New Roman" w:hAnsi="Times New Roman"/>
        </w:rPr>
        <w:fldChar w:fldCharType="separate"/>
      </w:r>
      <w:r w:rsidRPr="008B60E0">
        <w:rPr>
          <w:rFonts w:ascii="Times New Roman" w:hAnsi="Times New Roman"/>
          <w:noProof/>
        </w:rPr>
        <w:t>Suriamin and Pranter, 2018)</w:t>
      </w:r>
      <w:r w:rsidRPr="008B60E0">
        <w:rPr>
          <w:rFonts w:ascii="Times New Roman" w:hAnsi="Times New Roman"/>
        </w:rPr>
        <w:fldChar w:fldCharType="end"/>
      </w:r>
      <w:r w:rsidRPr="008B60E0">
        <w:rPr>
          <w:rFonts w:ascii="Times New Roman" w:hAnsi="Times New Roman"/>
        </w:rPr>
        <w:t>.</w:t>
      </w:r>
      <w:bookmarkEnd w:id="100"/>
      <w:bookmarkEnd w:id="101"/>
    </w:p>
    <w:p w14:paraId="6C226370" w14:textId="77777777" w:rsidR="005044EC" w:rsidRPr="008B60E0" w:rsidRDefault="005044EC" w:rsidP="005044EC">
      <w:pPr>
        <w:pStyle w:val="SEGBodyText"/>
        <w:keepNext/>
        <w:jc w:val="right"/>
        <w:rPr>
          <w:rFonts w:ascii="Times New Roman" w:hAnsi="Times New Roman"/>
        </w:rPr>
      </w:pPr>
    </w:p>
    <w:p w14:paraId="7E4DA344" w14:textId="77777777" w:rsidR="005044EC" w:rsidRPr="008B60E0" w:rsidRDefault="005044EC" w:rsidP="005044EC">
      <w:pPr>
        <w:pStyle w:val="SEGBodyText"/>
        <w:keepNext/>
        <w:ind w:firstLine="0"/>
        <w:rPr>
          <w:rFonts w:ascii="Times New Roman" w:hAnsi="Times New Roman"/>
        </w:rPr>
      </w:pPr>
      <w:r>
        <w:rPr>
          <w:noProof/>
        </w:rPr>
        <w:drawing>
          <wp:inline distT="0" distB="0" distL="0" distR="0" wp14:anchorId="0A65B05B" wp14:editId="7A2B43FC">
            <wp:extent cx="5311471" cy="2854916"/>
            <wp:effectExtent l="0" t="0" r="381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14811" cy="2856711"/>
                    </a:xfrm>
                    <a:prstGeom prst="rect">
                      <a:avLst/>
                    </a:prstGeom>
                    <a:noFill/>
                    <a:ln>
                      <a:noFill/>
                    </a:ln>
                  </pic:spPr>
                </pic:pic>
              </a:graphicData>
            </a:graphic>
          </wp:inline>
        </w:drawing>
      </w:r>
    </w:p>
    <w:p w14:paraId="037D50FB" w14:textId="77777777" w:rsidR="005044EC" w:rsidRPr="008B60E0" w:rsidRDefault="005044EC" w:rsidP="00607DF1">
      <w:pPr>
        <w:pStyle w:val="Caption"/>
        <w:rPr>
          <w:i/>
        </w:rPr>
      </w:pPr>
      <w:bookmarkStart w:id="102" w:name="_Ref530994014"/>
      <w:bookmarkStart w:id="103" w:name="_Toc531818608"/>
      <w:bookmarkStart w:id="104" w:name="_Toc26534503"/>
      <w:r w:rsidRPr="008B60E0">
        <w:t xml:space="preserve">Figure </w:t>
      </w:r>
      <w:r w:rsidRPr="008B60E0">
        <w:rPr>
          <w:i/>
          <w:noProof/>
        </w:rPr>
        <w:fldChar w:fldCharType="begin"/>
      </w:r>
      <w:r w:rsidRPr="008B60E0">
        <w:rPr>
          <w:noProof/>
        </w:rPr>
        <w:instrText xml:space="preserve"> SEQ Figure \* ARABIC </w:instrText>
      </w:r>
      <w:r w:rsidRPr="008B60E0">
        <w:rPr>
          <w:i/>
          <w:noProof/>
        </w:rPr>
        <w:fldChar w:fldCharType="separate"/>
      </w:r>
      <w:r w:rsidR="00A82C54">
        <w:rPr>
          <w:noProof/>
        </w:rPr>
        <w:t>3</w:t>
      </w:r>
      <w:r w:rsidRPr="008B60E0">
        <w:rPr>
          <w:i/>
          <w:noProof/>
        </w:rPr>
        <w:fldChar w:fldCharType="end"/>
      </w:r>
      <w:bookmarkEnd w:id="102"/>
      <w:r w:rsidRPr="008B60E0">
        <w:t xml:space="preserve">: Figure showing image augmentation of a photographed core the core using a sliding window of cropped image. This approach provides the CNN with a greater amount of training data. The blue rectangle shows images that were never used during training (the test data). </w:t>
      </w:r>
      <w:r>
        <w:t xml:space="preserve">The cropped images crossed were discarded from the datasets (damaged rocks). </w:t>
      </w:r>
      <w:r w:rsidRPr="008B60E0">
        <w:t>The green arrow indicates a random image that could have been selected to be part of the test set. When an image like this is selected, the overlapping neighboring images are also removed from the training set. The separation of test data was the same for all classes in this project.</w:t>
      </w:r>
      <w:bookmarkEnd w:id="103"/>
      <w:bookmarkEnd w:id="104"/>
    </w:p>
    <w:p w14:paraId="79986899" w14:textId="77777777" w:rsidR="005044EC" w:rsidRPr="008B60E0" w:rsidRDefault="005044EC" w:rsidP="005044EC">
      <w:pPr>
        <w:pStyle w:val="SEGBodyText"/>
        <w:rPr>
          <w:rFonts w:ascii="Times New Roman" w:hAnsi="Times New Roman"/>
        </w:rPr>
      </w:pPr>
    </w:p>
    <w:p w14:paraId="66F1B75B" w14:textId="77777777" w:rsidR="005044EC" w:rsidRPr="008B60E0" w:rsidRDefault="005044EC" w:rsidP="004F4884">
      <w:pPr>
        <w:pStyle w:val="Heading2"/>
      </w:pPr>
      <w:bookmarkStart w:id="105" w:name="_Toc26534593"/>
      <w:r w:rsidRPr="008B60E0">
        <w:t>Transfer Learning</w:t>
      </w:r>
      <w:bookmarkEnd w:id="105"/>
      <w:r w:rsidRPr="008B60E0">
        <w:t xml:space="preserve"> </w:t>
      </w:r>
    </w:p>
    <w:p w14:paraId="62140EF9" w14:textId="77777777" w:rsidR="005044EC" w:rsidRPr="008B60E0" w:rsidRDefault="005044EC" w:rsidP="005044EC">
      <w:pPr>
        <w:pStyle w:val="SEGBodyText"/>
        <w:rPr>
          <w:rFonts w:ascii="Times New Roman" w:hAnsi="Times New Roman"/>
        </w:rPr>
      </w:pPr>
      <w:r w:rsidRPr="008B60E0">
        <w:rPr>
          <w:rFonts w:ascii="Times New Roman" w:hAnsi="Times New Roman"/>
        </w:rPr>
        <w:t xml:space="preserve">Transfer learning is a powerful technique that can be used to address the shortage of sufficient domain-specific training data </w:t>
      </w:r>
      <w:r w:rsidRPr="008B60E0">
        <w:rPr>
          <w:rFonts w:ascii="Times New Roman" w:hAnsi="Times New Roman"/>
        </w:rPr>
        <w:fldChar w:fldCharType="begin" w:fldLock="1"/>
      </w:r>
      <w:r w:rsidRPr="008B60E0">
        <w:rPr>
          <w:rFonts w:ascii="Times New Roman" w:hAnsi="Times New Roman"/>
        </w:rPr>
        <w:instrText>ADDIN CSL_CITATION {"citationItems":[{"id":"ITEM-1","itemData":{"DOI":"10.1186/s12862-017-1014-z","ISSN":"1471-2148","abstract":"Hundreds of herbarium collections have accumulated a valuable heritage and knowledge of plants over several centuries. Recent initiatives started ambitious preservation plans to digitize this information and make it available to botanists and the general public through web portals. However, thousands of sheets are still unidentified at the species level while numerous sheets should be reviewed and updated following more recent taxonomic knowledge. These annotations and revisions require an unrealistic amount of work for botanists to carry out in a reasonable time. Computer vision and machine learning approaches applied to herbarium sheets are promising but are still not well studied compared to automated species identification from leaf scans or pictures of plants in the field. In this work, we propose to study and evaluate the accuracy with which herbarium images can be potentially exploited for species identification with deep learning technology. In addition, we propose to study if the combination of herbarium sheets with photos of plants in the field is relevant in terms of accuracy, and finally, we explore if herbarium images from one region that has one specific flora can be used to do transfer learning to another region with other species; for example, on a region under-represented in terms of collected data. This is, to our knowledge, the first study that uses deep learning to analyze a big dataset with thousands of species from herbaria. Results show the potential of Deep Learning on herbarium species identification, particularly by training and testing across different datasets from different herbaria. This could potentially lead to the creation of a semi, or even fully automated system to help taxonomists and experts with their annotation, classification, and revision works.","author":[{"dropping-particle":"","family":"Carranza-Rojas","given":"Jose","non-dropping-particle":"","parse-names":false,"suffix":""},{"dropping-particle":"","family":"Goeau","given":"Herve","non-dropping-particle":"","parse-names":false,"suffix":""},{"dropping-particle":"","family":"Bonnet","given":"Pierre","non-dropping-particle":"","parse-names":false,"suffix":""},{"dropping-particle":"","family":"Mata-Montero","given":"Erick","non-dropping-particle":"","parse-names":false,"suffix":""},{"dropping-particle":"","family":"Joly","given":"Alexis","non-dropping-particle":"","parse-names":false,"suffix":""}],"container-title":"BMC Evolutionary Biology","id":"ITEM-1","issue":"1","issued":{"date-parts":[["2017","12","11"]]},"page":"181","publisher":"BioMed Central","title":"Going deeper in the automated identification of Herbarium specimens","type":"article-journal","volume":"17"},"uris":["http://www.mendeley.com/documents/?uuid=cb983aa2-86e4-31b4-93fd-970edddbfe2e"]}],"mendeley":{"formattedCitation":"(Carranza-Rojas et al., 2017)","plainTextFormattedCitation":"(Carranza-Rojas et al., 2017)","previouslyFormattedCitation":"(Carranza-Rojas et al., 2017)"},"properties":{"noteIndex":0},"schema":"https://github.com/citation-style-language/schema/raw/master/csl-citation.json"}</w:instrText>
      </w:r>
      <w:r w:rsidRPr="008B60E0">
        <w:rPr>
          <w:rFonts w:ascii="Times New Roman" w:hAnsi="Times New Roman"/>
        </w:rPr>
        <w:fldChar w:fldCharType="separate"/>
      </w:r>
      <w:r w:rsidRPr="008B60E0">
        <w:rPr>
          <w:rFonts w:ascii="Times New Roman" w:hAnsi="Times New Roman"/>
          <w:noProof/>
        </w:rPr>
        <w:t>(Carranza-Rojas et al., 2017)</w:t>
      </w:r>
      <w:r w:rsidRPr="008B60E0">
        <w:rPr>
          <w:rFonts w:ascii="Times New Roman" w:hAnsi="Times New Roman"/>
        </w:rPr>
        <w:fldChar w:fldCharType="end"/>
      </w:r>
      <w:r w:rsidRPr="008B60E0">
        <w:rPr>
          <w:rFonts w:ascii="Times New Roman" w:hAnsi="Times New Roman"/>
        </w:rPr>
        <w:t xml:space="preserve">. In transfer learning, the learned parameters of a base model trained on a base dataset are </w:t>
      </w:r>
      <w:r w:rsidRPr="00DC3A87">
        <w:rPr>
          <w:rFonts w:ascii="Times New Roman" w:hAnsi="Times New Roman"/>
        </w:rPr>
        <w:t xml:space="preserve">applied to  a different task </w:t>
      </w:r>
      <w:r w:rsidRPr="00DC3A87">
        <w:rPr>
          <w:rFonts w:ascii="Times New Roman" w:hAnsi="Times New Roman"/>
        </w:rPr>
        <w:fldChar w:fldCharType="begin" w:fldLock="1"/>
      </w:r>
      <w:r w:rsidRPr="00DC3A87">
        <w:rPr>
          <w:rFonts w:ascii="Times New Roman" w:hAnsi="Times New Roman"/>
        </w:rPr>
        <w:instrText>ADDIN CSL_CITATION {"citationItems":[{"id":"ITEM-1","itemData":{"abstract":"Many deep neural networks trained on natural images exhibit a curious phenomenon in common: on the first layer they learn features similar to Gabor filters and color blobs. Such first-layer features appear not to be specific to a particular dataset or task, but general in that they are applicable to many datasets and tasks. Features must eventually transition from general to specific by the last layer of the network, but this transition has not been studied extensively. In this paper we experimentally quantify the generality versus specificity of neurons in each layer of a deep convolutional neural network and report a few surprising results. Transferability is negatively affected by two distinct issues: (1) the specialization of higher layer neurons to their original task at the expense of performance on the target task, which was expected, and (2) optimization difficulties related to splitting networks between co-adapted neurons, which was not expected. In an example network trained on ImageNet, we demonstrate that either of these two issues may dominate, depending on whether features are transferred from the bottom, middle, or top of the network. We also document that the transferability of features decreases as the distance between the base task and target task increases, but that transferring features even from distant tasks can be better than using random features. A final surprising result is that initializing a network with transferred features from almost any number of layers can produce a boost to generalization that lingers even after fine-tuning to the target dataset.","author":[{"dropping-particle":"","family":"Yosinski","given":"Jason","non-dropping-particle":"","parse-names":false,"suffix":""},{"dropping-particle":"","family":"Clune","given":"Jeff","non-dropping-particle":"","parse-names":false,"suffix":""},{"dropping-particle":"","family":"Bengio","given":"Yoshua","non-dropping-particle":"","parse-names":false,"suffix":""},{"dropping-particle":"","family":"Lipson","given":"Hod","non-dropping-particle":"","parse-names":false,"suffix":""}],"container-title":"Advances in Neural Information Processing Systems","id":"ITEM-1","issued":{"date-parts":[["2014","11","6"]]},"page":"3320-3328","title":"How transferable are features in deep neural networks?","type":"article-journal","volume":"27"},"uris":["http://www.mendeley.com/documents/?uuid=803012bc-b88d-392a-8cbd-4f098fe2c123"]}],"mendeley":{"formattedCitation":"(Yosinski et al., 2014)","plainTextFormattedCitation":"(Yosinski et al., 2014)","previouslyFormattedCitation":"(Yosinski et al., 2014)"},"properties":{"noteIndex":0},"schema":"https://github.com/citation-style-language/schema/raw/master/csl-citation.json"}</w:instrText>
      </w:r>
      <w:r w:rsidRPr="00DC3A87">
        <w:rPr>
          <w:rFonts w:ascii="Times New Roman" w:hAnsi="Times New Roman"/>
        </w:rPr>
        <w:fldChar w:fldCharType="separate"/>
      </w:r>
      <w:r w:rsidRPr="00DC3A87">
        <w:rPr>
          <w:rFonts w:ascii="Times New Roman" w:hAnsi="Times New Roman"/>
          <w:noProof/>
        </w:rPr>
        <w:t>(Yosinski et al., 2014)</w:t>
      </w:r>
      <w:r w:rsidRPr="00DC3A87">
        <w:rPr>
          <w:rFonts w:ascii="Times New Roman" w:hAnsi="Times New Roman"/>
        </w:rPr>
        <w:fldChar w:fldCharType="end"/>
      </w:r>
      <w:r w:rsidRPr="00DC3A87">
        <w:rPr>
          <w:rFonts w:ascii="Times New Roman" w:hAnsi="Times New Roman"/>
        </w:rPr>
        <w:t>. In our application, we use  a CNN model trained to identify the images of the ImageNet challenge to classify lithofacies in core (</w:t>
      </w:r>
      <w:r w:rsidRPr="00DC3A87">
        <w:rPr>
          <w:rFonts w:ascii="Times New Roman" w:hAnsi="Times New Roman"/>
        </w:rPr>
        <w:fldChar w:fldCharType="begin"/>
      </w:r>
      <w:r w:rsidRPr="00DC3A87">
        <w:rPr>
          <w:rFonts w:ascii="Times New Roman" w:hAnsi="Times New Roman"/>
        </w:rPr>
        <w:instrText xml:space="preserve"> REF _Ref531002928 \h  \* MERGEFORMAT </w:instrText>
      </w:r>
      <w:r w:rsidRPr="00DC3A87">
        <w:rPr>
          <w:rFonts w:ascii="Times New Roman" w:hAnsi="Times New Roman"/>
        </w:rPr>
      </w:r>
      <w:r w:rsidRPr="00DC3A87">
        <w:rPr>
          <w:rFonts w:ascii="Times New Roman" w:hAnsi="Times New Roman"/>
        </w:rPr>
        <w:fldChar w:fldCharType="separate"/>
      </w:r>
      <w:r w:rsidR="001C535D" w:rsidRPr="00DC3A87">
        <w:rPr>
          <w:rFonts w:ascii="Times New Roman" w:hAnsi="Times New Roman"/>
        </w:rPr>
        <w:t xml:space="preserve">Figure </w:t>
      </w:r>
      <w:r w:rsidR="001C535D" w:rsidRPr="00DC3A87">
        <w:rPr>
          <w:rFonts w:ascii="Times New Roman" w:hAnsi="Times New Roman"/>
          <w:noProof/>
        </w:rPr>
        <w:t>4</w:t>
      </w:r>
      <w:r w:rsidRPr="00DC3A87">
        <w:rPr>
          <w:rFonts w:ascii="Times New Roman" w:hAnsi="Times New Roman"/>
        </w:rPr>
        <w:fldChar w:fldCharType="end"/>
      </w:r>
      <w:r w:rsidRPr="00DC3A87">
        <w:rPr>
          <w:rFonts w:ascii="Times New Roman" w:hAnsi="Times New Roman"/>
        </w:rPr>
        <w:t>). ImageNet is a dataset consisting of thousands of classes ranging from biological and household images to</w:t>
      </w:r>
      <w:r w:rsidRPr="008B60E0">
        <w:rPr>
          <w:rFonts w:ascii="Times New Roman" w:hAnsi="Times New Roman"/>
        </w:rPr>
        <w:t xml:space="preserve"> vehicles and bridges; to </w:t>
      </w:r>
      <w:r w:rsidRPr="008B60E0">
        <w:rPr>
          <w:rFonts w:ascii="Times New Roman" w:hAnsi="Times New Roman"/>
        </w:rPr>
        <w:lastRenderedPageBreak/>
        <w:t xml:space="preserve">our knowledge no rock or core images were included in its construction. Another advantage of using transfer learning is to reduce the training computation time by using the trained layers as feature extractors (Appendix A) and rather training only a new classification layer. Examples of transfer learning include Carranza-Rojas et al. (2017) for herbarium specimens, Esteva et al. (2017) for skin cancer classification, and Gomez Villa et al. (2017) for camera-trap images. </w:t>
      </w:r>
      <w:r w:rsidRPr="008B60E0">
        <w:rPr>
          <w:rFonts w:ascii="Times New Roman" w:hAnsi="Times New Roman"/>
        </w:rPr>
        <w:fldChar w:fldCharType="begin" w:fldLock="1"/>
      </w:r>
      <w:r w:rsidRPr="008B60E0">
        <w:rPr>
          <w:rFonts w:ascii="Times New Roman" w:hAnsi="Times New Roman"/>
        </w:rPr>
        <w:instrText>ADDIN CSL_CITATION {"citationItems":[{"id":"ITEM-1","itemData":{"DOI":"10.1109/TMI.2016.2535302","ISSN":"0278-0062","author":[{"dropping-particle":"","family":"Tajbakhsh","given":"N","non-dropping-particle":"","parse-names":false,"suffix":""},{"dropping-particle":"","family":"Shin","given":"J Y","non-dropping-particle":"","parse-names":false,"suffix":""},{"dropping-particle":"","family":"Gurudu","given":"S R","non-dropping-particle":"","parse-names":false,"suffix":""},{"dropping-particle":"","family":"Hurst","given":"R T","non-dropping-particle":"","parse-names":false,"suffix":""},{"dropping-particle":"","family":"Kendall","given":"C B","non-dropping-particle":"","parse-names":false,"suffix":""},{"dropping-particle":"","family":"Gotway","given":"M B","non-dropping-particle":"","parse-names":false,"suffix":""},{"dropping-particle":"","family":"Liang","given":"J","non-dropping-particle":"","parse-names":false,"suffix":""}],"container-title":"IEEE Transactions on Medical Imaging","id":"ITEM-1","issue":"5","issued":{"date-parts":[["2016","5"]]},"page":"1299-1312","title":"Convolutional Neural Networks for Medical Image Analysis: Full Training or Fine Tuning?","type":"article-journal","volume":"35"},"uris":["http://www.mendeley.com/documents/?uuid=c64876b4-48ab-46e8-9105-85ebf700feaf"]}],"mendeley":{"formattedCitation":"(Tajbakhsh et al., 2016)","manualFormatting":"Tajbakhsh et al.  (2016)","plainTextFormattedCitation":"(Tajbakhsh et al., 2016)","previouslyFormattedCitation":"(Tajbakhsh et al., 2016)"},"properties":{"noteIndex":0},"schema":"https://github.com/citation-style-language/schema/raw/master/csl-citation.json"}</w:instrText>
      </w:r>
      <w:r w:rsidRPr="008B60E0">
        <w:rPr>
          <w:rFonts w:ascii="Times New Roman" w:hAnsi="Times New Roman"/>
        </w:rPr>
        <w:fldChar w:fldCharType="separate"/>
      </w:r>
      <w:r w:rsidRPr="008B60E0">
        <w:rPr>
          <w:rFonts w:ascii="Times New Roman" w:hAnsi="Times New Roman"/>
          <w:noProof/>
        </w:rPr>
        <w:t>Tajbakhsh et al.  (2016)</w:t>
      </w:r>
      <w:r w:rsidRPr="008B60E0">
        <w:rPr>
          <w:rFonts w:ascii="Times New Roman" w:hAnsi="Times New Roman"/>
        </w:rPr>
        <w:fldChar w:fldCharType="end"/>
      </w:r>
      <w:r w:rsidRPr="008B60E0">
        <w:rPr>
          <w:rFonts w:ascii="Times New Roman" w:hAnsi="Times New Roman"/>
        </w:rPr>
        <w:t xml:space="preserve"> used different medical imaging applications and performed a comparison between CNNs trained from scratch with the pre-trained CNNs. The authors found that the using a pre-trained CNN frequently outperforms a CNN model trained from scratch especially when limited training data are available.</w:t>
      </w:r>
    </w:p>
    <w:p w14:paraId="368F5C65" w14:textId="77777777" w:rsidR="005044EC" w:rsidRPr="008B60E0" w:rsidRDefault="005044EC" w:rsidP="005044EC">
      <w:pPr>
        <w:pStyle w:val="SEGBodyText"/>
        <w:rPr>
          <w:rFonts w:ascii="Times New Roman" w:hAnsi="Times New Roman"/>
        </w:rPr>
      </w:pPr>
      <w:r w:rsidRPr="008B60E0">
        <w:rPr>
          <w:rFonts w:ascii="Times New Roman" w:hAnsi="Times New Roman"/>
        </w:rPr>
        <w:t xml:space="preserve">When CNNs are trained with natural images, the first layers of the deep neural network learn features that are useful to identify textures or colors. This behavior is quite common in CNN models; the analysis is reevaluated if the initial layers learn image properties other than color or texture. Because of this CNN characteristic, models with good performance trained on the ImageNet challenge (e.g. </w:t>
      </w:r>
      <w:r w:rsidRPr="008B60E0">
        <w:rPr>
          <w:rFonts w:ascii="Times New Roman" w:hAnsi="Times New Roman"/>
        </w:rPr>
        <w:fldChar w:fldCharType="begin" w:fldLock="1"/>
      </w:r>
      <w:r>
        <w:rPr>
          <w:rFonts w:ascii="Times New Roman" w:hAnsi="Times New Roman"/>
        </w:rPr>
        <w:instrText>ADDIN CSL_CITATION {"citationItems":[{"id":"ITEM-1","itemData":{"author":[{"dropping-particle":"","family":"Krizhevsky","given":"Alex","non-dropping-particle":"","parse-names":false,"suffix":""},{"dropping-particle":"","family":"Sutskever","given":"Ilya","non-dropping-particle":"","parse-names":false,"suffix":""},{"dropping-particle":"","family":"Hinton","given":"Geoffrey E","non-dropping-particle":"","parse-names":false,"suffix":""}],"collection-title":"NIPS'12","container-title":"Proceedings of the 25th International Conference on Neural Information Processing Systems - Volume 1","id":"ITEM-1","issued":{"date-parts":[["2012"]]},"page":"1097-1105","publisher":"Curran Associates Inc.","publisher-place":"USA","title":"ImageNet Classification with Deep Convolutional Neural Networks","type":"paper-conference"},"uris":["http://www.mendeley.com/documents/?uuid=d1bdbb5f-bb6d-464f-b23e-e9ad964cafa2"]},{"id":"ITEM-2","itemData":{"abstract":"In this work we investigate the effect of the convolutional network depth on its accuracy in the large-scale image recognition setting. Our main contribution is a thorough evaluation of networks of increasing depth using an architecture with very small (3x3) convolution filters, which shows that a significant improvement on the prior-art configurations can be achieved by pushing the depth to 16-19 weight layers. These findings were the basis of our ImageNet Challenge 2014 submission, where our team secured the first and the second places in the localisation and classification tracks respectively. We also show that our representations generalise well to other datasets, where they achieve state-of-the-art results. We have made our two best-performing ConvNet models publicly available to facilitate further research on the use of deep visual representations in computer vision.","author":[{"dropping-particle":"","family":"Simonyan","given":"Karen","non-dropping-particle":"","parse-names":false,"suffix":""},{"dropping-particle":"","family":"Zisserman","given":"Andrew","non-dropping-particle":"","parse-names":false,"suffix":""}],"container-title":"ArXiv e–prints","id":"ITEM-2","issued":{"date-parts":[["2014","9","4"]]},"title":"Very Deep Convolutional Networks for Large-Scale Image Recognition","type":"article-journal"},"uris":["http://www.mendeley.com/documents/?uuid=e8192c43-95e0-3fe8-8025-a4d202a93436"]},{"id":"ITEM-3","itemData":{"author":[{"dropping-particle":"","family":"Szegedy","given":"Christian","non-dropping-particle":"","parse-names":false,"suffix":""},{"dropping-particle":"","family":"Liu","given":"Wei","non-dropping-particle":"","parse-names":false,"suffix":""},{"dropping-particle":"","family":"Jia","given":"Yangqing","non-dropping-particle":"","parse-names":false,"suffix":""},{"dropping-particle":"","family":"Sermanet","given":"Pierre","non-dropping-particle":"","parse-names":false,"suffix":""},{"dropping-particle":"","family":"Reed","given":"Scott E","non-dropping-particle":"","parse-names":false,"suffix":""},{"dropping-particle":"","family":"Anguelov","given":"Dragomir","non-dropping-particle":"","parse-names":false,"suffix":""},{"dropping-particle":"","family":"Erhan","given":"Dumitru","non-dropping-particle":"","parse-names":false,"suffix":""},{"dropping-particle":"","family":"Vanhoucke","given":"Vincent","non-dropping-particle":"","parse-names":false,"suffix":""},{"dropping-particle":"","family":"Rabinovich","given":"Andrew","non-dropping-particle":"","parse-names":false,"suffix":""}],"container-title":"CoRR","id":"ITEM-3","issued":{"date-parts":[["2014"]]},"title":"Going Deeper with Convolutions","type":"article-journal","volume":"abs/1409.4"},"uris":["http://www.mendeley.com/documents/?uuid=68cc5b41-206a-44ff-a9a4-fbca1d0a6e37"]},{"id":"ITEM-4","itemData":{"abstract":"Convolutional networks are at the core of most state-of-the-art computer vision solutions for a wide variety of tasks. Since 2014 very deep convolutional networks started to become mainstream, yielding substantial gains in various benchmarks. Although increased model size and computational cost tend to translate to immediate quality gains for most tasks (as long as enough labeled data is provided for training), computational efficiency and low parameter count are still enabling factors for various use cases such as mobile vision and big-data scenarios. Here we explore ways to scale up networks in ways that aim at utilizing the added computation as efficiently as possible by suitably factorized convolutions and aggressive regularization. We benchmark our methods on the ILSVRC 2012 classification challenge validation set demonstrate substantial gains over the state of the art: 21.2% top-1 and 5.6% top-5 error for single frame evaluation using a network with a computational cost of 5 billion multiply-adds per inference and with using less than 25 million parameters. With an ensemble of 4 models and multi-crop evaluation, we report 3.5% top-5 error on the validation set (3.6% error on the test set) and 17.3% top-1 error on the validation set.","author":[{"dropping-particle":"","family":"Szegedy","given":"Christian","non-dropping-particle":"","parse-names":false,"suffix":""},{"dropping-particle":"","family":"Vanhoucke","given":"Vincent","non-dropping-particle":"","parse-names":false,"suffix":""},{"dropping-particle":"","family":"Ioffe","given":"Sergey","non-dropping-particle":"","parse-names":false,"suffix":""},{"dropping-particle":"","family":"Shlens","given":"Jonathon","non-dropping-particle":"","parse-names":false,"suffix":""},{"dropping-particle":"","family":"Wojna","given":"Zbigniew","non-dropping-particle":"","parse-names":false,"suffix":""}],"container-title":"CoRR","id":"ITEM-4","issued":{"date-parts":[["2015","12","1"]]},"title":"Rethinking the Inception Architecture for Computer Vision","type":"article-journal","volume":"abs/1512.0"},"uris":["http://www.mendeley.com/documents/?uuid=25784f6b-8556-3850-b942-4b92eefba7a6"]},{"id":"ITEM-5","itemData":{"ISBN":"978-3-319-46493-0","abstract":"Deep residual networks have emerged as a family of extremely deep architectures showing compelling accuracy and nice convergence behaviors. In this paper, we analyze the propagation formulations behind the residual building blocks, which suggest that the forward and backward signals can be directly propagated from one block to any other block, when using identity mappings as the skip connections and after-addition activation. A series of ablation experiments support the importance of these identity mappings. This motivates us to propose a new residual unit, which makes training easier and improves generalization. We report improved results using a 1001-layer ResNet on CIFAR-10 (4.62 % error) and CIFAR-100, and a 200-layer ResNet on ImageNet. Code is available at: https://github.com/KaimingHe/resnet-1k-layers.","author":[{"dropping-particle":"","family":"He","given":"Kaiming","non-dropping-particle":"","parse-names":false,"suffix":""},{"dropping-particle":"","family":"Zhang","given":"Xiangyu","non-dropping-particle":"","parse-names":false,"suffix":""},{"dropping-particle":"","family":"Ren","given":"Shaoqing","non-dropping-particle":"","parse-names":false,"suffix":""},{"dropping-particle":"","family":"Sun","given":"Jian","non-dropping-particle":"","parse-names":false,"suffix":""}],"container-title":"Computer Vision -- ECCV 2016","editor":[{"dropping-particle":"","family":"Leibe","given":"Bastian","non-dropping-particle":"","parse-names":false,"suffix":""},{"dropping-particle":"","family":"Matas","given":"Jiri","non-dropping-particle":"","parse-names":false,"suffix":""},{"dropping-particle":"","family":"Sebe","given":"Nicu","non-dropping-particle":"","parse-names":false,"suffix":""},{"dropping-particle":"","family":"Welling","given":"Max","non-dropping-particle":"","parse-names":false,"suffix":""}],"id":"ITEM-5","issued":{"date-parts":[["2016"]]},"page":"630-645","publisher":"Springer International Publishing","publisher-place":"Cham","title":"Identity Mappings in Deep Residual Networks","type":"paper-conference"},"uris":["http://www.mendeley.com/documents/?uuid=6badc2da-912d-41d5-89b8-3f9f33f056b5"]},{"id":"ITEM-6","itemData":{"author":[{"dropping-particle":"","family":"Sandler","given":"M","non-dropping-particle":"","parse-names":false,"suffix":""},{"dropping-particle":"","family":"Howard","given":"A","non-dropping-particle":"","parse-names":false,"suffix":""},{"dropping-particle":"","family":"Zhu","given":"M","non-dropping-particle":"","parse-names":false,"suffix":""},{"dropping-particle":"","family":"Zhmoginov","given":"A","non-dropping-particle":"","parse-names":false,"suffix":""},{"dropping-particle":"","family":"Chen","given":"L.-C.","non-dropping-particle":"","parse-names":false,"suffix":""}],"container-title":"ArXiv e-prints","id":"ITEM-6","issued":{"date-parts":[["2018","1"]]},"title":"MobileNetV2: Inverted Residuals and Linear Bottlenecks","type":"article-journal"},"uris":["http://www.mendeley.com/documents/?uuid=fe527b6d-18a9-41d8-b17e-c2a82c5f02cb"]},{"id":"ITEM-7","itemData":{"author":[{"dropping-particle":"","family":"Zoph","given":"Barret","non-dropping-particle":"","parse-names":false,"suffix":""},{"dropping-particle":"V","family":"Le","given":"Quoc","non-dropping-particle":"","parse-names":false,"suffix":""}],"container-title":"CoRR","id":"ITEM-7","issued":{"date-parts":[["2016"]]},"title":"Neural Architecture Search with Reinforcement Learning","type":"article-journal","volume":"abs/1611.0"},"uris":["http://www.mendeley.com/documents/?uuid=240a126a-0462-4cfc-b04e-ebed853d0ac1"]},{"id":"ITEM-8","itemData":{"author":[{"dropping-particle":"","family":"Zoph","given":"Barret","non-dropping-particle":"","parse-names":false,"suffix":""},{"dropping-particle":"","family":"Vasudevan","given":"Vijay","non-dropping-particle":"","parse-names":false,"suffix":""},{"dropping-particle":"","family":"Shlens","given":"Jonathon","non-dropping-particle":"","parse-names":false,"suffix":""},{"dropping-particle":"V","family":"Le","given":"Quoc","non-dropping-particle":"","parse-names":false,"suffix":""}],"container-title":"CoRR","id":"ITEM-8","issued":{"date-parts":[["2017"]]},"title":"Learning Transferable Architectures for Scalable Image Recognition","type":"article-journal","volume":"abs/1707.0"},"uris":["http://www.mendeley.com/documents/?uuid=a0ea5ffc-bfd5-47cc-9bff-91a112c4885b"]}],"mendeley":{"formattedCitation":"(He et al., 2016; Krizhevsky et al., 2012; Sandler et al., 2018; Simonyan and Zisserman, 2014; Szegedy et al., 2015, 2014; Zoph et al., 2017; Zoph and Le, 2016)","manualFormatting":"Krizhevsky et al., 2012; Simonyan and Zisserman, 2014; Szegedy et al., 2014, 2015; He et al., 2016; Zoph and Le, 2016; Zoph et al., 2017; Sandler et al., 2018)","plainTextFormattedCitation":"(He et al., 2016; Krizhevsky et al., 2012; Sandler et al., 2018; Simonyan and Zisserman, 2014; Szegedy et al., 2015, 2014; Zoph et al., 2017; Zoph and Le, 2016)","previouslyFormattedCitation":"(He et al., 2016; Krizhevsky et al., 2012; Sandler et al., 2018; Simonyan and Zisserman, 2014; Szegedy et al., 2015, 2014; Zoph et al., 2017; Zoph and Le, 2016)"},"properties":{"noteIndex":0},"schema":"https://github.com/citation-style-language/schema/raw/master/csl-citation.json"}</w:instrText>
      </w:r>
      <w:r w:rsidRPr="008B60E0">
        <w:rPr>
          <w:rFonts w:ascii="Times New Roman" w:hAnsi="Times New Roman"/>
        </w:rPr>
        <w:fldChar w:fldCharType="separate"/>
      </w:r>
      <w:r w:rsidRPr="008B60E0">
        <w:rPr>
          <w:rFonts w:ascii="Times New Roman" w:hAnsi="Times New Roman"/>
          <w:noProof/>
        </w:rPr>
        <w:t>Krizhevsky et al., 2012; Simonyan and Zisserman, 2014; Szegedy et al., 2014, 2015; He et al., 2016; Zoph and Le, 2016; Zoph et al., 2017; Sandler et al., 2018)</w:t>
      </w:r>
      <w:r w:rsidRPr="008B60E0">
        <w:rPr>
          <w:rFonts w:ascii="Times New Roman" w:hAnsi="Times New Roman"/>
        </w:rPr>
        <w:fldChar w:fldCharType="end"/>
      </w:r>
      <w:r w:rsidRPr="008B60E0">
        <w:rPr>
          <w:rFonts w:ascii="Times New Roman" w:hAnsi="Times New Roman"/>
        </w:rPr>
        <w:t xml:space="preserve"> can be successfully retrained for new, field-specific classification problems (e.g. </w:t>
      </w:r>
      <w:r w:rsidRPr="008B60E0">
        <w:rPr>
          <w:rFonts w:ascii="Times New Roman" w:hAnsi="Times New Roman"/>
        </w:rPr>
        <w:fldChar w:fldCharType="begin" w:fldLock="1"/>
      </w:r>
      <w:r>
        <w:rPr>
          <w:rFonts w:ascii="Times New Roman" w:hAnsi="Times New Roman"/>
        </w:rPr>
        <w:instrText>ADDIN CSL_CITATION {"citationItems":[{"id":"ITEM-1","itemData":{"DOI":"10.1186/s12862-017-1014-z","ISSN":"1471-2148","abstract":"Hundreds of herbarium collections have accumulated a valuable heritage and knowledge of plants over several centuries. Recent initiatives started ambitious preservation plans to digitize this information and make it available to botanists and the general public through web portals. However, thousands of sheets are still unidentified at the species level while numerous sheets should be reviewed and updated following more recent taxonomic knowledge. These annotations and revisions require an unrealistic amount of work for botanists to carry out in a reasonable time. Computer vision and machine learning approaches applied to herbarium sheets are promising but are still not well studied compared to automated species identification from leaf scans or pictures of plants in the field. In this work, we propose to study and evaluate the accuracy with which herbarium images can be potentially exploited for species identification with deep learning technology. In addition, we propose to study if the combination of herbarium sheets with photos of plants in the field is relevant in terms of accuracy, and finally, we explore if herbarium images from one region that has one specific flora can be used to do transfer learning to another region with other species; for example, on a region under-represented in terms of collected data. This is, to our knowledge, the first study that uses deep learning to analyze a big dataset with thousands of species from herbaria. Results show the potential of Deep Learning on herbarium species identification, particularly by training and testing across different datasets from different herbaria. This could potentially lead to the creation of a semi, or even fully automated system to help taxonomists and experts with their annotation, classification, and revision works.","author":[{"dropping-particle":"","family":"Carranza-Rojas","given":"Jose","non-dropping-particle":"","parse-names":false,"suffix":""},{"dropping-particle":"","family":"Goeau","given":"Herve","non-dropping-particle":"","parse-names":false,"suffix":""},{"dropping-particle":"","family":"Bonnet","given":"Pierre","non-dropping-particle":"","parse-names":false,"suffix":""},{"dropping-particle":"","family":"Mata-Montero","given":"Erick","non-dropping-particle":"","parse-names":false,"suffix":""},{"dropping-particle":"","family":"Joly","given":"Alexis","non-dropping-particle":"","parse-names":false,"suffix":""}],"container-title":"BMC Evolutionary Biology","id":"ITEM-1","issue":"1","issued":{"date-parts":[["2017","12","11"]]},"page":"181","publisher":"BioMed Central","title":"Going deeper in the automated identification of Herbarium specimens","type":"article-journal","volume":"17"},"uris":["http://www.mendeley.com/documents/?uuid=cb983aa2-86e4-31b4-93fd-970edddbfe2e"]},{"id":"ITEM-2","itemData":{"DOI":"10.1038/nature21056","ISSN":"0028-0836","abstract":"An artificial intelligence trained to classify images of skin lesions as benign lesions or malignant skin cancers achieves the accuracy of board-certified dermatologists.","author":[{"dropping-particle":"","family":"Esteva","given":"Andre","non-dropping-particle":"","parse-names":false,"suffix":""},{"dropping-particle":"","family":"Kuprel","given":"Brett","non-dropping-particle":"","parse-names":false,"suffix":""},{"dropping-particle":"","family":"Novoa","given":"Roberto A.","non-dropping-particle":"","parse-names":false,"suffix":""},{"dropping-particle":"","family":"Ko","given":"Justin","non-dropping-particle":"","parse-names":false,"suffix":""},{"dropping-particle":"","family":"Swetter","given":"Susan M.","non-dropping-particle":"","parse-names":false,"suffix":""},{"dropping-particle":"","family":"Blau","given":"Helen M.","non-dropping-particle":"","parse-names":false,"suffix":""},{"dropping-particle":"","family":"Thrun","given":"Sebastian","non-dropping-particle":"","parse-names":false,"suffix":""}],"container-title":"Nature","id":"ITEM-2","issue":"7639","issued":{"date-parts":[["2017","2","25"]]},"page":"115-118","publisher":"Nature Publishing Group","title":"Dermatologist-level classification of skin cancer with deep neural networks","type":"article-journal","volume":"542"},"uris":["http://www.mendeley.com/documents/?uuid=a4209ae8-b4b6-3e70-aa81-a3ee3381d82a"]},{"id":"ITEM-3","itemData":{"DOI":"10.1016/J.ECOINF.2017.07.004","ISSN":"1574-9541","abstract":"Non-intrusive monitoring of animals in the wild is possible using camera trapping networks. The cameras are triggered by sensors in order to disturb the animals as little as possible. This approach produces a high volume of data (in the order of thousands or millions of images) that demands laborious work to analyze both useless (incorrect detections, which are the most) and useful (images with presence of animals). In this work, we show that as soon as some obstacles are overcome, deep neural networks can cope with the problem of the automated species classification appropriately. As case of study, the most common 26 of 48 species from the Snapshot Serengeti (SSe) dataset were selected and the potential of the Very Deep Convolutional neural networks framework for the species identification task was analyzed. In the worst-case scenario (unbalanced training dataset containing empty images) the method reached 35.4% Top-1 and 60.4% Top-5 accuracy. For the best scenario (balanced dataset, images containing foreground animals only, and manually segmented) the accuracy reached a 88.9% Top-1 and 98.1% Top-5, respectively. To the best of our knowledge, this is the first published attempt on solving the automatic species recognition on the SSe dataset. In addition, a comparison with other approaches on a different dataset was carried out, showing that the architectures used in this work outperformed previous approaches. The limitations of the method, drawbacks, as well as new challenges in automatic camera-trap species classification are widely discussed.","author":[{"dropping-particle":"","family":"Gomez Villa","given":"Alexander","non-dropping-particle":"","parse-names":false,"suffix":""},{"dropping-particle":"","family":"Salazar","given":"Augusto","non-dropping-particle":"","parse-names":false,"suffix":""},{"dropping-particle":"","family":"Vargas","given":"Francisco","non-dropping-particle":"","parse-names":false,"suffix":""}],"container-title":"Ecological Informatics","id":"ITEM-3","issued":{"date-parts":[["2017","9","1"]]},"page":"24-32","publisher":"Elsevier","title":"Towards automatic wild animal monitoring: Identification of animal species in camera-trap images using very deep convolutional neural networks","type":"article-journal","volume":"41"},"uris":["http://www.mendeley.com/documents/?uuid=fa391bbf-5c45-3afd-9878-4c17bc39b673"]},{"id":"ITEM-4","itemData":{"DOI":"10.1073/pnas.1719367115","ISSN":"1091-6490","PMID":"29871948","abstract":"Having accurate, detailed, and up-to-date information about the location and behavior of animals in the wild would improve our ability to study and conserve ecosystems. We investigate the ability to automatically, accurately, and inexpensively collect such data, which could help catalyze the transformation of many fields of ecology, wildlife biology, zoology, conservation biology, and animal behavior into \"big data\" sciences. Motion-sensor \"camera traps\" enable collecting wildlife pictures inexpensively, unobtrusively, and frequently. However, extracting information from these pictures remains an expensive, time-consuming, manual task. We demonstrate that such information can be automatically extracted by deep learning, a cutting-edge type of artificial intelligence. We train deep convolutional neural networks to identify, count, and describe the behaviors of 48 species in the 3.2 million-image Snapshot Serengeti dataset. Our deep neural networks automatically identify animals with &gt;93.8% accuracy, and we expect that number to improve rapidly in years to come. More importantly, if our system classifies only images it is confident about, our system can automate animal identification for 99.3% of the data while still performing at the same 96.6% accuracy as that of crowdsourced teams of human volunteers, saving &gt;8.4 y (i.e., &gt;17,000 h at 40 h/wk) of human labeling effort on this 3.2 million-image dataset. Those efficiency gains highlight the importance of using deep neural networks to automate data extraction from camera-trap images, reducing a roadblock for this widely used technology. Our results suggest that deep learning could enable the inexpensive, unobtrusive, high-volume, and even real-time collection of a wealth of information about vast numbers of animals in the wild.","author":[{"dropping-particle":"","family":"Norouzzadeh","given":"Mohammad Sadegh","non-dropping-particle":"","parse-names":false,"suffix":""},{"dropping-particle":"","family":"Nguyen","given":"Anh","non-dropping-particle":"","parse-names":false,"suffix":""},{"dropping-particle":"","family":"Kosmala","given":"Margaret","non-dropping-particle":"","parse-names":false,"suffix":""},{"dropping-particle":"","family":"Swanson","given":"Alexandra","non-dropping-particle":"","parse-names":false,"suffix":""},{"dropping-particle":"","family":"Palmer","given":"Meredith S","non-dropping-particle":"","parse-names":false,"suffix":""},{"dropping-particle":"","family":"Packer","given":"Craig","non-dropping-particle":"","parse-names":false,"suffix":""},{"dropping-particle":"","family":"Clune","given":"Jeff","non-dropping-particle":"","parse-names":false,"suffix":""}],"container-title":"Proceedings of the National Academy of Sciences of the United States of America","id":"ITEM-4","issue":"25","issued":{"date-parts":[["2018","6","19"]]},"page":"E5716-E5725","publisher":"National Academy of Sciences","title":"Automatically identifying, counting, and describing wild animals in camera-trap images with deep learning.","type":"article-journal","volume":"115"},"uris":["http://www.mendeley.com/documents/?uuid=c8e3e67d-d341-3e90-9a6e-b37ce841b829"]},{"id":"ITEM-5","itemData":{"DOI":"10.1109/TMI.2016.2535302","ISSN":"0278-0062","author":[{"dropping-particle":"","family":"Tajbakhsh","given":"N","non-dropping-particle":"","parse-names":false,"suffix":""},{"dropping-particle":"","family":"Shin","given":"J Y","non-dropping-particle":"","parse-names":false,"suffix":""},{"dropping-particle":"","family":"Gurudu","given":"S R","non-dropping-particle":"","parse-names":false,"suffix":""},{"dropping-particle":"","family":"Hurst","given":"R T","non-dropping-particle":"","parse-names":false,"suffix":""},{"dropping-particle":"","family":"Kendall","given":"C B","non-dropping-particle":"","parse-names":false,"suffix":""},{"dropping-particle":"","family":"Gotway","given":"M B","non-dropping-particle":"","parse-names":false,"suffix":""},{"dropping-particle":"","family":"Liang","given":"J","non-dropping-particle":"","parse-names":false,"suffix":""}],"container-title":"IEEE Transactions on Medical Imaging","id":"ITEM-5","issue":"5","issued":{"date-parts":[["2016","5"]]},"page":"1299-1312","title":"Convolutional Neural Networks for Medical Image Analysis: Full Training or Fine Tuning?","type":"article-journal","volume":"35"},"uris":["http://www.mendeley.com/documents/?uuid=c64876b4-48ab-46e8-9105-85ebf700feaf"]}],"mendeley":{"formattedCitation":"(Carranza-Rojas et al., 2017; Esteva et al., 2017; Gomez Villa et al., 2017; Norouzzadeh et al., 2018; Tajbakhsh et al., 2016)","manualFormatting":"Tajbakhsh et al., 2016; Carranza-Rojas et al., 2017; Esteva et al., 2017; Gomez Villa et al., 2017; Norouzzadeh et al., 2018)","plainTextFormattedCitation":"(Carranza-Rojas et al., 2017; Esteva et al., 2017; Gomez Villa et al., 2017; Norouzzadeh et al., 2018; Tajbakhsh et al., 2016)","previouslyFormattedCitation":"(Carranza-Rojas et al., 2017; Esteva et al., 2017; Gomez Villa et al., 2017; Norouzzadeh et al., 2018; Tajbakhsh et al., 2016)"},"properties":{"noteIndex":0},"schema":"https://github.com/citation-style-language/schema/raw/master/csl-citation.json"}</w:instrText>
      </w:r>
      <w:r w:rsidRPr="008B60E0">
        <w:rPr>
          <w:rFonts w:ascii="Times New Roman" w:hAnsi="Times New Roman"/>
        </w:rPr>
        <w:fldChar w:fldCharType="separate"/>
      </w:r>
      <w:r w:rsidRPr="008B60E0">
        <w:rPr>
          <w:rFonts w:ascii="Times New Roman" w:hAnsi="Times New Roman"/>
          <w:noProof/>
        </w:rPr>
        <w:t>Tajbakhsh et al., 2016; Carranza-Rojas et al., 2017; Esteva et al., 2017; Gomez Villa et al., 2017; Norouzzadeh et al., 2018)</w:t>
      </w:r>
      <w:r w:rsidRPr="008B60E0">
        <w:rPr>
          <w:rFonts w:ascii="Times New Roman" w:hAnsi="Times New Roman"/>
        </w:rPr>
        <w:fldChar w:fldCharType="end"/>
      </w:r>
      <w:r w:rsidRPr="008B60E0">
        <w:rPr>
          <w:rFonts w:ascii="Times New Roman" w:hAnsi="Times New Roman"/>
        </w:rPr>
        <w:t xml:space="preserve">. </w:t>
      </w:r>
    </w:p>
    <w:p w14:paraId="34D864C9" w14:textId="77777777" w:rsidR="005044EC" w:rsidRPr="008B60E0" w:rsidRDefault="005044EC" w:rsidP="005044EC">
      <w:pPr>
        <w:pStyle w:val="SEGBodyText"/>
        <w:rPr>
          <w:rFonts w:ascii="Times New Roman" w:hAnsi="Times New Roman"/>
        </w:rPr>
      </w:pPr>
      <w:r w:rsidRPr="008B60E0">
        <w:rPr>
          <w:rFonts w:ascii="Times New Roman" w:hAnsi="Times New Roman"/>
        </w:rPr>
        <w:t xml:space="preserve">In this project, we evaluate transfer learning using four different trained models: InceptionV3 </w:t>
      </w:r>
      <w:r w:rsidRPr="008B60E0">
        <w:rPr>
          <w:rFonts w:ascii="Times New Roman" w:hAnsi="Times New Roman"/>
        </w:rPr>
        <w:fldChar w:fldCharType="begin" w:fldLock="1"/>
      </w:r>
      <w:r w:rsidRPr="008B60E0">
        <w:rPr>
          <w:rFonts w:ascii="Times New Roman" w:hAnsi="Times New Roman"/>
        </w:rPr>
        <w:instrText>ADDIN CSL_CITATION {"citationItems":[{"id":"ITEM-1","itemData":{"abstract":"Convolutional networks are at the core of most state-of-the-art computer vision solutions for a wide variety of tasks. Since 2014 very deep convolutional networks started to become mainstream, yielding substantial gains in various benchmarks. Although increased model size and computational cost tend to translate to immediate quality gains for most tasks (as long as enough labeled data is provided for training), computational efficiency and low parameter count are still enabling factors for various use cases such as mobile vision and big-data scenarios. Here we explore ways to scale up networks in ways that aim at utilizing the added computation as efficiently as possible by suitably factorized convolutions and aggressive regularization. We benchmark our methods on the ILSVRC 2012 classification challenge validation set demonstrate substantial gains over the state of the art: 21.2% top-1 and 5.6% top-5 error for single frame evaluation using a network with a computational cost of 5 billion multiply-adds per inference and with using less than 25 million parameters. With an ensemble of 4 models and multi-crop evaluation, we report 3.5% top-5 error on the validation set (3.6% error on the test set) and 17.3% top-1 error on the validation set.","author":[{"dropping-particle":"","family":"Szegedy","given":"Christian","non-dropping-particle":"","parse-names":false,"suffix":""},{"dropping-particle":"","family":"Vanhoucke","given":"Vincent","non-dropping-particle":"","parse-names":false,"suffix":""},{"dropping-particle":"","family":"Ioffe","given":"Sergey","non-dropping-particle":"","parse-names":false,"suffix":""},{"dropping-particle":"","family":"Shlens","given":"Jonathon","non-dropping-particle":"","parse-names":false,"suffix":""},{"dropping-particle":"","family":"Wojna","given":"Zbigniew","non-dropping-particle":"","parse-names":false,"suffix":""}],"container-title":"CoRR","id":"ITEM-1","issued":{"date-parts":[["2015","12","1"]]},"title":"Rethinking the Inception Architecture for Computer Vision","type":"article-journal","volume":"abs/1512.0"},"uris":["http://www.mendeley.com/documents/?uuid=25784f6b-8556-3850-b942-4b92eefba7a6"]}],"mendeley":{"formattedCitation":"(Szegedy et al., 2015)","plainTextFormattedCitation":"(Szegedy et al., 2015)","previouslyFormattedCitation":"(Szegedy et al., 2015)"},"properties":{"noteIndex":0},"schema":"https://github.com/citation-style-language/schema/raw/master/csl-citation.json"}</w:instrText>
      </w:r>
      <w:r w:rsidRPr="008B60E0">
        <w:rPr>
          <w:rFonts w:ascii="Times New Roman" w:hAnsi="Times New Roman"/>
        </w:rPr>
        <w:fldChar w:fldCharType="separate"/>
      </w:r>
      <w:r w:rsidRPr="008B60E0">
        <w:rPr>
          <w:rFonts w:ascii="Times New Roman" w:hAnsi="Times New Roman"/>
          <w:noProof/>
        </w:rPr>
        <w:t>(Szegedy et al., 2015)</w:t>
      </w:r>
      <w:r w:rsidRPr="008B60E0">
        <w:rPr>
          <w:rFonts w:ascii="Times New Roman" w:hAnsi="Times New Roman"/>
        </w:rPr>
        <w:fldChar w:fldCharType="end"/>
      </w:r>
      <w:r w:rsidRPr="008B60E0">
        <w:rPr>
          <w:rFonts w:ascii="Times New Roman" w:hAnsi="Times New Roman"/>
        </w:rPr>
        <w:t xml:space="preserve"> consisting of 48 layers, ResNetV2 – implemented with 50 layers </w:t>
      </w:r>
      <w:r w:rsidRPr="008B60E0">
        <w:rPr>
          <w:rFonts w:ascii="Times New Roman" w:hAnsi="Times New Roman"/>
        </w:rPr>
        <w:fldChar w:fldCharType="begin" w:fldLock="1"/>
      </w:r>
      <w:r w:rsidRPr="008B60E0">
        <w:rPr>
          <w:rFonts w:ascii="Times New Roman" w:hAnsi="Times New Roman"/>
        </w:rPr>
        <w:instrText>ADDIN CSL_CITATION {"citationItems":[{"id":"ITEM-1","itemData":{"ISBN":"978-3-319-46493-0","abstract":"Deep residual networks have emerged as a family of extremely deep architectures showing compelling accuracy and nice convergence behaviors. In this paper, we analyze the propagation formulations behind the residual building blocks, which suggest that the forward and backward signals can be directly propagated from one block to any other block, when using identity mappings as the skip connections and after-addition activation. A series of ablation experiments support the importance of these identity mappings. This motivates us to propose a new residual unit, which makes training easier and improves generalization. We report improved results using a 1001-layer ResNet on CIFAR-10 (4.62 % error) and CIFAR-100, and a 200-layer ResNet on ImageNet. Code is available at: https://github.com/KaimingHe/resnet-1k-layers.","author":[{"dropping-particle":"","family":"He","given":"Kaiming","non-dropping-particle":"","parse-names":false,"suffix":""},{"dropping-particle":"","family":"Zhang","given":"Xiangyu","non-dropping-particle":"","parse-names":false,"suffix":""},{"dropping-particle":"","family":"Ren","given":"Shaoqing","non-dropping-particle":"","parse-names":false,"suffix":""},{"dropping-particle":"","family":"Sun","given":"Jian","non-dropping-particle":"","parse-names":false,"suffix":""}],"container-title":"Computer Vision -- ECCV 2016","editor":[{"dropping-particle":"","family":"Leibe","given":"Bastian","non-dropping-particle":"","parse-names":false,"suffix":""},{"dropping-particle":"","family":"Matas","given":"Jiri","non-dropping-particle":"","parse-names":false,"suffix":""},{"dropping-particle":"","family":"Sebe","given":"Nicu","non-dropping-particle":"","parse-names":false,"suffix":""},{"dropping-particle":"","family":"Welling","given":"Max","non-dropping-particle":"","parse-names":false,"suffix":""}],"id":"ITEM-1","issued":{"date-parts":[["2016"]]},"page":"630-645","publisher":"Springer International Publishing","publisher-place":"Cham","title":"Identity Mappings in Deep Residual Networks","type":"paper-conference"},"uris":["http://www.mendeley.com/documents/?uuid=6badc2da-912d-41d5-89b8-3f9f33f056b5"]}],"mendeley":{"formattedCitation":"(He et al., 2016)","plainTextFormattedCitation":"(He et al., 2016)","previouslyFormattedCitation":"(He et al., 2016)"},"properties":{"noteIndex":0},"schema":"https://github.com/citation-style-language/schema/raw/master/csl-citation.json"}</w:instrText>
      </w:r>
      <w:r w:rsidRPr="008B60E0">
        <w:rPr>
          <w:rFonts w:ascii="Times New Roman" w:hAnsi="Times New Roman"/>
        </w:rPr>
        <w:fldChar w:fldCharType="separate"/>
      </w:r>
      <w:r w:rsidRPr="008B60E0">
        <w:rPr>
          <w:rFonts w:ascii="Times New Roman" w:hAnsi="Times New Roman"/>
          <w:noProof/>
        </w:rPr>
        <w:t>(He et al., 2016)</w:t>
      </w:r>
      <w:r w:rsidRPr="008B60E0">
        <w:rPr>
          <w:rFonts w:ascii="Times New Roman" w:hAnsi="Times New Roman"/>
        </w:rPr>
        <w:fldChar w:fldCharType="end"/>
      </w:r>
      <w:r w:rsidRPr="008B60E0">
        <w:rPr>
          <w:rFonts w:ascii="Times New Roman" w:hAnsi="Times New Roman"/>
        </w:rPr>
        <w:t xml:space="preserve">, MobileNetV2 </w:t>
      </w:r>
      <w:r w:rsidRPr="008B60E0">
        <w:rPr>
          <w:rFonts w:ascii="Times New Roman" w:hAnsi="Times New Roman"/>
        </w:rPr>
        <w:fldChar w:fldCharType="begin" w:fldLock="1"/>
      </w:r>
      <w:r w:rsidRPr="008B60E0">
        <w:rPr>
          <w:rFonts w:ascii="Times New Roman" w:hAnsi="Times New Roman"/>
        </w:rPr>
        <w:instrText>ADDIN CSL_CITATION {"citationItems":[{"id":"ITEM-1","itemData":{"author":[{"dropping-particle":"","family":"Sandler","given":"M","non-dropping-particle":"","parse-names":false,"suffix":""},{"dropping-particle":"","family":"Howard","given":"A","non-dropping-particle":"","parse-names":false,"suffix":""},{"dropping-particle":"","family":"Zhu","given":"M","non-dropping-particle":"","parse-names":false,"suffix":""},{"dropping-particle":"","family":"Zhmoginov","given":"A","non-dropping-particle":"","parse-names":false,"suffix":""},{"dropping-particle":"","family":"Chen","given":"L.-C.","non-dropping-particle":"","parse-names":false,"suffix":""}],"container-title":"ArXiv e-prints","id":"ITEM-1","issued":{"date-parts":[["2018","1"]]},"title":"MobileNetV2: Inverted Residuals and Linear Bottlenecks","type":"article-journal"},"uris":["http://www.mendeley.com/documents/?uuid=fe527b6d-18a9-41d8-b17e-c2a82c5f02cb"]}],"mendeley":{"formattedCitation":"(Sandler et al., 2018)","plainTextFormattedCitation":"(Sandler et al., 2018)","previouslyFormattedCitation":"(Sandler et al., 2018)"},"properties":{"noteIndex":0},"schema":"https://github.com/citation-style-language/schema/raw/master/csl-citation.json"}</w:instrText>
      </w:r>
      <w:r w:rsidRPr="008B60E0">
        <w:rPr>
          <w:rFonts w:ascii="Times New Roman" w:hAnsi="Times New Roman"/>
        </w:rPr>
        <w:fldChar w:fldCharType="separate"/>
      </w:r>
      <w:r w:rsidRPr="008B60E0">
        <w:rPr>
          <w:rFonts w:ascii="Times New Roman" w:hAnsi="Times New Roman"/>
          <w:noProof/>
        </w:rPr>
        <w:t>(Sandler et al., 2018)</w:t>
      </w:r>
      <w:r w:rsidRPr="008B60E0">
        <w:rPr>
          <w:rFonts w:ascii="Times New Roman" w:hAnsi="Times New Roman"/>
        </w:rPr>
        <w:fldChar w:fldCharType="end"/>
      </w:r>
      <w:r w:rsidRPr="008B60E0">
        <w:rPr>
          <w:rFonts w:ascii="Times New Roman" w:hAnsi="Times New Roman"/>
        </w:rPr>
        <w:t xml:space="preserve"> with 20 layers, and NASNet </w:t>
      </w:r>
      <w:r w:rsidRPr="008B60E0">
        <w:rPr>
          <w:rFonts w:ascii="Times New Roman" w:hAnsi="Times New Roman"/>
        </w:rPr>
        <w:fldChar w:fldCharType="begin" w:fldLock="1"/>
      </w:r>
      <w:r>
        <w:rPr>
          <w:rFonts w:ascii="Times New Roman" w:hAnsi="Times New Roman"/>
        </w:rPr>
        <w:instrText>ADDIN CSL_CITATION {"citationItems":[{"id":"ITEM-1","itemData":{"author":[{"dropping-particle":"","family":"Zoph","given":"Barret","non-dropping-particle":"","parse-names":false,"suffix":""},{"dropping-particle":"V","family":"Le","given":"Quoc","non-dropping-particle":"","parse-names":false,"suffix":""}],"container-title":"CoRR","id":"ITEM-1","issued":{"date-parts":[["2016"]]},"title":"Neural Architecture Search with Reinforcement Learning","type":"article-journal","volume":"abs/1611.0"},"uris":["http://www.mendeley.com/documents/?uuid=240a126a-0462-4cfc-b04e-ebed853d0ac1"]},{"id":"ITEM-2","itemData":{"author":[{"dropping-particle":"","family":"Zoph","given":"Barret","non-dropping-particle":"","parse-names":false,"suffix":""},{"dropping-particle":"","family":"Vasudevan","given":"Vijay","non-dropping-particle":"","parse-names":false,"suffix":""},{"dropping-particle":"","family":"Shlens","given":"Jonathon","non-dropping-particle":"","parse-names":false,"suffix":""},{"dropping-particle":"V","family":"Le","given":"Quoc","non-dropping-particle":"","parse-names":false,"suffix":""}],"container-title":"CoRR","id":"ITEM-2","issued":{"date-parts":[["2017"]]},"title":"Learning Transferable Architectures for Scalable Image Recognition","type":"article-journal","volume":"abs/1707.0"},"uris":["http://www.mendeley.com/documents/?uuid=a0ea5ffc-bfd5-47cc-9bff-91a112c4885b"]}],"mendeley":{"formattedCitation":"(Zoph et al., 2017; Zoph and Le, 2016)","plainTextFormattedCitation":"(Zoph et al., 2017; Zoph and Le, 2016)","previouslyFormattedCitation":"(Zoph et al., 2017; Zoph and Le, 2016)"},"properties":{"noteIndex":0},"schema":"https://github.com/citation-style-language/schema/raw/master/csl-citation.json"}</w:instrText>
      </w:r>
      <w:r w:rsidRPr="008B60E0">
        <w:rPr>
          <w:rFonts w:ascii="Times New Roman" w:hAnsi="Times New Roman"/>
        </w:rPr>
        <w:fldChar w:fldCharType="separate"/>
      </w:r>
      <w:r w:rsidRPr="001B3350">
        <w:rPr>
          <w:rFonts w:ascii="Times New Roman" w:hAnsi="Times New Roman"/>
          <w:noProof/>
        </w:rPr>
        <w:t>(Zoph et al., 2017; Zoph and Le, 2016)</w:t>
      </w:r>
      <w:r w:rsidRPr="008B60E0">
        <w:rPr>
          <w:rFonts w:ascii="Times New Roman" w:hAnsi="Times New Roman"/>
        </w:rPr>
        <w:fldChar w:fldCharType="end"/>
      </w:r>
      <w:r w:rsidRPr="008B60E0">
        <w:rPr>
          <w:rFonts w:ascii="Times New Roman" w:hAnsi="Times New Roman"/>
        </w:rPr>
        <w:t xml:space="preserve"> with 20 layers. These models and the learned parameters are </w:t>
      </w:r>
      <w:r w:rsidRPr="008B60E0">
        <w:rPr>
          <w:rFonts w:ascii="Times New Roman" w:hAnsi="Times New Roman"/>
        </w:rPr>
        <w:lastRenderedPageBreak/>
        <w:t xml:space="preserve">publicly available and can be downloaded from the </w:t>
      </w:r>
      <w:r w:rsidRPr="008B60E0">
        <w:rPr>
          <w:rFonts w:ascii="Times New Roman" w:hAnsi="Times New Roman"/>
        </w:rPr>
        <w:fldChar w:fldCharType="begin" w:fldLock="1"/>
      </w:r>
      <w:r w:rsidRPr="008B60E0">
        <w:rPr>
          <w:rFonts w:ascii="Times New Roman" w:hAnsi="Times New Roman"/>
        </w:rPr>
        <w:instrText>ADDIN CSL_CITATION {"citationItems":[{"id":"ITEM-1","itemData":{"URL":"https://tfhub.dev/","accessed":{"date-parts":[["2018","11","26"]]},"id":"ITEM-1","issued":{"date-parts":[["2018"]]},"title":"TensorFlow Hub","type":"webpage"},"uris":["http://www.mendeley.com/documents/?uuid=89ad1edb-7da6-3cf0-99c0-81bf3a4ab433"]}],"mendeley":{"formattedCitation":"(“TensorFlow Hub,” 2018)","manualFormatting":"TensorFlow Hub (2018)","plainTextFormattedCitation":"(“TensorFlow Hub,” 2018)","previouslyFormattedCitation":"(“TensorFlow Hub,” 2018)"},"properties":{"noteIndex":0},"schema":"https://github.com/citation-style-language/schema/raw/master/csl-citation.json"}</w:instrText>
      </w:r>
      <w:r w:rsidRPr="008B60E0">
        <w:rPr>
          <w:rFonts w:ascii="Times New Roman" w:hAnsi="Times New Roman"/>
        </w:rPr>
        <w:fldChar w:fldCharType="separate"/>
      </w:r>
      <w:r w:rsidRPr="008B60E0">
        <w:rPr>
          <w:rFonts w:ascii="Times New Roman" w:hAnsi="Times New Roman"/>
          <w:noProof/>
        </w:rPr>
        <w:t>TensorFlow Hub (2018)</w:t>
      </w:r>
      <w:r w:rsidRPr="008B60E0">
        <w:rPr>
          <w:rFonts w:ascii="Times New Roman" w:hAnsi="Times New Roman"/>
        </w:rPr>
        <w:fldChar w:fldCharType="end"/>
      </w:r>
      <w:r w:rsidRPr="008B60E0">
        <w:rPr>
          <w:rFonts w:ascii="Times New Roman" w:hAnsi="Times New Roman"/>
        </w:rPr>
        <w:t xml:space="preserve"> website. Each one of the CNN models require different sized images as input: 299 by 299 pixels for InceptionV3, 224 by 224 pixels for ResNetV2, 224 by 224 pixels for MobileNetV2, and 331 by 331 pixels for NASNet. Because our images are 180 by 180 pixels in size, we use simple bilinear interpolation to conform to the size of the transfer learning model used. As described in Appendix A, all subsequent layers are dependent on the size of the input data.  Appendix A shows how transfer learning is achieved by simply using the convolutional layers as feature extractors for our core images thereby facilitating the training of a densely connected classification layer.</w:t>
      </w:r>
    </w:p>
    <w:p w14:paraId="6C9F418B" w14:textId="77777777" w:rsidR="005044EC" w:rsidRPr="008B60E0" w:rsidRDefault="005044EC" w:rsidP="005044EC">
      <w:pPr>
        <w:pStyle w:val="SEGBodyText"/>
        <w:rPr>
          <w:rFonts w:ascii="Times New Roman" w:hAnsi="Times New Roman"/>
        </w:rPr>
      </w:pPr>
      <w:r w:rsidRPr="008B60E0">
        <w:rPr>
          <w:rFonts w:ascii="Times New Roman" w:hAnsi="Times New Roman"/>
        </w:rPr>
        <w:fldChar w:fldCharType="begin" w:fldLock="1"/>
      </w:r>
      <w:r w:rsidRPr="008B60E0">
        <w:rPr>
          <w:rFonts w:ascii="Times New Roman" w:hAnsi="Times New Roman"/>
        </w:rPr>
        <w:instrText>ADDIN CSL_CITATION {"citationItems":[{"id":"ITEM-1","itemData":{"DOI":"10.1186/s12862-017-1014-z","ISSN":"1471-2148","abstract":"Hundreds of herbarium collections have accumulated a valuable heritage and knowledge of plants over several centuries. Recent initiatives started ambitious preservation plans to digitize this information and make it available to botanists and the general public through web portals. However, thousands of sheets are still unidentified at the species level while numerous sheets should be reviewed and updated following more recent taxonomic knowledge. These annotations and revisions require an unrealistic amount of work for botanists to carry out in a reasonable time. Computer vision and machine learning approaches applied to herbarium sheets are promising but are still not well studied compared to automated species identification from leaf scans or pictures of plants in the field. In this work, we propose to study and evaluate the accuracy with which herbarium images can be potentially exploited for species identification with deep learning technology. In addition, we propose to study if the combination of herbarium sheets with photos of plants in the field is relevant in terms of accuracy, and finally, we explore if herbarium images from one region that has one specific flora can be used to do transfer learning to another region with other species; for example, on a region under-represented in terms of collected data. This is, to our knowledge, the first study that uses deep learning to analyze a big dataset with thousands of species from herbaria. Results show the potential of Deep Learning on herbarium species identification, particularly by training and testing across different datasets from different herbaria. This could potentially lead to the creation of a semi, or even fully automated system to help taxonomists and experts with their annotation, classification, and revision works.","author":[{"dropping-particle":"","family":"Carranza-Rojas","given":"Jose","non-dropping-particle":"","parse-names":false,"suffix":""},{"dropping-particle":"","family":"Goeau","given":"Herve","non-dropping-particle":"","parse-names":false,"suffix":""},{"dropping-particle":"","family":"Bonnet","given":"Pierre","non-dropping-particle":"","parse-names":false,"suffix":""},{"dropping-particle":"","family":"Mata-Montero","given":"Erick","non-dropping-particle":"","parse-names":false,"suffix":""},{"dropping-particle":"","family":"Joly","given":"Alexis","non-dropping-particle":"","parse-names":false,"suffix":""}],"container-title":"BMC Evolutionary Biology","id":"ITEM-1","issue":"1","issued":{"date-parts":[["2017","12","11"]]},"page":"181","publisher":"BioMed Central","title":"Going deeper in the automated identification of Herbarium specimens","type":"article-journal","volume":"17"},"uris":["http://www.mendeley.com/documents/?uuid=cb983aa2-86e4-31b4-93fd-970edddbfe2e"]},{"id":"ITEM-2","itemData":{"DOI":"10.1038/nature21056","ISSN":"0028-0836","abstract":"An artificial intelligence trained to classify images of skin lesions as benign lesions or malignant skin cancers achieves the accuracy of board-certified dermatologists.","author":[{"dropping-particle":"","family":"Esteva","given":"Andre","non-dropping-particle":"","parse-names":false,"suffix":""},{"dropping-particle":"","family":"Kuprel","given":"Brett","non-dropping-particle":"","parse-names":false,"suffix":""},{"dropping-particle":"","family":"Novoa","given":"Roberto A.","non-dropping-particle":"","parse-names":false,"suffix":""},{"dropping-particle":"","family":"Ko","given":"Justin","non-dropping-particle":"","parse-names":false,"suffix":""},{"dropping-particle":"","family":"Swetter","given":"Susan M.","non-dropping-particle":"","parse-names":false,"suffix":""},{"dropping-particle":"","family":"Blau","given":"Helen M.","non-dropping-particle":"","parse-names":false,"suffix":""},{"dropping-particle":"","family":"Thrun","given":"Sebastian","non-dropping-particle":"","parse-names":false,"suffix":""}],"container-title":"Nature","id":"ITEM-2","issue":"7639","issued":{"date-parts":[["2017","2","25"]]},"page":"115-118","publisher":"Nature Publishing Group","title":"Dermatologist-level classification of skin cancer with deep neural networks","type":"article-journal","volume":"542"},"uris":["http://www.mendeley.com/documents/?uuid=a4209ae8-b4b6-3e70-aa81-a3ee3381d82a"]},{"id":"ITEM-3","itemData":{"DOI":"10.1016/J.ECOINF.2017.07.004","ISSN":"1574-9541","abstract":"Non-intrusive monitoring of animals in the wild is possible using camera trapping networks. The cameras are triggered by sensors in order to disturb the animals as little as possible. This approach produces a high volume of data (in the order of thousands or millions of images) that demands laborious work to analyze both useless (incorrect detections, which are the most) and useful (images with presence of animals). In this work, we show that as soon as some obstacles are overcome, deep neural networks can cope with the problem of the automated species classification appropriately. As case of study, the most common 26 of 48 species from the Snapshot Serengeti (SSe) dataset were selected and the potential of the Very Deep Convolutional neural networks framework for the species identification task was analyzed. In the worst-case scenario (unbalanced training dataset containing empty images) the method reached 35.4% Top-1 and 60.4% Top-5 accuracy. For the best scenario (balanced dataset, images containing foreground animals only, and manually segmented) the accuracy reached a 88.9% Top-1 and 98.1% Top-5, respectively. To the best of our knowledge, this is the first published attempt on solving the automatic species recognition on the SSe dataset. In addition, a comparison with other approaches on a different dataset was carried out, showing that the architectures used in this work outperformed previous approaches. The limitations of the method, drawbacks, as well as new challenges in automatic camera-trap species classification are widely discussed.","author":[{"dropping-particle":"","family":"Gomez Villa","given":"Alexander","non-dropping-particle":"","parse-names":false,"suffix":""},{"dropping-particle":"","family":"Salazar","given":"Augusto","non-dropping-particle":"","parse-names":false,"suffix":""},{"dropping-particle":"","family":"Vargas","given":"Francisco","non-dropping-particle":"","parse-names":false,"suffix":""}],"container-title":"Ecological Informatics","id":"ITEM-3","issued":{"date-parts":[["2017","9","1"]]},"page":"24-32","publisher":"Elsevier","title":"Towards automatic wild animal monitoring: Identification of animal species in camera-trap images using very deep convolutional neural networks","type":"article-journal","volume":"41"},"uris":["http://www.mendeley.com/documents/?uuid=fa391bbf-5c45-3afd-9878-4c17bc39b673"]}],"mendeley":{"formattedCitation":"(Carranza-Rojas et al., 2017; Esteva et al., 2017; Gomez Villa et al., 2017)","manualFormatting":"Carranza-Rojas et al. ( 2017), Esteva et al. (2017), and Gomez Villa et al.  (2017)","plainTextFormattedCitation":"(Carranza-Rojas et al., 2017; Esteva et al., 2017; Gomez Villa et al., 2017)","previouslyFormattedCitation":"(Carranza-Rojas et al., 2017; Esteva et al., 2017; Gomez Villa et al., 2017)"},"properties":{"noteIndex":0},"schema":"https://github.com/citation-style-language/schema/raw/master/csl-citation.json"}</w:instrText>
      </w:r>
      <w:r w:rsidRPr="008B60E0">
        <w:rPr>
          <w:rFonts w:ascii="Times New Roman" w:hAnsi="Times New Roman"/>
        </w:rPr>
        <w:fldChar w:fldCharType="separate"/>
      </w:r>
      <w:r w:rsidRPr="008B60E0">
        <w:rPr>
          <w:rFonts w:ascii="Times New Roman" w:hAnsi="Times New Roman"/>
          <w:noProof/>
        </w:rPr>
        <w:t>Carranza-Rojas et al. ( 2017), Esteva et al. (2017), and Gomez Villa et al.  (2017)</w:t>
      </w:r>
      <w:r w:rsidRPr="008B60E0">
        <w:rPr>
          <w:rFonts w:ascii="Times New Roman" w:hAnsi="Times New Roman"/>
        </w:rPr>
        <w:fldChar w:fldCharType="end"/>
      </w:r>
      <w:r w:rsidRPr="008B60E0">
        <w:rPr>
          <w:rFonts w:ascii="Times New Roman" w:hAnsi="Times New Roman"/>
        </w:rPr>
        <w:t xml:space="preserve"> each used some 100,000 images in their datasets to perform transfer learning.  Although we have a significantly smaller dataset consisting of less than7000 images, we still achieved a high-level accuracy as presented in the next section. We use confusion matrices, test and validation accuracy, and precision, recall, and F1 score </w:t>
      </w:r>
      <w:r w:rsidRPr="008B60E0">
        <w:rPr>
          <w:rFonts w:ascii="Times New Roman" w:hAnsi="Times New Roman"/>
        </w:rPr>
        <w:fldChar w:fldCharType="begin" w:fldLock="1"/>
      </w:r>
      <w:r w:rsidRPr="008B60E0">
        <w:rPr>
          <w:rFonts w:ascii="Times New Roman" w:hAnsi="Times New Roman"/>
        </w:rPr>
        <w:instrText>ADDIN CSL_CITATION {"citationItems":[{"id":"ITEM-1","itemData":{"DOI":"10.1016/J.PATREC.2005.10.010","ISSN":"0167-8655","abstract":"Receiver operating characteristics (ROC) graphs are useful for organizing classifiers and visualizing their performance. ROC graphs are commonly used in medical decision making, and in recent years have been used increasingly in machine learning and data mining research. Although ROC graphs are apparently simple, there are some common misconceptions and pitfalls when using them in practice. The purpose of this article is to serve as an introduction to ROC graphs and as a guide for using them in research.","author":[{"dropping-particle":"","family":"Fawcett","given":"Tom","non-dropping-particle":"","parse-names":false,"suffix":""}],"container-title":"Pattern Recognition Letters","id":"ITEM-1","issue":"8","issued":{"date-parts":[["2006","6","1"]]},"page":"861-874","publisher":"North-Holland","title":"An introduction to ROC analysis","type":"article-journal","volume":"27"},"uris":["http://www.mendeley.com/documents/?uuid=b276f6e0-fafa-3cbc-9c15-7834641be445"]}],"mendeley":{"formattedCitation":"(Fawcett, 2006)","plainTextFormattedCitation":"(Fawcett, 2006)","previouslyFormattedCitation":"(Fawcett, 2006)"},"properties":{"noteIndex":0},"schema":"https://github.com/citation-style-language/schema/raw/master/csl-citation.json"}</w:instrText>
      </w:r>
      <w:r w:rsidRPr="008B60E0">
        <w:rPr>
          <w:rFonts w:ascii="Times New Roman" w:hAnsi="Times New Roman"/>
        </w:rPr>
        <w:fldChar w:fldCharType="separate"/>
      </w:r>
      <w:r w:rsidRPr="008B60E0">
        <w:rPr>
          <w:rFonts w:ascii="Times New Roman" w:hAnsi="Times New Roman"/>
          <w:noProof/>
        </w:rPr>
        <w:t>(Fawcett, 2006)</w:t>
      </w:r>
      <w:r w:rsidRPr="008B60E0">
        <w:rPr>
          <w:rFonts w:ascii="Times New Roman" w:hAnsi="Times New Roman"/>
        </w:rPr>
        <w:fldChar w:fldCharType="end"/>
      </w:r>
      <w:r w:rsidRPr="008B60E0">
        <w:rPr>
          <w:rFonts w:ascii="Times New Roman" w:hAnsi="Times New Roman"/>
        </w:rPr>
        <w:t xml:space="preserve"> computed with the final-test set as means to analyze our results. </w:t>
      </w:r>
    </w:p>
    <w:p w14:paraId="34A2591F" w14:textId="77777777" w:rsidR="005044EC" w:rsidRPr="008B60E0" w:rsidRDefault="005044EC" w:rsidP="005044EC">
      <w:pPr>
        <w:pStyle w:val="SEGBodyText"/>
        <w:keepNext/>
        <w:rPr>
          <w:rFonts w:ascii="Times New Roman" w:hAnsi="Times New Roman"/>
        </w:rPr>
      </w:pPr>
      <w:r w:rsidRPr="008B60E0">
        <w:rPr>
          <w:rFonts w:ascii="Times New Roman" w:hAnsi="Times New Roman"/>
          <w:noProof/>
        </w:rPr>
        <w:lastRenderedPageBreak/>
        <w:drawing>
          <wp:inline distT="0" distB="0" distL="0" distR="0" wp14:anchorId="68DC0BD6" wp14:editId="5CBF0328">
            <wp:extent cx="4683319" cy="2558616"/>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701017" cy="2568285"/>
                    </a:xfrm>
                    <a:prstGeom prst="rect">
                      <a:avLst/>
                    </a:prstGeom>
                    <a:noFill/>
                  </pic:spPr>
                </pic:pic>
              </a:graphicData>
            </a:graphic>
          </wp:inline>
        </w:drawing>
      </w:r>
    </w:p>
    <w:p w14:paraId="5341DC31" w14:textId="77777777" w:rsidR="005044EC" w:rsidRDefault="005044EC" w:rsidP="00607DF1">
      <w:pPr>
        <w:pStyle w:val="Caption"/>
      </w:pPr>
      <w:bookmarkStart w:id="106" w:name="_Ref531002928"/>
      <w:bookmarkStart w:id="107" w:name="_Toc531818609"/>
      <w:bookmarkStart w:id="108" w:name="_Toc26534504"/>
      <w:r w:rsidRPr="008B60E0">
        <w:t xml:space="preserve">Figure </w:t>
      </w:r>
      <w:r w:rsidRPr="008B60E0">
        <w:rPr>
          <w:i/>
          <w:noProof/>
        </w:rPr>
        <w:fldChar w:fldCharType="begin"/>
      </w:r>
      <w:r w:rsidRPr="008B60E0">
        <w:rPr>
          <w:noProof/>
        </w:rPr>
        <w:instrText xml:space="preserve"> SEQ Figure \* ARABIC </w:instrText>
      </w:r>
      <w:r w:rsidRPr="008B60E0">
        <w:rPr>
          <w:i/>
          <w:noProof/>
        </w:rPr>
        <w:fldChar w:fldCharType="separate"/>
      </w:r>
      <w:r w:rsidR="00A82C54">
        <w:rPr>
          <w:noProof/>
        </w:rPr>
        <w:t>4</w:t>
      </w:r>
      <w:r w:rsidRPr="008B60E0">
        <w:rPr>
          <w:i/>
          <w:noProof/>
        </w:rPr>
        <w:fldChar w:fldCharType="end"/>
      </w:r>
      <w:bookmarkEnd w:id="106"/>
      <w:r w:rsidRPr="008B60E0">
        <w:t>: Flowchart summarizing the workflow used in this paper. We begin with photographic images of the slabbed core, followed by simple image processing and data augmentation to generate our core image database. The CNN models we use as feature extractors were previously trained using millions of images on the ImageNet challenge. We then use transfer learning and re-use the ImageNet dataset classification CNN weights. Finally, we train the last layer to provide the desired core image classification.</w:t>
      </w:r>
      <w:bookmarkEnd w:id="107"/>
      <w:bookmarkEnd w:id="108"/>
    </w:p>
    <w:p w14:paraId="20A92D27" w14:textId="77777777" w:rsidR="00DC3A87" w:rsidRPr="00DC3A87" w:rsidRDefault="00DC3A87" w:rsidP="00DC3A87"/>
    <w:p w14:paraId="1535F37C" w14:textId="77777777" w:rsidR="005044EC" w:rsidRPr="008B60E0" w:rsidRDefault="005044EC" w:rsidP="004F4884">
      <w:pPr>
        <w:pStyle w:val="Heading2"/>
      </w:pPr>
      <w:bookmarkStart w:id="109" w:name="_Toc26534594"/>
      <w:r>
        <w:t>Results</w:t>
      </w:r>
      <w:bookmarkEnd w:id="109"/>
    </w:p>
    <w:p w14:paraId="51CA8602" w14:textId="77777777" w:rsidR="005044EC" w:rsidRPr="008B60E0" w:rsidRDefault="005044EC" w:rsidP="005044EC">
      <w:pPr>
        <w:pStyle w:val="SEGBodyText"/>
        <w:rPr>
          <w:rFonts w:ascii="Times New Roman" w:hAnsi="Times New Roman"/>
        </w:rPr>
      </w:pPr>
      <w:r w:rsidRPr="008B60E0">
        <w:rPr>
          <w:rFonts w:ascii="Times New Roman" w:hAnsi="Times New Roman"/>
        </w:rPr>
        <w:t xml:space="preserve">In this section we present the overall results we obtained as well as examples of the classifications performed by the retrained CNNs. Because the results of the four chosen CNNs are similar, we show in this section details of the ResNetV2 retrained CNN (apart from training-test set in </w:t>
      </w:r>
      <w:r w:rsidRPr="008B60E0">
        <w:rPr>
          <w:rFonts w:ascii="Times New Roman" w:hAnsi="Times New Roman"/>
        </w:rPr>
        <w:fldChar w:fldCharType="begin"/>
      </w:r>
      <w:r w:rsidRPr="008B60E0">
        <w:rPr>
          <w:rFonts w:ascii="Times New Roman" w:hAnsi="Times New Roman"/>
        </w:rPr>
        <w:instrText xml:space="preserve"> REF _Ref531006995 \h  \* MERGEFORMAT </w:instrText>
      </w:r>
      <w:r w:rsidRPr="008B60E0">
        <w:rPr>
          <w:rFonts w:ascii="Times New Roman" w:hAnsi="Times New Roman"/>
        </w:rPr>
      </w:r>
      <w:r w:rsidRPr="008B60E0">
        <w:rPr>
          <w:rFonts w:ascii="Times New Roman" w:hAnsi="Times New Roman"/>
        </w:rPr>
        <w:fldChar w:fldCharType="separate"/>
      </w:r>
      <w:r w:rsidR="001C535D" w:rsidRPr="008B60E0">
        <w:rPr>
          <w:rFonts w:ascii="Times New Roman" w:hAnsi="Times New Roman"/>
        </w:rPr>
        <w:t xml:space="preserve">Table </w:t>
      </w:r>
      <w:r w:rsidR="001C535D">
        <w:rPr>
          <w:rFonts w:ascii="Times New Roman" w:hAnsi="Times New Roman"/>
          <w:noProof/>
        </w:rPr>
        <w:t>3</w:t>
      </w:r>
      <w:r w:rsidRPr="008B60E0">
        <w:rPr>
          <w:rFonts w:ascii="Times New Roman" w:hAnsi="Times New Roman"/>
        </w:rPr>
        <w:fldChar w:fldCharType="end"/>
      </w:r>
      <w:r w:rsidRPr="008B60E0">
        <w:rPr>
          <w:rFonts w:ascii="Times New Roman" w:hAnsi="Times New Roman"/>
        </w:rPr>
        <w:t xml:space="preserve">). Plots and tables regarding the other three CNNs are presented in Appendix B.   </w:t>
      </w:r>
    </w:p>
    <w:p w14:paraId="6183C9C6" w14:textId="77777777" w:rsidR="00DC3A87" w:rsidRDefault="005044EC" w:rsidP="005044EC">
      <w:pPr>
        <w:pStyle w:val="SEGBodyText"/>
        <w:rPr>
          <w:rFonts w:ascii="Times New Roman" w:hAnsi="Times New Roman"/>
        </w:rPr>
      </w:pPr>
      <w:r w:rsidRPr="008B60E0">
        <w:rPr>
          <w:rFonts w:ascii="Times New Roman" w:hAnsi="Times New Roman"/>
        </w:rPr>
        <w:t xml:space="preserve">The results for the training-test dataset are </w:t>
      </w:r>
      <w:r>
        <w:rPr>
          <w:rFonts w:ascii="Times New Roman" w:hAnsi="Times New Roman"/>
        </w:rPr>
        <w:t>presented</w:t>
      </w:r>
      <w:r w:rsidRPr="008B60E0">
        <w:rPr>
          <w:rFonts w:ascii="Times New Roman" w:hAnsi="Times New Roman"/>
        </w:rPr>
        <w:t xml:space="preserve"> in </w:t>
      </w:r>
      <w:r w:rsidRPr="008B60E0">
        <w:rPr>
          <w:rFonts w:ascii="Times New Roman" w:hAnsi="Times New Roman"/>
        </w:rPr>
        <w:fldChar w:fldCharType="begin"/>
      </w:r>
      <w:r w:rsidRPr="008B60E0">
        <w:rPr>
          <w:rFonts w:ascii="Times New Roman" w:hAnsi="Times New Roman"/>
        </w:rPr>
        <w:instrText xml:space="preserve"> REF _Ref531006995 \h  \* MERGEFORMAT </w:instrText>
      </w:r>
      <w:r w:rsidRPr="008B60E0">
        <w:rPr>
          <w:rFonts w:ascii="Times New Roman" w:hAnsi="Times New Roman"/>
        </w:rPr>
      </w:r>
      <w:r w:rsidRPr="008B60E0">
        <w:rPr>
          <w:rFonts w:ascii="Times New Roman" w:hAnsi="Times New Roman"/>
        </w:rPr>
        <w:fldChar w:fldCharType="separate"/>
      </w:r>
      <w:r w:rsidR="001C535D" w:rsidRPr="008B60E0">
        <w:rPr>
          <w:rFonts w:ascii="Times New Roman" w:hAnsi="Times New Roman"/>
        </w:rPr>
        <w:t xml:space="preserve">Table </w:t>
      </w:r>
      <w:r w:rsidR="001C535D">
        <w:rPr>
          <w:rFonts w:ascii="Times New Roman" w:hAnsi="Times New Roman"/>
          <w:noProof/>
        </w:rPr>
        <w:t>3</w:t>
      </w:r>
      <w:r w:rsidRPr="008B60E0">
        <w:rPr>
          <w:rFonts w:ascii="Times New Roman" w:hAnsi="Times New Roman"/>
        </w:rPr>
        <w:fldChar w:fldCharType="end"/>
      </w:r>
      <w:r w:rsidRPr="008B60E0">
        <w:rPr>
          <w:rFonts w:ascii="Times New Roman" w:hAnsi="Times New Roman"/>
        </w:rPr>
        <w:t xml:space="preserve">. </w:t>
      </w:r>
    </w:p>
    <w:p w14:paraId="17E0A2F9" w14:textId="77777777" w:rsidR="00DC3A87" w:rsidRDefault="00DC3A87">
      <w:pPr>
        <w:spacing w:line="240" w:lineRule="auto"/>
        <w:rPr>
          <w:rFonts w:ascii="Times New Roman" w:eastAsiaTheme="minorEastAsia" w:hAnsi="Times New Roman"/>
          <w:lang w:bidi="ar-SA"/>
        </w:rPr>
      </w:pPr>
      <w:r>
        <w:rPr>
          <w:rFonts w:ascii="Times New Roman" w:hAnsi="Times New Roman"/>
        </w:rPr>
        <w:br w:type="page"/>
      </w:r>
    </w:p>
    <w:tbl>
      <w:tblPr>
        <w:tblStyle w:val="PlainTable5"/>
        <w:tblW w:w="4050" w:type="dxa"/>
        <w:jc w:val="center"/>
        <w:tblLook w:val="04A0" w:firstRow="1" w:lastRow="0" w:firstColumn="1" w:lastColumn="0" w:noHBand="0" w:noVBand="1"/>
      </w:tblPr>
      <w:tblGrid>
        <w:gridCol w:w="2320"/>
        <w:gridCol w:w="1730"/>
      </w:tblGrid>
      <w:tr w:rsidR="005044EC" w:rsidRPr="008B60E0" w14:paraId="7FA20AF0" w14:textId="77777777" w:rsidTr="00CA3FDF">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100" w:firstRow="0" w:lastRow="0" w:firstColumn="1" w:lastColumn="0" w:oddVBand="0" w:evenVBand="0" w:oddHBand="0" w:evenHBand="0" w:firstRowFirstColumn="1" w:firstRowLastColumn="0" w:lastRowFirstColumn="0" w:lastRowLastColumn="0"/>
            <w:tcW w:w="2320" w:type="dxa"/>
            <w:noWrap/>
            <w:hideMark/>
          </w:tcPr>
          <w:p w14:paraId="1FD8EF78"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lastRenderedPageBreak/>
              <w:t>Model</w:t>
            </w:r>
          </w:p>
        </w:tc>
        <w:tc>
          <w:tcPr>
            <w:tcW w:w="1730" w:type="dxa"/>
            <w:noWrap/>
            <w:hideMark/>
          </w:tcPr>
          <w:p w14:paraId="60678D3B" w14:textId="77777777" w:rsidR="005044EC" w:rsidRPr="008B60E0" w:rsidRDefault="005044EC" w:rsidP="00CA3FD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Training-test Accuracy</w:t>
            </w:r>
          </w:p>
        </w:tc>
      </w:tr>
      <w:tr w:rsidR="005044EC" w:rsidRPr="008B60E0" w14:paraId="510DD71D" w14:textId="77777777" w:rsidTr="00CA3FD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20" w:type="dxa"/>
            <w:noWrap/>
            <w:hideMark/>
          </w:tcPr>
          <w:p w14:paraId="068A98B8"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InceptionV3</w:t>
            </w:r>
          </w:p>
        </w:tc>
        <w:tc>
          <w:tcPr>
            <w:tcW w:w="1730" w:type="dxa"/>
            <w:noWrap/>
            <w:hideMark/>
          </w:tcPr>
          <w:p w14:paraId="0E118451"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0.95</w:t>
            </w:r>
          </w:p>
        </w:tc>
      </w:tr>
      <w:tr w:rsidR="005044EC" w:rsidRPr="008B60E0" w14:paraId="5BF2BB29" w14:textId="77777777" w:rsidTr="00CA3FDF">
        <w:trPr>
          <w:trHeight w:val="300"/>
          <w:jc w:val="center"/>
        </w:trPr>
        <w:tc>
          <w:tcPr>
            <w:cnfStyle w:val="001000000000" w:firstRow="0" w:lastRow="0" w:firstColumn="1" w:lastColumn="0" w:oddVBand="0" w:evenVBand="0" w:oddHBand="0" w:evenHBand="0" w:firstRowFirstColumn="0" w:firstRowLastColumn="0" w:lastRowFirstColumn="0" w:lastRowLastColumn="0"/>
            <w:tcW w:w="2320" w:type="dxa"/>
            <w:noWrap/>
            <w:hideMark/>
          </w:tcPr>
          <w:p w14:paraId="1B025C83"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ResNetV2</w:t>
            </w:r>
          </w:p>
        </w:tc>
        <w:tc>
          <w:tcPr>
            <w:tcW w:w="1730" w:type="dxa"/>
            <w:noWrap/>
            <w:hideMark/>
          </w:tcPr>
          <w:p w14:paraId="44A3D36C"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0.95</w:t>
            </w:r>
          </w:p>
        </w:tc>
      </w:tr>
      <w:tr w:rsidR="005044EC" w:rsidRPr="008B60E0" w14:paraId="2740E1FC" w14:textId="77777777" w:rsidTr="00CA3FD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20" w:type="dxa"/>
            <w:noWrap/>
            <w:hideMark/>
          </w:tcPr>
          <w:p w14:paraId="0A030770"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MobileNetV2</w:t>
            </w:r>
          </w:p>
        </w:tc>
        <w:tc>
          <w:tcPr>
            <w:tcW w:w="1730" w:type="dxa"/>
            <w:noWrap/>
            <w:hideMark/>
          </w:tcPr>
          <w:p w14:paraId="31410A9C"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0.95</w:t>
            </w:r>
          </w:p>
        </w:tc>
      </w:tr>
      <w:tr w:rsidR="005044EC" w:rsidRPr="008B60E0" w14:paraId="1B73C11D" w14:textId="77777777" w:rsidTr="00CA3FDF">
        <w:trPr>
          <w:trHeight w:val="300"/>
          <w:jc w:val="center"/>
        </w:trPr>
        <w:tc>
          <w:tcPr>
            <w:cnfStyle w:val="001000000000" w:firstRow="0" w:lastRow="0" w:firstColumn="1" w:lastColumn="0" w:oddVBand="0" w:evenVBand="0" w:oddHBand="0" w:evenHBand="0" w:firstRowFirstColumn="0" w:firstRowLastColumn="0" w:lastRowFirstColumn="0" w:lastRowLastColumn="0"/>
            <w:tcW w:w="2320" w:type="dxa"/>
            <w:noWrap/>
            <w:hideMark/>
          </w:tcPr>
          <w:p w14:paraId="7F2A35D1"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NASNet</w:t>
            </w:r>
          </w:p>
        </w:tc>
        <w:tc>
          <w:tcPr>
            <w:tcW w:w="1730" w:type="dxa"/>
            <w:noWrap/>
            <w:hideMark/>
          </w:tcPr>
          <w:p w14:paraId="115F98C0"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0.90</w:t>
            </w:r>
          </w:p>
        </w:tc>
      </w:tr>
    </w:tbl>
    <w:p w14:paraId="42C43453" w14:textId="0CBE47FB" w:rsidR="005044EC" w:rsidRDefault="005044EC" w:rsidP="00607DF1">
      <w:pPr>
        <w:pStyle w:val="Caption"/>
      </w:pPr>
      <w:bookmarkStart w:id="110" w:name="_Ref531006995"/>
      <w:bookmarkStart w:id="111" w:name="_Toc23441034"/>
      <w:bookmarkStart w:id="112" w:name="_Toc26534540"/>
      <w:r w:rsidRPr="008B60E0">
        <w:t xml:space="preserve">Table </w:t>
      </w:r>
      <w:r w:rsidRPr="008B60E0">
        <w:rPr>
          <w:i/>
          <w:noProof/>
        </w:rPr>
        <w:fldChar w:fldCharType="begin"/>
      </w:r>
      <w:r w:rsidRPr="008B60E0">
        <w:rPr>
          <w:noProof/>
        </w:rPr>
        <w:instrText xml:space="preserve"> SEQ Table \* ARABIC </w:instrText>
      </w:r>
      <w:r w:rsidRPr="008B60E0">
        <w:rPr>
          <w:i/>
          <w:noProof/>
        </w:rPr>
        <w:fldChar w:fldCharType="separate"/>
      </w:r>
      <w:r w:rsidR="001C535D">
        <w:rPr>
          <w:noProof/>
        </w:rPr>
        <w:t>3</w:t>
      </w:r>
      <w:r w:rsidRPr="008B60E0">
        <w:rPr>
          <w:i/>
          <w:noProof/>
        </w:rPr>
        <w:fldChar w:fldCharType="end"/>
      </w:r>
      <w:bookmarkEnd w:id="110"/>
      <w:r w:rsidRPr="008B60E0">
        <w:t>: Training-test set data results for the different models used for transfer learning.</w:t>
      </w:r>
      <w:bookmarkEnd w:id="111"/>
      <w:bookmarkEnd w:id="112"/>
      <w:r w:rsidRPr="008B60E0">
        <w:t xml:space="preserve"> </w:t>
      </w:r>
    </w:p>
    <w:p w14:paraId="7ADC2BFE" w14:textId="77777777" w:rsidR="00A32BB7" w:rsidRPr="00A32BB7" w:rsidRDefault="00A32BB7" w:rsidP="00A32BB7"/>
    <w:p w14:paraId="7C18363B" w14:textId="77777777" w:rsidR="005044EC" w:rsidRPr="008B60E0" w:rsidRDefault="005044EC" w:rsidP="005044EC">
      <w:pPr>
        <w:pStyle w:val="SEGBodyText"/>
        <w:rPr>
          <w:rFonts w:ascii="Times New Roman" w:hAnsi="Times New Roman"/>
        </w:rPr>
      </w:pPr>
      <w:r w:rsidRPr="008B60E0">
        <w:rPr>
          <w:rFonts w:ascii="Times New Roman" w:hAnsi="Times New Roman"/>
        </w:rPr>
        <w:t>These training-tests accuracies were achieved after 5000 iterations using a gradient descent algorithm. Figure 3 shows the training and validation accuracy result for each step of the gradient descent. The CNN quickly reaches satisfactory levels of accuracy.  After performing feature extraction, only the last classification layer needs to be trained. The training time in a single core CPU with 3.60 GHz maximum speed does not exceed one hour for our dataset for any of the four CNN models used. Access to graphical processing units (GPUs) provides even greater computation speeds.</w:t>
      </w:r>
    </w:p>
    <w:p w14:paraId="47E56CB8" w14:textId="77777777" w:rsidR="005044EC" w:rsidRPr="008B60E0" w:rsidRDefault="005044EC" w:rsidP="005044EC">
      <w:pPr>
        <w:pStyle w:val="SEGBodyText"/>
        <w:rPr>
          <w:rFonts w:ascii="Times New Roman" w:hAnsi="Times New Roman"/>
        </w:rPr>
      </w:pPr>
      <w:r w:rsidRPr="008B60E0">
        <w:rPr>
          <w:rFonts w:ascii="Times New Roman" w:hAnsi="Times New Roman"/>
        </w:rPr>
        <w:fldChar w:fldCharType="begin"/>
      </w:r>
      <w:r w:rsidRPr="008B60E0">
        <w:rPr>
          <w:rFonts w:ascii="Times New Roman" w:hAnsi="Times New Roman"/>
        </w:rPr>
        <w:instrText xml:space="preserve"> REF _Ref531018441 \h  \* MERGEFORMAT </w:instrText>
      </w:r>
      <w:r w:rsidRPr="008B60E0">
        <w:rPr>
          <w:rFonts w:ascii="Times New Roman" w:hAnsi="Times New Roman"/>
        </w:rPr>
      </w:r>
      <w:r w:rsidRPr="008B60E0">
        <w:rPr>
          <w:rFonts w:ascii="Times New Roman" w:hAnsi="Times New Roman"/>
        </w:rPr>
        <w:fldChar w:fldCharType="separate"/>
      </w:r>
      <w:r w:rsidR="001C535D" w:rsidRPr="008B60E0">
        <w:rPr>
          <w:rFonts w:ascii="Times New Roman" w:hAnsi="Times New Roman"/>
        </w:rPr>
        <w:t xml:space="preserve">Figure </w:t>
      </w:r>
      <w:r w:rsidR="001C535D">
        <w:rPr>
          <w:rFonts w:ascii="Times New Roman" w:hAnsi="Times New Roman"/>
          <w:noProof/>
        </w:rPr>
        <w:t>6</w:t>
      </w:r>
      <w:r w:rsidRPr="008B60E0">
        <w:rPr>
          <w:rFonts w:ascii="Times New Roman" w:hAnsi="Times New Roman"/>
        </w:rPr>
        <w:fldChar w:fldCharType="end"/>
      </w:r>
      <w:r w:rsidRPr="008B60E0">
        <w:rPr>
          <w:rFonts w:ascii="Times New Roman" w:hAnsi="Times New Roman"/>
        </w:rPr>
        <w:t xml:space="preserve"> shows representative images from the test dataset classified using the retrained ResNetV2. Although the CNN provides different levels of probability when assigning the classes allowing one to define an acceptable threshold to accept a given prediction, we simply assigned the image to the CNN class exhibiting the highest probability. Because the CNN provides different levels of probability when assigning the classes, we can define an acceptable threshold to accept a given prediction. Choosing different values for this threshold value is also a commonly used tool to analyze the performance of a classifying algorithm.  </w:t>
      </w:r>
      <w:r w:rsidRPr="008B60E0">
        <w:rPr>
          <w:rFonts w:ascii="Times New Roman" w:hAnsi="Times New Roman"/>
        </w:rPr>
        <w:fldChar w:fldCharType="begin" w:fldLock="1"/>
      </w:r>
      <w:r>
        <w:rPr>
          <w:rFonts w:ascii="Times New Roman" w:hAnsi="Times New Roman"/>
        </w:rPr>
        <w:instrText>ADDIN CSL_CITATION {"citationItems":[{"id":"ITEM-1","itemData":{"DOI":"10.1016/J.PATREC.2005.10.010","ISSN":"0167-8655","abstract":"Receiver operating characteristics (ROC) graphs are useful for organizing classifiers and visualizing their performance. ROC graphs are commonly used in medical decision making, and in recent years have been used increasingly in machine learning and data mining research. Although ROC graphs are apparently simple, there are some common misconceptions and pitfalls when using them in practice. The purpose of this article is to serve as an introduction to ROC graphs and as a guide for using them in research.","author":[{"dropping-particle":"","family":"Fawcett","given":"Tom","non-dropping-particle":"","parse-names":false,"suffix":""}],"container-title":"Pattern Recognition Letters","id":"ITEM-1","issue":"8","issued":{"date-parts":[["2006","6","1"]]},"page":"861-874","publisher":"North-Holland","title":"An introduction to ROC analysis","type":"article-journal","volume":"27"},"uris":["http://www.mendeley.com/documents/?uuid=b276f6e0-fafa-3cbc-9c15-7834641be445"]},{"id":"ITEM-2","itemData":{"ISBN":"978-3-540-39857-8","abstract":"Operating Characteristic (ROC) analysis has been successfully applied to classifier problems with two classes. The Area Under the ROC Curve (AUC) has been elected as a better way to evaluate classifiers than predictive accuracy or error and has also recently used for evaluating probability estimators. However, the extension of the Area Under the ROC Curve for more than two classes has not been addressed to date, because of the complexity and elusiveness of its precise definition. Some approximations to the real AUC are used without an exact appraisal of their quality. In this paper, we present the real extension to the Area Under the ROC Curve in the form of the Volume Under the ROC Surface (VUS), showing how to compute the polytope that corresponds to the absence of classifiers (given only by the trivial classifiers), to the best classifier and to whatever set of classifiers. We compare the real VUS with ”approximations” or ”extensions” of the AUC for more than two classes.","author":[{"dropping-particle":"","family":"Ferri","given":"César","non-dropping-particle":"","parse-names":false,"suffix":""},{"dropping-particle":"","family":"Hernández-Orallo","given":"José","non-dropping-particle":"","parse-names":false,"suffix":""},{"dropping-particle":"","family":"Salido","given":"Miguel Angel","non-dropping-particle":"","parse-names":false,"suffix":""}],"editor":[{"dropping-particle":"","family":"Lavrač","given":"Nada","non-dropping-particle":"","parse-names":false,"suffix":""},{"dropping-particle":"","family":"Gamberger","given":"Dragan","non-dropping-particle":"","parse-names":false,"suffix":""},{"dropping-particle":"","family":"Blockeel","given":"Hendrik","non-dropping-particle":"","parse-names":false,"suffix":""},{"dropping-particle":"","family":"Todorovski","given":"Ljupčo","non-dropping-particle":"","parse-names":false,"suffix":""}],"id":"ITEM-2","issued":{"date-parts":[["2003"]]},"page":"108-120","publisher":"Springer Berlin Heidelberg","publisher-place":"Berlin, Heidelberg","title":"Volume under the ROC Surface for Multi-class Problems BT  - Machine Learning: ECML 2003","type":"paper-conference"},"uris":["http://www.mendeley.com/documents/?uuid=a65be39c-da25-4c09-83f8-5210453c1e4a"]},{"id":"ITEM-3","itemData":{"DOI":"10.1016/J.PATREC.2005.10.016","ISSN":"0167-8655","abstract":"The receiver operating characteristic (ROC) has become a standard tool for the analysis and comparison of classifiers when the costs of misclassification are unknown. There has been relatively little work, however, examining ROC for more than two classes. Here we discuss and present an extension to the standard two-class ROC for multi-class problems. We define the ROC surface for the Q-class problem in terms of a multi-objective optimisation problem in which the goal is to simultaneously minimise the Q(Q−1) misclassification rates, when the misclassification costs and parameters governing the classifier’s behaviour are unknown. We present an evolutionary algorithm to locate the Pareto front—the optimal trade-off surface between misclassifications of different types. The use of the Pareto optimal surface to compare classifiers is discussed and we present a straightforward multi-class analogue of the Gini coefficient. The performance of the evolutionary algorithm is illustrated on a synthetic three class problem, for both k-nearest neighbour and multi-layer perceptron classifiers.","author":[{"dropping-particle":"","family":"Everson","given":"Richard M.","non-dropping-particle":"","parse-names":false,"suffix":""},{"dropping-particle":"","family":"Fieldsend","given":"Jonathan E.","non-dropping-particle":"","parse-names":false,"suffix":""}],"container-title":"Pattern Recognition Letters","id":"ITEM-3","issue":"8","issued":{"date-parts":[["2006","6","1"]]},"page":"918-927","publisher":"North-Holland","title":"Multi-class ROC analysis from a multi-objective optimisation perspective","type":"article-journal","volume":"27"},"uris":["http://www.mendeley.com/documents/?uuid=c8e6ba66-9025-3458-9097-2dca9ce0d6ed"]}],"mendeley":{"formattedCitation":"(Everson and Fieldsend, 2006; Fawcett, 2006; Ferri et al., 2003)","manualFormatting":"Ferri et al. (2003), Everson and Fieldsend (2006), and Fawcett (2006)","plainTextFormattedCitation":"(Everson and Fieldsend, 2006; Fawcett, 2006; Ferri et al., 2003)","previouslyFormattedCitation":"(Everson and Fieldsend, 2006; Fawcett, 2006; Ferri et al., 2003)"},"properties":{"noteIndex":0},"schema":"https://github.com/citation-style-language/schema/raw/master/csl-citation.json"}</w:instrText>
      </w:r>
      <w:r w:rsidRPr="008B60E0">
        <w:rPr>
          <w:rFonts w:ascii="Times New Roman" w:hAnsi="Times New Roman"/>
        </w:rPr>
        <w:fldChar w:fldCharType="separate"/>
      </w:r>
      <w:r w:rsidRPr="008B60E0">
        <w:rPr>
          <w:rFonts w:ascii="Times New Roman" w:hAnsi="Times New Roman"/>
          <w:noProof/>
        </w:rPr>
        <w:t>Ferri et al. (2003), Everson and Fieldsend (2006), and Fawcett (2006)</w:t>
      </w:r>
      <w:r w:rsidRPr="008B60E0">
        <w:rPr>
          <w:rFonts w:ascii="Times New Roman" w:hAnsi="Times New Roman"/>
        </w:rPr>
        <w:fldChar w:fldCharType="end"/>
      </w:r>
      <w:r w:rsidRPr="008B60E0">
        <w:rPr>
          <w:rFonts w:ascii="Times New Roman" w:hAnsi="Times New Roman"/>
        </w:rPr>
        <w:t xml:space="preserve"> give details of the receiver operating </w:t>
      </w:r>
      <w:r w:rsidRPr="008B60E0">
        <w:rPr>
          <w:rFonts w:ascii="Times New Roman" w:hAnsi="Times New Roman"/>
        </w:rPr>
        <w:lastRenderedPageBreak/>
        <w:t xml:space="preserve">characteristics graphs that arise when performing such analysis. In this paper, we choose the threshold to be 0.30; this means that we accept the image classification given by the CNN when any possible class receives a probability higher than 0.30. This value was chosen so that all images would be classified, even if the CNN is not very confident. Such threshold value is enough for our model to assign a class for each one of the images in the test set. Figure shows the confusion matrix generated when the test set is classified by the retrained ResNetV2. Precision, recall, F1 score, and support as well as weighted precision, recall, and F1 score are presented in </w:t>
      </w:r>
      <w:r w:rsidRPr="008B60E0">
        <w:rPr>
          <w:rFonts w:ascii="Times New Roman" w:hAnsi="Times New Roman"/>
        </w:rPr>
        <w:fldChar w:fldCharType="begin"/>
      </w:r>
      <w:r w:rsidRPr="008B60E0">
        <w:rPr>
          <w:rFonts w:ascii="Times New Roman" w:hAnsi="Times New Roman"/>
        </w:rPr>
        <w:instrText xml:space="preserve"> REF _Ref531013648 \h  \* MERGEFORMAT </w:instrText>
      </w:r>
      <w:r w:rsidRPr="008B60E0">
        <w:rPr>
          <w:rFonts w:ascii="Times New Roman" w:hAnsi="Times New Roman"/>
        </w:rPr>
      </w:r>
      <w:r w:rsidRPr="008B60E0">
        <w:rPr>
          <w:rFonts w:ascii="Times New Roman" w:hAnsi="Times New Roman"/>
        </w:rPr>
        <w:fldChar w:fldCharType="separate"/>
      </w:r>
      <w:r w:rsidR="001C535D" w:rsidRPr="008B60E0">
        <w:rPr>
          <w:rFonts w:ascii="Times New Roman" w:hAnsi="Times New Roman"/>
        </w:rPr>
        <w:t xml:space="preserve">Figure </w:t>
      </w:r>
      <w:r w:rsidR="001C535D">
        <w:rPr>
          <w:rFonts w:ascii="Times New Roman" w:hAnsi="Times New Roman"/>
          <w:noProof/>
        </w:rPr>
        <w:t>5</w:t>
      </w:r>
      <w:r w:rsidRPr="008B60E0">
        <w:rPr>
          <w:rFonts w:ascii="Times New Roman" w:hAnsi="Times New Roman"/>
        </w:rPr>
        <w:fldChar w:fldCharType="end"/>
      </w:r>
      <w:r w:rsidRPr="008B60E0">
        <w:rPr>
          <w:rFonts w:ascii="Times New Roman" w:hAnsi="Times New Roman"/>
        </w:rPr>
        <w:t xml:space="preserve">. </w:t>
      </w:r>
      <w:r>
        <w:rPr>
          <w:rFonts w:ascii="Times New Roman" w:hAnsi="Times New Roman"/>
        </w:rPr>
        <w:t xml:space="preserve">All these metrics range from 0 (poor performance) to 1 (good performance). Precision and recall indicate how often the model was correct predicting the analyzed class. Precision is defined as ratio of true positives and the sum of true positives and false positives. Recall is defined as </w:t>
      </w:r>
      <w:r w:rsidRPr="0060158C">
        <w:rPr>
          <w:rFonts w:ascii="Times New Roman" w:hAnsi="Times New Roman"/>
        </w:rPr>
        <w:t>ratio between true positives and the sum of true positives and false negatives</w:t>
      </w:r>
      <w:r>
        <w:rPr>
          <w:rFonts w:ascii="Times New Roman" w:hAnsi="Times New Roman"/>
        </w:rPr>
        <w:t>)</w:t>
      </w:r>
      <w:r w:rsidRPr="0060158C">
        <w:rPr>
          <w:rFonts w:ascii="Times New Roman" w:hAnsi="Times New Roman"/>
        </w:rPr>
        <w:t>.</w:t>
      </w:r>
      <w:r>
        <w:rPr>
          <w:rFonts w:ascii="Times New Roman" w:hAnsi="Times New Roman"/>
        </w:rPr>
        <w:t xml:space="preserve"> F1 is the harmonic average of precision and recall. </w:t>
      </w:r>
    </w:p>
    <w:p w14:paraId="4788AF47" w14:textId="77777777" w:rsidR="005044EC" w:rsidRPr="008B60E0" w:rsidRDefault="005044EC" w:rsidP="00A32BB7">
      <w:pPr>
        <w:pStyle w:val="SEGBodyText"/>
        <w:keepNext/>
        <w:spacing w:line="240" w:lineRule="auto"/>
        <w:ind w:firstLine="0"/>
        <w:jc w:val="center"/>
        <w:rPr>
          <w:rFonts w:ascii="Times New Roman" w:hAnsi="Times New Roman"/>
        </w:rPr>
      </w:pPr>
      <w:r w:rsidRPr="008B60E0">
        <w:rPr>
          <w:rFonts w:ascii="Times New Roman" w:hAnsi="Times New Roman"/>
          <w:noProof/>
        </w:rPr>
        <w:drawing>
          <wp:inline distT="0" distB="0" distL="0" distR="0" wp14:anchorId="26E8FD62" wp14:editId="534D6900">
            <wp:extent cx="3283889" cy="2478524"/>
            <wp:effectExtent l="0" t="0" r="0" b="0"/>
            <wp:docPr id="9" name="Picture 9" descr="C:\Users\pire3708\Desktop\tensorflow_cores\MachineLearningProject\runs\resn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ire3708\Desktop\tensorflow_cores\MachineLearningProject\runs\resnet.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90471" cy="2483491"/>
                    </a:xfrm>
                    <a:prstGeom prst="rect">
                      <a:avLst/>
                    </a:prstGeom>
                    <a:noFill/>
                    <a:ln>
                      <a:noFill/>
                    </a:ln>
                  </pic:spPr>
                </pic:pic>
              </a:graphicData>
            </a:graphic>
          </wp:inline>
        </w:drawing>
      </w:r>
    </w:p>
    <w:p w14:paraId="61B907DD" w14:textId="77777777" w:rsidR="005044EC" w:rsidRDefault="005044EC" w:rsidP="00607DF1">
      <w:pPr>
        <w:pStyle w:val="Caption"/>
      </w:pPr>
      <w:bookmarkStart w:id="113" w:name="_Ref531013648"/>
      <w:bookmarkStart w:id="114" w:name="_Toc531818610"/>
      <w:bookmarkStart w:id="115" w:name="_Toc26534505"/>
      <w:r w:rsidRPr="008B60E0">
        <w:t xml:space="preserve">Figure </w:t>
      </w:r>
      <w:r w:rsidRPr="008B60E0">
        <w:rPr>
          <w:i/>
          <w:noProof/>
        </w:rPr>
        <w:fldChar w:fldCharType="begin"/>
      </w:r>
      <w:r w:rsidRPr="008B60E0">
        <w:rPr>
          <w:noProof/>
        </w:rPr>
        <w:instrText xml:space="preserve"> SEQ Figure \* ARABIC </w:instrText>
      </w:r>
      <w:r w:rsidRPr="008B60E0">
        <w:rPr>
          <w:i/>
          <w:noProof/>
        </w:rPr>
        <w:fldChar w:fldCharType="separate"/>
      </w:r>
      <w:r w:rsidR="00A82C54">
        <w:rPr>
          <w:noProof/>
        </w:rPr>
        <w:t>5</w:t>
      </w:r>
      <w:r w:rsidRPr="008B60E0">
        <w:rPr>
          <w:i/>
          <w:noProof/>
        </w:rPr>
        <w:fldChar w:fldCharType="end"/>
      </w:r>
      <w:bookmarkEnd w:id="113"/>
      <w:r w:rsidRPr="008B60E0">
        <w:t>: Validation and training accuracy for the ResNetV2 training. Note that after approximately 1000 iterations the gains are marginal. Because the cost of training the classification layer is inexpensive compared to training the entire model, we can afford to let the model train for many steps.</w:t>
      </w:r>
      <w:bookmarkEnd w:id="114"/>
      <w:bookmarkEnd w:id="115"/>
      <w:r w:rsidRPr="008B60E0">
        <w:t xml:space="preserve"> </w:t>
      </w:r>
    </w:p>
    <w:p w14:paraId="126F97A8" w14:textId="77777777" w:rsidR="0019756A" w:rsidRPr="0019756A" w:rsidRDefault="0019756A" w:rsidP="0019756A"/>
    <w:p w14:paraId="5E19D0DC" w14:textId="77777777" w:rsidR="005044EC" w:rsidRPr="008B60E0" w:rsidRDefault="005044EC" w:rsidP="005044EC">
      <w:pPr>
        <w:keepNext/>
        <w:rPr>
          <w:rFonts w:ascii="Times New Roman" w:hAnsi="Times New Roman"/>
        </w:rPr>
      </w:pPr>
      <w:r w:rsidRPr="008B60E0">
        <w:rPr>
          <w:rFonts w:ascii="Times New Roman" w:hAnsi="Times New Roman"/>
          <w:noProof/>
          <w:lang w:bidi="ar-SA"/>
        </w:rPr>
        <w:lastRenderedPageBreak/>
        <w:drawing>
          <wp:inline distT="0" distB="0" distL="0" distR="0" wp14:anchorId="5BC1FB04" wp14:editId="3BC7B660">
            <wp:extent cx="5086562" cy="2409006"/>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093985" cy="2412522"/>
                    </a:xfrm>
                    <a:prstGeom prst="rect">
                      <a:avLst/>
                    </a:prstGeom>
                    <a:noFill/>
                  </pic:spPr>
                </pic:pic>
              </a:graphicData>
            </a:graphic>
          </wp:inline>
        </w:drawing>
      </w:r>
    </w:p>
    <w:p w14:paraId="1F6E770B" w14:textId="77777777" w:rsidR="005044EC" w:rsidRPr="008B60E0" w:rsidRDefault="005044EC" w:rsidP="00607DF1">
      <w:pPr>
        <w:pStyle w:val="Caption"/>
        <w:rPr>
          <w:i/>
        </w:rPr>
      </w:pPr>
      <w:bookmarkStart w:id="116" w:name="_Ref531018441"/>
      <w:bookmarkStart w:id="117" w:name="_Toc531818611"/>
      <w:bookmarkStart w:id="118" w:name="_Toc26534506"/>
      <w:r w:rsidRPr="008B60E0">
        <w:t xml:space="preserve">Figure </w:t>
      </w:r>
      <w:r w:rsidRPr="008B60E0">
        <w:rPr>
          <w:i/>
          <w:noProof/>
        </w:rPr>
        <w:fldChar w:fldCharType="begin"/>
      </w:r>
      <w:r w:rsidRPr="008B60E0">
        <w:rPr>
          <w:noProof/>
        </w:rPr>
        <w:instrText xml:space="preserve"> SEQ Figure \* ARABIC </w:instrText>
      </w:r>
      <w:r w:rsidRPr="008B60E0">
        <w:rPr>
          <w:i/>
          <w:noProof/>
        </w:rPr>
        <w:fldChar w:fldCharType="separate"/>
      </w:r>
      <w:r w:rsidR="00A82C54">
        <w:rPr>
          <w:noProof/>
        </w:rPr>
        <w:t>6</w:t>
      </w:r>
      <w:r w:rsidRPr="008B60E0">
        <w:rPr>
          <w:i/>
          <w:noProof/>
        </w:rPr>
        <w:fldChar w:fldCharType="end"/>
      </w:r>
      <w:bookmarkEnd w:id="116"/>
      <w:r w:rsidRPr="008B60E0">
        <w:t>: Examples of the classification performed by the retrained ResNetV2. (a)The CNN very confidently assigned the image to the correct class (class 07, Nodular packstone-grainstone). (b)Again the CNN provides a high level of confidence to assign the image to the correct class (class 10, Bioturbated mudstone-wackestone). (c) The CNN still assigns the image to the correct class, but with lower confidence (class 01, Chert breccia in greenish shale matrix is the correct class). (d) The image shows an example in which the CNN failed to correctly assign the class. The CNN assigned a higher confidence for class 03 (Skeletal mudstone-wackestone, with 0.45 probability) whereas the correct class is actually class 06 (Bedded skeletal peloidal packstone-grainstone, 0.29 probability, yellow arrow in the image). Setting a confidence threshold of 0.50 or greater would identify this classification as “ambiguous”, calling for human intervention.</w:t>
      </w:r>
      <w:bookmarkEnd w:id="117"/>
      <w:bookmarkEnd w:id="118"/>
    </w:p>
    <w:p w14:paraId="6BD9A2C8" w14:textId="77777777" w:rsidR="005044EC" w:rsidRPr="008B60E0" w:rsidRDefault="005044EC" w:rsidP="005044EC">
      <w:pPr>
        <w:rPr>
          <w:rFonts w:ascii="Times New Roman" w:hAnsi="Times New Roman"/>
        </w:rPr>
      </w:pPr>
    </w:p>
    <w:p w14:paraId="1746BEEE" w14:textId="77777777" w:rsidR="005044EC" w:rsidRPr="008B60E0" w:rsidRDefault="005044EC" w:rsidP="00A32BB7">
      <w:pPr>
        <w:keepNext/>
        <w:jc w:val="center"/>
        <w:rPr>
          <w:rFonts w:ascii="Times New Roman" w:hAnsi="Times New Roman"/>
        </w:rPr>
      </w:pPr>
      <w:r w:rsidRPr="008B60E0">
        <w:rPr>
          <w:rFonts w:ascii="Times New Roman" w:hAnsi="Times New Roman"/>
          <w:noProof/>
          <w:lang w:bidi="ar-SA"/>
        </w:rPr>
        <w:lastRenderedPageBreak/>
        <w:drawing>
          <wp:inline distT="0" distB="0" distL="0" distR="0" wp14:anchorId="77AC4641" wp14:editId="27103376">
            <wp:extent cx="4190337" cy="4381332"/>
            <wp:effectExtent l="0" t="0" r="1270" b="635"/>
            <wp:docPr id="10" name="Picture 10" descr="C:\Users\pire3708\Desktop\tensorflow_cores\MachineLearningProject\test_curated\resnet_confusion_matr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ire3708\Desktop\tensorflow_cores\MachineLearningProject\test_curated\resnet_confusion_matrix.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200273" cy="4391721"/>
                    </a:xfrm>
                    <a:prstGeom prst="rect">
                      <a:avLst/>
                    </a:prstGeom>
                    <a:noFill/>
                    <a:ln>
                      <a:noFill/>
                    </a:ln>
                  </pic:spPr>
                </pic:pic>
              </a:graphicData>
            </a:graphic>
          </wp:inline>
        </w:drawing>
      </w:r>
    </w:p>
    <w:p w14:paraId="10177613" w14:textId="77777777" w:rsidR="005044EC" w:rsidRPr="008B60E0" w:rsidRDefault="005044EC" w:rsidP="00607DF1">
      <w:pPr>
        <w:pStyle w:val="Caption"/>
        <w:rPr>
          <w:i/>
        </w:rPr>
      </w:pPr>
      <w:bookmarkStart w:id="119" w:name="_Ref531018757"/>
      <w:bookmarkStart w:id="120" w:name="_Toc531818612"/>
      <w:bookmarkStart w:id="121" w:name="_Toc26534507"/>
      <w:r w:rsidRPr="008B60E0">
        <w:t xml:space="preserve">Figure </w:t>
      </w:r>
      <w:r w:rsidRPr="008B60E0">
        <w:rPr>
          <w:i/>
          <w:noProof/>
        </w:rPr>
        <w:fldChar w:fldCharType="begin"/>
      </w:r>
      <w:r w:rsidRPr="008B60E0">
        <w:rPr>
          <w:noProof/>
        </w:rPr>
        <w:instrText xml:space="preserve"> SEQ Figure \* ARABIC </w:instrText>
      </w:r>
      <w:r w:rsidRPr="008B60E0">
        <w:rPr>
          <w:i/>
          <w:noProof/>
        </w:rPr>
        <w:fldChar w:fldCharType="separate"/>
      </w:r>
      <w:r w:rsidR="00A82C54">
        <w:rPr>
          <w:noProof/>
        </w:rPr>
        <w:t>7</w:t>
      </w:r>
      <w:r w:rsidRPr="008B60E0">
        <w:rPr>
          <w:i/>
          <w:noProof/>
        </w:rPr>
        <w:fldChar w:fldCharType="end"/>
      </w:r>
      <w:bookmarkEnd w:id="119"/>
      <w:r w:rsidRPr="008B60E0">
        <w:t xml:space="preserve">: Normalized confusion matrix of the retrained ResNetV2 applied to the test set. Refer to </w:t>
      </w:r>
      <w:r w:rsidRPr="008B60E0">
        <w:rPr>
          <w:i/>
        </w:rPr>
        <w:fldChar w:fldCharType="begin"/>
      </w:r>
      <w:r w:rsidRPr="008B60E0">
        <w:instrText xml:space="preserve"> REF _Ref531958861 \h  \* MERGEFORMAT </w:instrText>
      </w:r>
      <w:r w:rsidRPr="008B60E0">
        <w:rPr>
          <w:i/>
        </w:rPr>
      </w:r>
      <w:r w:rsidRPr="008B60E0">
        <w:rPr>
          <w:i/>
        </w:rPr>
        <w:fldChar w:fldCharType="separate"/>
      </w:r>
      <w:r w:rsidR="001C535D" w:rsidRPr="001C535D">
        <w:t>Table 2</w:t>
      </w:r>
      <w:r w:rsidRPr="008B60E0">
        <w:rPr>
          <w:i/>
        </w:rPr>
        <w:fldChar w:fldCharType="end"/>
      </w:r>
      <w:r w:rsidRPr="008B60E0">
        <w:t xml:space="preserve"> for class lithofacies and number of images for each class.</w:t>
      </w:r>
      <w:bookmarkEnd w:id="120"/>
      <w:bookmarkEnd w:id="121"/>
      <w:r w:rsidRPr="008B60E0">
        <w:t xml:space="preserve"> </w:t>
      </w:r>
    </w:p>
    <w:p w14:paraId="6F19608F" w14:textId="77777777" w:rsidR="005044EC" w:rsidRPr="008B60E0" w:rsidRDefault="005044EC" w:rsidP="00607DF1">
      <w:pPr>
        <w:pStyle w:val="Caption"/>
      </w:pPr>
    </w:p>
    <w:p w14:paraId="3B9A4DDA" w14:textId="77777777" w:rsidR="005044EC" w:rsidRPr="008B60E0" w:rsidRDefault="005044EC" w:rsidP="005044EC">
      <w:pPr>
        <w:rPr>
          <w:rFonts w:ascii="Times New Roman" w:hAnsi="Times New Roman"/>
        </w:rPr>
      </w:pPr>
    </w:p>
    <w:p w14:paraId="29A9806F" w14:textId="77777777" w:rsidR="005044EC" w:rsidRPr="008B60E0" w:rsidRDefault="005044EC" w:rsidP="005044EC">
      <w:pPr>
        <w:rPr>
          <w:rFonts w:ascii="Times New Roman" w:hAnsi="Times New Roman"/>
        </w:rPr>
      </w:pPr>
    </w:p>
    <w:p w14:paraId="66B0ECCD" w14:textId="77777777" w:rsidR="005044EC" w:rsidRPr="008B60E0" w:rsidRDefault="005044EC" w:rsidP="005044EC">
      <w:pPr>
        <w:rPr>
          <w:rFonts w:ascii="Times New Roman" w:hAnsi="Times New Roman"/>
        </w:rPr>
      </w:pPr>
    </w:p>
    <w:p w14:paraId="2C796371" w14:textId="77777777" w:rsidR="005044EC" w:rsidRPr="008B60E0" w:rsidRDefault="005044EC" w:rsidP="005044EC">
      <w:pPr>
        <w:rPr>
          <w:rFonts w:ascii="Times New Roman" w:hAnsi="Times New Roman"/>
        </w:rPr>
      </w:pPr>
    </w:p>
    <w:p w14:paraId="47E8C044" w14:textId="77777777" w:rsidR="005044EC" w:rsidRPr="008B60E0" w:rsidRDefault="005044EC" w:rsidP="005044EC">
      <w:pPr>
        <w:rPr>
          <w:rFonts w:ascii="Times New Roman" w:hAnsi="Times New Roman"/>
        </w:rPr>
      </w:pPr>
    </w:p>
    <w:p w14:paraId="4724BEDA" w14:textId="77777777" w:rsidR="00DC3A87" w:rsidRDefault="00DC3A87">
      <w:pPr>
        <w:spacing w:line="240" w:lineRule="auto"/>
        <w:rPr>
          <w:rFonts w:ascii="Times New Roman" w:hAnsi="Times New Roman"/>
        </w:rPr>
      </w:pPr>
      <w:r>
        <w:rPr>
          <w:rFonts w:ascii="Times New Roman" w:hAnsi="Times New Roman"/>
        </w:rPr>
        <w:br w:type="page"/>
      </w:r>
    </w:p>
    <w:tbl>
      <w:tblPr>
        <w:tblStyle w:val="PlainTable5"/>
        <w:tblW w:w="5339" w:type="dxa"/>
        <w:jc w:val="center"/>
        <w:tblLook w:val="04A0" w:firstRow="1" w:lastRow="0" w:firstColumn="1" w:lastColumn="0" w:noHBand="0" w:noVBand="1"/>
      </w:tblPr>
      <w:tblGrid>
        <w:gridCol w:w="1083"/>
        <w:gridCol w:w="1136"/>
        <w:gridCol w:w="960"/>
        <w:gridCol w:w="1183"/>
        <w:gridCol w:w="977"/>
      </w:tblGrid>
      <w:tr w:rsidR="005044EC" w:rsidRPr="008B60E0" w14:paraId="008DA7BB" w14:textId="77777777" w:rsidTr="00CA3FDF">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100" w:firstRow="0" w:lastRow="0" w:firstColumn="1" w:lastColumn="0" w:oddVBand="0" w:evenVBand="0" w:oddHBand="0" w:evenHBand="0" w:firstRowFirstColumn="1" w:firstRowLastColumn="0" w:lastRowFirstColumn="0" w:lastRowLastColumn="0"/>
            <w:tcW w:w="1083" w:type="dxa"/>
            <w:noWrap/>
            <w:vAlign w:val="center"/>
            <w:hideMark/>
          </w:tcPr>
          <w:p w14:paraId="67BA9C57"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lastRenderedPageBreak/>
              <w:t>Class</w:t>
            </w:r>
          </w:p>
        </w:tc>
        <w:tc>
          <w:tcPr>
            <w:tcW w:w="1136" w:type="dxa"/>
            <w:noWrap/>
            <w:vAlign w:val="center"/>
            <w:hideMark/>
          </w:tcPr>
          <w:p w14:paraId="7D0CAC10" w14:textId="77777777" w:rsidR="005044EC" w:rsidRPr="008B60E0" w:rsidRDefault="005044EC" w:rsidP="00CA3FD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Precision</w:t>
            </w:r>
          </w:p>
        </w:tc>
        <w:tc>
          <w:tcPr>
            <w:tcW w:w="960" w:type="dxa"/>
            <w:noWrap/>
            <w:vAlign w:val="center"/>
            <w:hideMark/>
          </w:tcPr>
          <w:p w14:paraId="6A31E8AE" w14:textId="77777777" w:rsidR="005044EC" w:rsidRPr="008B60E0" w:rsidRDefault="005044EC" w:rsidP="00CA3FD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Recall</w:t>
            </w:r>
          </w:p>
        </w:tc>
        <w:tc>
          <w:tcPr>
            <w:tcW w:w="1183" w:type="dxa"/>
            <w:noWrap/>
            <w:vAlign w:val="center"/>
            <w:hideMark/>
          </w:tcPr>
          <w:p w14:paraId="17B8599E" w14:textId="77777777" w:rsidR="005044EC" w:rsidRPr="008B60E0" w:rsidRDefault="005044EC" w:rsidP="00CA3FD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F1 score</w:t>
            </w:r>
          </w:p>
        </w:tc>
        <w:tc>
          <w:tcPr>
            <w:tcW w:w="977" w:type="dxa"/>
            <w:noWrap/>
            <w:vAlign w:val="center"/>
            <w:hideMark/>
          </w:tcPr>
          <w:p w14:paraId="1652C649" w14:textId="77777777" w:rsidR="005044EC" w:rsidRPr="008B60E0" w:rsidRDefault="005044EC" w:rsidP="00CA3FD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Support</w:t>
            </w:r>
          </w:p>
        </w:tc>
      </w:tr>
      <w:tr w:rsidR="005044EC" w:rsidRPr="008B60E0" w14:paraId="33E3D5B5" w14:textId="77777777" w:rsidTr="00CA3FD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83" w:type="dxa"/>
            <w:noWrap/>
            <w:vAlign w:val="center"/>
            <w:hideMark/>
          </w:tcPr>
          <w:p w14:paraId="55684FCE"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01</w:t>
            </w:r>
          </w:p>
        </w:tc>
        <w:tc>
          <w:tcPr>
            <w:tcW w:w="1136" w:type="dxa"/>
            <w:noWrap/>
            <w:vAlign w:val="center"/>
            <w:hideMark/>
          </w:tcPr>
          <w:p w14:paraId="1DCA6562"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1.00</w:t>
            </w:r>
          </w:p>
        </w:tc>
        <w:tc>
          <w:tcPr>
            <w:tcW w:w="960" w:type="dxa"/>
            <w:noWrap/>
            <w:vAlign w:val="center"/>
            <w:hideMark/>
          </w:tcPr>
          <w:p w14:paraId="78A033D8"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1.00</w:t>
            </w:r>
          </w:p>
        </w:tc>
        <w:tc>
          <w:tcPr>
            <w:tcW w:w="1183" w:type="dxa"/>
            <w:noWrap/>
            <w:vAlign w:val="center"/>
            <w:hideMark/>
          </w:tcPr>
          <w:p w14:paraId="34F1DE1B"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1.00</w:t>
            </w:r>
          </w:p>
        </w:tc>
        <w:tc>
          <w:tcPr>
            <w:tcW w:w="977" w:type="dxa"/>
            <w:noWrap/>
            <w:vAlign w:val="center"/>
            <w:hideMark/>
          </w:tcPr>
          <w:p w14:paraId="3DE2765E"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3</w:t>
            </w:r>
          </w:p>
        </w:tc>
      </w:tr>
      <w:tr w:rsidR="005044EC" w:rsidRPr="008B60E0" w14:paraId="7A3A05DC" w14:textId="77777777" w:rsidTr="00CA3FDF">
        <w:trPr>
          <w:trHeight w:val="300"/>
          <w:jc w:val="center"/>
        </w:trPr>
        <w:tc>
          <w:tcPr>
            <w:cnfStyle w:val="001000000000" w:firstRow="0" w:lastRow="0" w:firstColumn="1" w:lastColumn="0" w:oddVBand="0" w:evenVBand="0" w:oddHBand="0" w:evenHBand="0" w:firstRowFirstColumn="0" w:firstRowLastColumn="0" w:lastRowFirstColumn="0" w:lastRowLastColumn="0"/>
            <w:tcW w:w="1083" w:type="dxa"/>
            <w:noWrap/>
            <w:vAlign w:val="center"/>
            <w:hideMark/>
          </w:tcPr>
          <w:p w14:paraId="468A4743"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02</w:t>
            </w:r>
          </w:p>
        </w:tc>
        <w:tc>
          <w:tcPr>
            <w:tcW w:w="1136" w:type="dxa"/>
            <w:noWrap/>
            <w:vAlign w:val="center"/>
            <w:hideMark/>
          </w:tcPr>
          <w:p w14:paraId="41DCAC42"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1.00</w:t>
            </w:r>
          </w:p>
        </w:tc>
        <w:tc>
          <w:tcPr>
            <w:tcW w:w="960" w:type="dxa"/>
            <w:noWrap/>
            <w:vAlign w:val="center"/>
            <w:hideMark/>
          </w:tcPr>
          <w:p w14:paraId="49C92E6D"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0.33</w:t>
            </w:r>
          </w:p>
        </w:tc>
        <w:tc>
          <w:tcPr>
            <w:tcW w:w="1183" w:type="dxa"/>
            <w:noWrap/>
            <w:vAlign w:val="center"/>
            <w:hideMark/>
          </w:tcPr>
          <w:p w14:paraId="4606EC41"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0.50</w:t>
            </w:r>
          </w:p>
        </w:tc>
        <w:tc>
          <w:tcPr>
            <w:tcW w:w="977" w:type="dxa"/>
            <w:noWrap/>
            <w:vAlign w:val="center"/>
            <w:hideMark/>
          </w:tcPr>
          <w:p w14:paraId="12A25F98"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3</w:t>
            </w:r>
          </w:p>
        </w:tc>
      </w:tr>
      <w:tr w:rsidR="005044EC" w:rsidRPr="008B60E0" w14:paraId="4D8E16D5" w14:textId="77777777" w:rsidTr="00CA3FD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83" w:type="dxa"/>
            <w:noWrap/>
            <w:vAlign w:val="center"/>
            <w:hideMark/>
          </w:tcPr>
          <w:p w14:paraId="1EFFB93E"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03</w:t>
            </w:r>
          </w:p>
        </w:tc>
        <w:tc>
          <w:tcPr>
            <w:tcW w:w="1136" w:type="dxa"/>
            <w:noWrap/>
            <w:vAlign w:val="center"/>
            <w:hideMark/>
          </w:tcPr>
          <w:p w14:paraId="53723DCA"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0.80</w:t>
            </w:r>
          </w:p>
        </w:tc>
        <w:tc>
          <w:tcPr>
            <w:tcW w:w="960" w:type="dxa"/>
            <w:noWrap/>
            <w:vAlign w:val="center"/>
            <w:hideMark/>
          </w:tcPr>
          <w:p w14:paraId="60B9460C"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1.00</w:t>
            </w:r>
          </w:p>
        </w:tc>
        <w:tc>
          <w:tcPr>
            <w:tcW w:w="1183" w:type="dxa"/>
            <w:noWrap/>
            <w:vAlign w:val="center"/>
            <w:hideMark/>
          </w:tcPr>
          <w:p w14:paraId="3EC12821"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0.89</w:t>
            </w:r>
          </w:p>
        </w:tc>
        <w:tc>
          <w:tcPr>
            <w:tcW w:w="977" w:type="dxa"/>
            <w:noWrap/>
            <w:vAlign w:val="center"/>
            <w:hideMark/>
          </w:tcPr>
          <w:p w14:paraId="132D57CD"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4</w:t>
            </w:r>
          </w:p>
        </w:tc>
      </w:tr>
      <w:tr w:rsidR="005044EC" w:rsidRPr="008B60E0" w14:paraId="51C546B8" w14:textId="77777777" w:rsidTr="00CA3FDF">
        <w:trPr>
          <w:trHeight w:val="300"/>
          <w:jc w:val="center"/>
        </w:trPr>
        <w:tc>
          <w:tcPr>
            <w:cnfStyle w:val="001000000000" w:firstRow="0" w:lastRow="0" w:firstColumn="1" w:lastColumn="0" w:oddVBand="0" w:evenVBand="0" w:oddHBand="0" w:evenHBand="0" w:firstRowFirstColumn="0" w:firstRowLastColumn="0" w:lastRowFirstColumn="0" w:lastRowLastColumn="0"/>
            <w:tcW w:w="1083" w:type="dxa"/>
            <w:noWrap/>
            <w:vAlign w:val="center"/>
            <w:hideMark/>
          </w:tcPr>
          <w:p w14:paraId="5F0ECE88"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04</w:t>
            </w:r>
          </w:p>
        </w:tc>
        <w:tc>
          <w:tcPr>
            <w:tcW w:w="1136" w:type="dxa"/>
            <w:noWrap/>
            <w:vAlign w:val="center"/>
            <w:hideMark/>
          </w:tcPr>
          <w:p w14:paraId="5616197D"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1.00</w:t>
            </w:r>
          </w:p>
        </w:tc>
        <w:tc>
          <w:tcPr>
            <w:tcW w:w="960" w:type="dxa"/>
            <w:noWrap/>
            <w:vAlign w:val="center"/>
            <w:hideMark/>
          </w:tcPr>
          <w:p w14:paraId="28DCA156"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1.00</w:t>
            </w:r>
          </w:p>
        </w:tc>
        <w:tc>
          <w:tcPr>
            <w:tcW w:w="1183" w:type="dxa"/>
            <w:noWrap/>
            <w:vAlign w:val="center"/>
            <w:hideMark/>
          </w:tcPr>
          <w:p w14:paraId="33261A50"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1.00</w:t>
            </w:r>
          </w:p>
        </w:tc>
        <w:tc>
          <w:tcPr>
            <w:tcW w:w="977" w:type="dxa"/>
            <w:noWrap/>
            <w:vAlign w:val="center"/>
            <w:hideMark/>
          </w:tcPr>
          <w:p w14:paraId="57CC4022"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3</w:t>
            </w:r>
          </w:p>
        </w:tc>
      </w:tr>
      <w:tr w:rsidR="005044EC" w:rsidRPr="008B60E0" w14:paraId="3C87695A" w14:textId="77777777" w:rsidTr="00CA3FD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83" w:type="dxa"/>
            <w:noWrap/>
            <w:vAlign w:val="center"/>
            <w:hideMark/>
          </w:tcPr>
          <w:p w14:paraId="1836F00A"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05</w:t>
            </w:r>
          </w:p>
        </w:tc>
        <w:tc>
          <w:tcPr>
            <w:tcW w:w="1136" w:type="dxa"/>
            <w:noWrap/>
            <w:vAlign w:val="center"/>
            <w:hideMark/>
          </w:tcPr>
          <w:p w14:paraId="0EA37864"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0.67</w:t>
            </w:r>
          </w:p>
        </w:tc>
        <w:tc>
          <w:tcPr>
            <w:tcW w:w="960" w:type="dxa"/>
            <w:noWrap/>
            <w:vAlign w:val="center"/>
            <w:hideMark/>
          </w:tcPr>
          <w:p w14:paraId="304E561E"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1.00</w:t>
            </w:r>
          </w:p>
        </w:tc>
        <w:tc>
          <w:tcPr>
            <w:tcW w:w="1183" w:type="dxa"/>
            <w:noWrap/>
            <w:vAlign w:val="center"/>
            <w:hideMark/>
          </w:tcPr>
          <w:p w14:paraId="484A82CE"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0.80</w:t>
            </w:r>
          </w:p>
        </w:tc>
        <w:tc>
          <w:tcPr>
            <w:tcW w:w="977" w:type="dxa"/>
            <w:noWrap/>
            <w:vAlign w:val="center"/>
            <w:hideMark/>
          </w:tcPr>
          <w:p w14:paraId="6D8904BB"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4</w:t>
            </w:r>
          </w:p>
        </w:tc>
      </w:tr>
      <w:tr w:rsidR="005044EC" w:rsidRPr="008B60E0" w14:paraId="16B785F9" w14:textId="77777777" w:rsidTr="00CA3FDF">
        <w:trPr>
          <w:trHeight w:val="300"/>
          <w:jc w:val="center"/>
        </w:trPr>
        <w:tc>
          <w:tcPr>
            <w:cnfStyle w:val="001000000000" w:firstRow="0" w:lastRow="0" w:firstColumn="1" w:lastColumn="0" w:oddVBand="0" w:evenVBand="0" w:oddHBand="0" w:evenHBand="0" w:firstRowFirstColumn="0" w:firstRowLastColumn="0" w:lastRowFirstColumn="0" w:lastRowLastColumn="0"/>
            <w:tcW w:w="1083" w:type="dxa"/>
            <w:noWrap/>
            <w:vAlign w:val="center"/>
            <w:hideMark/>
          </w:tcPr>
          <w:p w14:paraId="31E17F6F"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06</w:t>
            </w:r>
          </w:p>
        </w:tc>
        <w:tc>
          <w:tcPr>
            <w:tcW w:w="1136" w:type="dxa"/>
            <w:noWrap/>
            <w:vAlign w:val="center"/>
            <w:hideMark/>
          </w:tcPr>
          <w:p w14:paraId="32E281B8"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0.75</w:t>
            </w:r>
          </w:p>
        </w:tc>
        <w:tc>
          <w:tcPr>
            <w:tcW w:w="960" w:type="dxa"/>
            <w:noWrap/>
            <w:vAlign w:val="center"/>
            <w:hideMark/>
          </w:tcPr>
          <w:p w14:paraId="369732C1"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0.75</w:t>
            </w:r>
          </w:p>
        </w:tc>
        <w:tc>
          <w:tcPr>
            <w:tcW w:w="1183" w:type="dxa"/>
            <w:noWrap/>
            <w:vAlign w:val="center"/>
            <w:hideMark/>
          </w:tcPr>
          <w:p w14:paraId="6182F7D1"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0.75</w:t>
            </w:r>
          </w:p>
        </w:tc>
        <w:tc>
          <w:tcPr>
            <w:tcW w:w="977" w:type="dxa"/>
            <w:noWrap/>
            <w:vAlign w:val="center"/>
            <w:hideMark/>
          </w:tcPr>
          <w:p w14:paraId="786A07BB"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4</w:t>
            </w:r>
          </w:p>
        </w:tc>
      </w:tr>
      <w:tr w:rsidR="005044EC" w:rsidRPr="008B60E0" w14:paraId="30DABD5B" w14:textId="77777777" w:rsidTr="00CA3FD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83" w:type="dxa"/>
            <w:noWrap/>
            <w:vAlign w:val="center"/>
            <w:hideMark/>
          </w:tcPr>
          <w:p w14:paraId="199B70CF"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07</w:t>
            </w:r>
          </w:p>
        </w:tc>
        <w:tc>
          <w:tcPr>
            <w:tcW w:w="1136" w:type="dxa"/>
            <w:noWrap/>
            <w:vAlign w:val="center"/>
            <w:hideMark/>
          </w:tcPr>
          <w:p w14:paraId="7B437662"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0.89</w:t>
            </w:r>
          </w:p>
        </w:tc>
        <w:tc>
          <w:tcPr>
            <w:tcW w:w="960" w:type="dxa"/>
            <w:noWrap/>
            <w:vAlign w:val="center"/>
            <w:hideMark/>
          </w:tcPr>
          <w:p w14:paraId="66218EDA"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0.73</w:t>
            </w:r>
          </w:p>
        </w:tc>
        <w:tc>
          <w:tcPr>
            <w:tcW w:w="1183" w:type="dxa"/>
            <w:noWrap/>
            <w:vAlign w:val="center"/>
            <w:hideMark/>
          </w:tcPr>
          <w:p w14:paraId="307227C6"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0.80</w:t>
            </w:r>
          </w:p>
        </w:tc>
        <w:tc>
          <w:tcPr>
            <w:tcW w:w="977" w:type="dxa"/>
            <w:noWrap/>
            <w:vAlign w:val="center"/>
            <w:hideMark/>
          </w:tcPr>
          <w:p w14:paraId="266CA3F5"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11</w:t>
            </w:r>
          </w:p>
        </w:tc>
      </w:tr>
      <w:tr w:rsidR="005044EC" w:rsidRPr="008B60E0" w14:paraId="576EF6B7" w14:textId="77777777" w:rsidTr="00CA3FDF">
        <w:trPr>
          <w:trHeight w:val="300"/>
          <w:jc w:val="center"/>
        </w:trPr>
        <w:tc>
          <w:tcPr>
            <w:cnfStyle w:val="001000000000" w:firstRow="0" w:lastRow="0" w:firstColumn="1" w:lastColumn="0" w:oddVBand="0" w:evenVBand="0" w:oddHBand="0" w:evenHBand="0" w:firstRowFirstColumn="0" w:firstRowLastColumn="0" w:lastRowFirstColumn="0" w:lastRowLastColumn="0"/>
            <w:tcW w:w="1083" w:type="dxa"/>
            <w:noWrap/>
            <w:vAlign w:val="center"/>
            <w:hideMark/>
          </w:tcPr>
          <w:p w14:paraId="529F0D3F"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09</w:t>
            </w:r>
          </w:p>
        </w:tc>
        <w:tc>
          <w:tcPr>
            <w:tcW w:w="1136" w:type="dxa"/>
            <w:noWrap/>
            <w:vAlign w:val="center"/>
            <w:hideMark/>
          </w:tcPr>
          <w:p w14:paraId="3ACC04C6"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0.90</w:t>
            </w:r>
          </w:p>
        </w:tc>
        <w:tc>
          <w:tcPr>
            <w:tcW w:w="960" w:type="dxa"/>
            <w:noWrap/>
            <w:vAlign w:val="center"/>
            <w:hideMark/>
          </w:tcPr>
          <w:p w14:paraId="3FE0066F"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0.95</w:t>
            </w:r>
          </w:p>
        </w:tc>
        <w:tc>
          <w:tcPr>
            <w:tcW w:w="1183" w:type="dxa"/>
            <w:noWrap/>
            <w:vAlign w:val="center"/>
            <w:hideMark/>
          </w:tcPr>
          <w:p w14:paraId="10639663"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0.92</w:t>
            </w:r>
          </w:p>
        </w:tc>
        <w:tc>
          <w:tcPr>
            <w:tcW w:w="977" w:type="dxa"/>
            <w:noWrap/>
            <w:vAlign w:val="center"/>
            <w:hideMark/>
          </w:tcPr>
          <w:p w14:paraId="578D0112"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19</w:t>
            </w:r>
          </w:p>
        </w:tc>
      </w:tr>
      <w:tr w:rsidR="005044EC" w:rsidRPr="008B60E0" w14:paraId="73193E35" w14:textId="77777777" w:rsidTr="00CA3FD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83" w:type="dxa"/>
            <w:noWrap/>
            <w:vAlign w:val="center"/>
            <w:hideMark/>
          </w:tcPr>
          <w:p w14:paraId="56FBA8E4"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10</w:t>
            </w:r>
          </w:p>
        </w:tc>
        <w:tc>
          <w:tcPr>
            <w:tcW w:w="1136" w:type="dxa"/>
            <w:noWrap/>
            <w:vAlign w:val="center"/>
            <w:hideMark/>
          </w:tcPr>
          <w:p w14:paraId="0F8B0793"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0.57</w:t>
            </w:r>
          </w:p>
        </w:tc>
        <w:tc>
          <w:tcPr>
            <w:tcW w:w="960" w:type="dxa"/>
            <w:noWrap/>
            <w:vAlign w:val="center"/>
            <w:hideMark/>
          </w:tcPr>
          <w:p w14:paraId="63AE5696"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1.00</w:t>
            </w:r>
          </w:p>
        </w:tc>
        <w:tc>
          <w:tcPr>
            <w:tcW w:w="1183" w:type="dxa"/>
            <w:noWrap/>
            <w:vAlign w:val="center"/>
            <w:hideMark/>
          </w:tcPr>
          <w:p w14:paraId="323C9D92"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0.73</w:t>
            </w:r>
          </w:p>
        </w:tc>
        <w:tc>
          <w:tcPr>
            <w:tcW w:w="977" w:type="dxa"/>
            <w:noWrap/>
            <w:vAlign w:val="center"/>
            <w:hideMark/>
          </w:tcPr>
          <w:p w14:paraId="5A75C527"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4</w:t>
            </w:r>
          </w:p>
        </w:tc>
      </w:tr>
      <w:tr w:rsidR="005044EC" w:rsidRPr="008B60E0" w14:paraId="1FD7D84C" w14:textId="77777777" w:rsidTr="00CA3FDF">
        <w:trPr>
          <w:trHeight w:val="300"/>
          <w:jc w:val="center"/>
        </w:trPr>
        <w:tc>
          <w:tcPr>
            <w:cnfStyle w:val="001000000000" w:firstRow="0" w:lastRow="0" w:firstColumn="1" w:lastColumn="0" w:oddVBand="0" w:evenVBand="0" w:oddHBand="0" w:evenHBand="0" w:firstRowFirstColumn="0" w:firstRowLastColumn="0" w:lastRowFirstColumn="0" w:lastRowLastColumn="0"/>
            <w:tcW w:w="1083" w:type="dxa"/>
            <w:noWrap/>
            <w:vAlign w:val="center"/>
            <w:hideMark/>
          </w:tcPr>
          <w:p w14:paraId="2A747DAD"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13-14</w:t>
            </w:r>
          </w:p>
        </w:tc>
        <w:tc>
          <w:tcPr>
            <w:tcW w:w="1136" w:type="dxa"/>
            <w:noWrap/>
            <w:vAlign w:val="center"/>
            <w:hideMark/>
          </w:tcPr>
          <w:p w14:paraId="52062A97"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0.99</w:t>
            </w:r>
          </w:p>
        </w:tc>
        <w:tc>
          <w:tcPr>
            <w:tcW w:w="960" w:type="dxa"/>
            <w:noWrap/>
            <w:vAlign w:val="center"/>
            <w:hideMark/>
          </w:tcPr>
          <w:p w14:paraId="519CCD67"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0.95</w:t>
            </w:r>
          </w:p>
        </w:tc>
        <w:tc>
          <w:tcPr>
            <w:tcW w:w="1183" w:type="dxa"/>
            <w:noWrap/>
            <w:vAlign w:val="center"/>
            <w:hideMark/>
          </w:tcPr>
          <w:p w14:paraId="0780CD80"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0.97</w:t>
            </w:r>
          </w:p>
        </w:tc>
        <w:tc>
          <w:tcPr>
            <w:tcW w:w="977" w:type="dxa"/>
            <w:noWrap/>
            <w:vAlign w:val="center"/>
            <w:hideMark/>
          </w:tcPr>
          <w:p w14:paraId="73585C3F"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79</w:t>
            </w:r>
          </w:p>
        </w:tc>
      </w:tr>
      <w:tr w:rsidR="005044EC" w:rsidRPr="008B60E0" w14:paraId="5FB39F84" w14:textId="77777777" w:rsidTr="00CA3FD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83" w:type="dxa"/>
            <w:tcBorders>
              <w:bottom w:val="single" w:sz="4" w:space="0" w:color="auto"/>
            </w:tcBorders>
            <w:noWrap/>
            <w:vAlign w:val="center"/>
            <w:hideMark/>
          </w:tcPr>
          <w:p w14:paraId="36919561"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16-17</w:t>
            </w:r>
          </w:p>
        </w:tc>
        <w:tc>
          <w:tcPr>
            <w:tcW w:w="1136" w:type="dxa"/>
            <w:tcBorders>
              <w:bottom w:val="single" w:sz="4" w:space="0" w:color="auto"/>
            </w:tcBorders>
            <w:noWrap/>
            <w:vAlign w:val="center"/>
            <w:hideMark/>
          </w:tcPr>
          <w:p w14:paraId="0A1C85CE"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0.94</w:t>
            </w:r>
          </w:p>
        </w:tc>
        <w:tc>
          <w:tcPr>
            <w:tcW w:w="960" w:type="dxa"/>
            <w:tcBorders>
              <w:bottom w:val="single" w:sz="4" w:space="0" w:color="auto"/>
            </w:tcBorders>
            <w:noWrap/>
            <w:vAlign w:val="center"/>
            <w:hideMark/>
          </w:tcPr>
          <w:p w14:paraId="0345E1F8"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0.94</w:t>
            </w:r>
          </w:p>
        </w:tc>
        <w:tc>
          <w:tcPr>
            <w:tcW w:w="1183" w:type="dxa"/>
            <w:tcBorders>
              <w:bottom w:val="single" w:sz="4" w:space="0" w:color="auto"/>
            </w:tcBorders>
            <w:noWrap/>
            <w:vAlign w:val="center"/>
            <w:hideMark/>
          </w:tcPr>
          <w:p w14:paraId="2AFA8810"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0.94</w:t>
            </w:r>
          </w:p>
        </w:tc>
        <w:tc>
          <w:tcPr>
            <w:tcW w:w="977" w:type="dxa"/>
            <w:tcBorders>
              <w:bottom w:val="single" w:sz="4" w:space="0" w:color="auto"/>
            </w:tcBorders>
            <w:noWrap/>
            <w:vAlign w:val="center"/>
            <w:hideMark/>
          </w:tcPr>
          <w:p w14:paraId="6842A4A8"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17</w:t>
            </w:r>
          </w:p>
        </w:tc>
      </w:tr>
      <w:tr w:rsidR="005044EC" w:rsidRPr="008B60E0" w14:paraId="6B16C178" w14:textId="77777777" w:rsidTr="00CA3FDF">
        <w:trPr>
          <w:trHeight w:val="300"/>
          <w:jc w:val="center"/>
        </w:trPr>
        <w:tc>
          <w:tcPr>
            <w:cnfStyle w:val="001000000000" w:firstRow="0" w:lastRow="0" w:firstColumn="1" w:lastColumn="0" w:oddVBand="0" w:evenVBand="0" w:oddHBand="0" w:evenHBand="0" w:firstRowFirstColumn="0" w:firstRowLastColumn="0" w:lastRowFirstColumn="0" w:lastRowLastColumn="0"/>
            <w:tcW w:w="1083" w:type="dxa"/>
            <w:tcBorders>
              <w:top w:val="single" w:sz="4" w:space="0" w:color="auto"/>
              <w:bottom w:val="single" w:sz="4" w:space="0" w:color="auto"/>
            </w:tcBorders>
            <w:noWrap/>
            <w:vAlign w:val="center"/>
            <w:hideMark/>
          </w:tcPr>
          <w:p w14:paraId="08FB66AB"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weighted</w:t>
            </w:r>
          </w:p>
        </w:tc>
        <w:tc>
          <w:tcPr>
            <w:tcW w:w="1136" w:type="dxa"/>
            <w:tcBorders>
              <w:top w:val="single" w:sz="4" w:space="0" w:color="auto"/>
              <w:bottom w:val="single" w:sz="4" w:space="0" w:color="auto"/>
            </w:tcBorders>
            <w:noWrap/>
            <w:vAlign w:val="center"/>
            <w:hideMark/>
          </w:tcPr>
          <w:p w14:paraId="2F9E6E30"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0.93</w:t>
            </w:r>
          </w:p>
        </w:tc>
        <w:tc>
          <w:tcPr>
            <w:tcW w:w="960" w:type="dxa"/>
            <w:tcBorders>
              <w:top w:val="single" w:sz="4" w:space="0" w:color="auto"/>
              <w:bottom w:val="single" w:sz="4" w:space="0" w:color="auto"/>
            </w:tcBorders>
            <w:noWrap/>
            <w:vAlign w:val="center"/>
            <w:hideMark/>
          </w:tcPr>
          <w:p w14:paraId="6BF5E686"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0.92</w:t>
            </w:r>
          </w:p>
        </w:tc>
        <w:tc>
          <w:tcPr>
            <w:tcW w:w="1183" w:type="dxa"/>
            <w:tcBorders>
              <w:top w:val="single" w:sz="4" w:space="0" w:color="auto"/>
              <w:bottom w:val="single" w:sz="4" w:space="0" w:color="auto"/>
            </w:tcBorders>
            <w:noWrap/>
            <w:vAlign w:val="center"/>
            <w:hideMark/>
          </w:tcPr>
          <w:p w14:paraId="5399A0A2"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0.92</w:t>
            </w:r>
          </w:p>
        </w:tc>
        <w:tc>
          <w:tcPr>
            <w:tcW w:w="977" w:type="dxa"/>
            <w:tcBorders>
              <w:top w:val="single" w:sz="4" w:space="0" w:color="auto"/>
              <w:bottom w:val="single" w:sz="4" w:space="0" w:color="auto"/>
            </w:tcBorders>
            <w:noWrap/>
            <w:vAlign w:val="center"/>
            <w:hideMark/>
          </w:tcPr>
          <w:p w14:paraId="47B44DBA"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bl>
    <w:p w14:paraId="6308FDD2" w14:textId="77777777" w:rsidR="005044EC" w:rsidRPr="0019756A" w:rsidRDefault="005044EC" w:rsidP="00DC3A87">
      <w:pPr>
        <w:spacing w:line="240" w:lineRule="auto"/>
        <w:rPr>
          <w:rFonts w:ascii="Times New Roman" w:hAnsi="Times New Roman"/>
        </w:rPr>
      </w:pPr>
      <w:bookmarkStart w:id="122" w:name="_Toc23441035"/>
      <w:bookmarkStart w:id="123" w:name="_Toc26534541"/>
      <w:r w:rsidRPr="0019756A">
        <w:rPr>
          <w:rFonts w:ascii="Times New Roman" w:hAnsi="Times New Roman"/>
        </w:rPr>
        <w:t xml:space="preserve">Table </w:t>
      </w:r>
      <w:r w:rsidRPr="0019756A">
        <w:rPr>
          <w:rFonts w:ascii="Times New Roman" w:hAnsi="Times New Roman"/>
          <w:noProof/>
        </w:rPr>
        <w:fldChar w:fldCharType="begin"/>
      </w:r>
      <w:r w:rsidRPr="0019756A">
        <w:rPr>
          <w:rFonts w:ascii="Times New Roman" w:hAnsi="Times New Roman"/>
          <w:noProof/>
        </w:rPr>
        <w:instrText xml:space="preserve"> SEQ Table \* ARABIC </w:instrText>
      </w:r>
      <w:r w:rsidRPr="0019756A">
        <w:rPr>
          <w:rFonts w:ascii="Times New Roman" w:hAnsi="Times New Roman"/>
          <w:noProof/>
        </w:rPr>
        <w:fldChar w:fldCharType="separate"/>
      </w:r>
      <w:r w:rsidR="001C535D" w:rsidRPr="0019756A">
        <w:rPr>
          <w:rFonts w:ascii="Times New Roman" w:hAnsi="Times New Roman"/>
          <w:noProof/>
        </w:rPr>
        <w:t>4</w:t>
      </w:r>
      <w:r w:rsidRPr="0019756A">
        <w:rPr>
          <w:rFonts w:ascii="Times New Roman" w:hAnsi="Times New Roman"/>
          <w:noProof/>
        </w:rPr>
        <w:fldChar w:fldCharType="end"/>
      </w:r>
      <w:r w:rsidRPr="0019756A">
        <w:rPr>
          <w:rFonts w:ascii="Times New Roman" w:hAnsi="Times New Roman"/>
        </w:rPr>
        <w:t>: Precision, recall, F1 score and support for the classification performed by the retrained ResNetV2. The last row shows the weighted values for each one of the metrics.</w:t>
      </w:r>
      <w:bookmarkEnd w:id="122"/>
      <w:bookmarkEnd w:id="123"/>
      <w:r w:rsidRPr="0019756A">
        <w:rPr>
          <w:rFonts w:ascii="Times New Roman" w:hAnsi="Times New Roman"/>
        </w:rPr>
        <w:t xml:space="preserve">  </w:t>
      </w:r>
    </w:p>
    <w:p w14:paraId="6AFE4A69" w14:textId="77777777" w:rsidR="005044EC" w:rsidRPr="008B60E0" w:rsidRDefault="005044EC" w:rsidP="005044EC">
      <w:pPr>
        <w:rPr>
          <w:rFonts w:ascii="Times New Roman" w:hAnsi="Times New Roman"/>
        </w:rPr>
      </w:pPr>
    </w:p>
    <w:p w14:paraId="38799847" w14:textId="77777777" w:rsidR="005044EC" w:rsidRPr="008B60E0" w:rsidRDefault="005044EC" w:rsidP="004F4884">
      <w:pPr>
        <w:pStyle w:val="Heading2"/>
      </w:pPr>
      <w:bookmarkStart w:id="124" w:name="_Toc26534595"/>
      <w:r>
        <w:t>Discussion</w:t>
      </w:r>
      <w:bookmarkEnd w:id="124"/>
    </w:p>
    <w:p w14:paraId="2BD3B8A1" w14:textId="77777777" w:rsidR="005044EC" w:rsidRPr="008B60E0" w:rsidRDefault="005044EC" w:rsidP="005044EC">
      <w:pPr>
        <w:pStyle w:val="SEGBodyText"/>
        <w:rPr>
          <w:rFonts w:ascii="Times New Roman" w:hAnsi="Times New Roman"/>
        </w:rPr>
      </w:pPr>
      <w:r w:rsidRPr="008B60E0">
        <w:rPr>
          <w:rFonts w:ascii="Times New Roman" w:hAnsi="Times New Roman"/>
        </w:rPr>
        <w:t xml:space="preserve">To our knowledge this is the first study conducted using slabbed core image classification using CNNs. With comparable metrics for all the CNN architectures tested, we observe a high level of concordance (and confidence) between the expert labeled data and the classifications suggested by the CNNs. Using the methodology we presented in this paper, a user can obtain the probability that a standardized picture of a core belongs to one of the described lithofacies even if the user has little experience with core description. This capability can not only accelerate the interpretation of large data volumes by using non-expert technologists, </w:t>
      </w:r>
      <w:r>
        <w:rPr>
          <w:rFonts w:ascii="Times New Roman" w:hAnsi="Times New Roman"/>
        </w:rPr>
        <w:t xml:space="preserve">but </w:t>
      </w:r>
      <w:r w:rsidRPr="00716CA9">
        <w:rPr>
          <w:rFonts w:ascii="Times New Roman" w:hAnsi="Times New Roman"/>
        </w:rPr>
        <w:t xml:space="preserve">also identify </w:t>
      </w:r>
      <w:r w:rsidRPr="00716CA9">
        <w:rPr>
          <w:rFonts w:ascii="Times New Roman" w:hAnsi="Times New Roman"/>
        </w:rPr>
        <w:lastRenderedPageBreak/>
        <w:t xml:space="preserve">inconsistencies in the </w:t>
      </w:r>
      <w:r w:rsidRPr="008B60E0">
        <w:rPr>
          <w:rFonts w:ascii="Times New Roman" w:hAnsi="Times New Roman"/>
        </w:rPr>
        <w:t xml:space="preserve">interpretation between different experts working on the same data. This potential inconsistency suggests that we construct a human interpreter confusion matrix comparing multiple interpretations of the same core. This confusion matrix can then be constructed from a single interpreter and the CNN. Identification of such inconsistencies within teams composed of members with different backgrounds promises to facilitate data comprehension and accelerate project advancement. Even though we use a relatively small database of images, Figure 5 and Table 3 show the retrained ResNetV2 achieved high levels of accuracy.  The remaining three architectures (InceptionV3, MobileNetV2, and NASNet) results also show high levels of accuracy (Appendix B). </w:t>
      </w:r>
    </w:p>
    <w:p w14:paraId="745ED459" w14:textId="77777777" w:rsidR="005044EC" w:rsidRPr="008B60E0" w:rsidRDefault="005044EC" w:rsidP="005044EC">
      <w:pPr>
        <w:pStyle w:val="SEGBodyText"/>
        <w:rPr>
          <w:rFonts w:ascii="Times New Roman" w:hAnsi="Times New Roman"/>
        </w:rPr>
      </w:pPr>
      <w:r w:rsidRPr="008B60E0">
        <w:rPr>
          <w:rFonts w:ascii="Times New Roman" w:hAnsi="Times New Roman"/>
        </w:rPr>
        <w:t>When performing core description, a human interpreter relies on texture</w:t>
      </w:r>
      <w:r w:rsidRPr="00EE47AE">
        <w:rPr>
          <w:rFonts w:ascii="Times New Roman" w:hAnsi="Times New Roman"/>
        </w:rPr>
        <w:t>, structures</w:t>
      </w:r>
      <w:r>
        <w:rPr>
          <w:rFonts w:ascii="Times New Roman" w:hAnsi="Times New Roman"/>
        </w:rPr>
        <w:t>,</w:t>
      </w:r>
      <w:r w:rsidRPr="008B60E0">
        <w:rPr>
          <w:rFonts w:ascii="Times New Roman" w:hAnsi="Times New Roman"/>
        </w:rPr>
        <w:t xml:space="preserve"> and pattern analysis to define the lithofacies being analyzed. In this manner, the classification performed by CNNs are somewhat mimicking human classification. Nonetheless, when a geologist is describing a rock, other rock properties (not visual properties) can be analyzed by the interpreter. Does the mineral react with acid? How hard is the mineral? Therefore, when using CNN models, the user needs to remember that the best result the CNN can provide is only the best result achieved by a visual (and strictly non-tactile) analysis of an image. We can, however, modify the deep learning architectures to be multidimensional. Specially, the digital images can be augmented by measures of resistivity, density</w:t>
      </w:r>
      <w:r>
        <w:rPr>
          <w:rFonts w:ascii="Times New Roman" w:hAnsi="Times New Roman"/>
        </w:rPr>
        <w:t xml:space="preserve">, </w:t>
      </w:r>
      <w:r w:rsidRPr="0065136A">
        <w:rPr>
          <w:rFonts w:ascii="Times New Roman" w:hAnsi="Times New Roman"/>
        </w:rPr>
        <w:t>X-ray fluorescence</w:t>
      </w:r>
      <w:r w:rsidRPr="008B60E0">
        <w:rPr>
          <w:rFonts w:ascii="Times New Roman" w:hAnsi="Times New Roman"/>
        </w:rPr>
        <w:t xml:space="preserve">, Fourier transform infrared spectroscopy, and other measures to produce an even more powerful tool. </w:t>
      </w:r>
    </w:p>
    <w:p w14:paraId="75054EB1" w14:textId="77777777" w:rsidR="005044EC" w:rsidRPr="008B60E0" w:rsidRDefault="005044EC" w:rsidP="005044EC">
      <w:pPr>
        <w:pStyle w:val="SEGBodyText"/>
        <w:rPr>
          <w:rFonts w:ascii="Times New Roman" w:hAnsi="Times New Roman"/>
        </w:rPr>
      </w:pPr>
      <w:r w:rsidRPr="008B60E0">
        <w:rPr>
          <w:rFonts w:ascii="Times New Roman" w:hAnsi="Times New Roman"/>
        </w:rPr>
        <w:t xml:space="preserve">In the architecture we used here, any image used as input to the CNN classifier will predict that the image belongs to one or more of the CNN’s learned classes. This means that the CNN will never declare the image to be none of the pre-defined classes. </w:t>
      </w:r>
      <w:r w:rsidRPr="008B60E0">
        <w:rPr>
          <w:rFonts w:ascii="Times New Roman" w:hAnsi="Times New Roman"/>
        </w:rPr>
        <w:fldChar w:fldCharType="begin"/>
      </w:r>
      <w:r w:rsidRPr="008B60E0">
        <w:rPr>
          <w:rFonts w:ascii="Times New Roman" w:hAnsi="Times New Roman"/>
        </w:rPr>
        <w:instrText xml:space="preserve"> REF _Ref531033263 \h  \* MERGEFORMAT </w:instrText>
      </w:r>
      <w:r w:rsidRPr="008B60E0">
        <w:rPr>
          <w:rFonts w:ascii="Times New Roman" w:hAnsi="Times New Roman"/>
        </w:rPr>
      </w:r>
      <w:r w:rsidRPr="008B60E0">
        <w:rPr>
          <w:rFonts w:ascii="Times New Roman" w:hAnsi="Times New Roman"/>
        </w:rPr>
        <w:fldChar w:fldCharType="separate"/>
      </w:r>
      <w:r w:rsidR="001C535D" w:rsidRPr="001C535D">
        <w:rPr>
          <w:rFonts w:ascii="Times New Roman" w:hAnsi="Times New Roman"/>
          <w:i/>
        </w:rPr>
        <w:t xml:space="preserve">Figure </w:t>
      </w:r>
      <w:r w:rsidR="001C535D" w:rsidRPr="001C535D">
        <w:rPr>
          <w:rFonts w:ascii="Times New Roman" w:hAnsi="Times New Roman"/>
          <w:i/>
          <w:noProof/>
        </w:rPr>
        <w:t>8</w:t>
      </w:r>
      <w:r w:rsidRPr="008B60E0">
        <w:rPr>
          <w:rFonts w:ascii="Times New Roman" w:hAnsi="Times New Roman"/>
        </w:rPr>
        <w:fldChar w:fldCharType="end"/>
      </w:r>
      <w:r w:rsidRPr="008B60E0">
        <w:rPr>
          <w:rFonts w:ascii="Times New Roman" w:hAnsi="Times New Roman"/>
        </w:rPr>
        <w:t xml:space="preserve"> shows the </w:t>
      </w:r>
      <w:r w:rsidRPr="008B60E0">
        <w:rPr>
          <w:rFonts w:ascii="Times New Roman" w:hAnsi="Times New Roman"/>
        </w:rPr>
        <w:lastRenderedPageBreak/>
        <w:t xml:space="preserve">picture of a carpet classified by the retrained ResNetV2. Although there are visual similarities between the carpet and the images in the training set, the resulting classification demonstrates the necessity of quality controlling CNNs output. </w:t>
      </w:r>
    </w:p>
    <w:p w14:paraId="67A8DFF3" w14:textId="77777777" w:rsidR="005044EC" w:rsidRPr="008B60E0" w:rsidRDefault="005044EC" w:rsidP="005044EC">
      <w:pPr>
        <w:pStyle w:val="SEGBodyText"/>
        <w:rPr>
          <w:rFonts w:ascii="Times New Roman" w:hAnsi="Times New Roman"/>
        </w:rPr>
      </w:pPr>
      <w:r w:rsidRPr="008B60E0">
        <w:rPr>
          <w:rFonts w:ascii="Times New Roman" w:hAnsi="Times New Roman"/>
        </w:rPr>
        <w:t xml:space="preserve">Because the CNN models are trained with expert labeled data, such expertise is abstractly maintained in the different parameters optimized in the CNN. Consequently, we can absorb interpretations performed by different specialists and save them in unique CNN models. Such data capture would provide a way of sharing geological knowledge great distances. Geoscientist working in challenging (or simply unfamiliar) geological settings can access the knowledge of a wide range of experts through the use of properly trained CNNs. </w:t>
      </w:r>
    </w:p>
    <w:p w14:paraId="54A44CA9" w14:textId="77777777" w:rsidR="005044EC" w:rsidRPr="008B60E0" w:rsidRDefault="005044EC" w:rsidP="005044EC">
      <w:pPr>
        <w:pStyle w:val="SEGBodyText"/>
        <w:rPr>
          <w:rFonts w:ascii="Times New Roman" w:hAnsi="Times New Roman"/>
        </w:rPr>
      </w:pPr>
      <w:r w:rsidRPr="008B60E0">
        <w:rPr>
          <w:rFonts w:ascii="Times New Roman" w:hAnsi="Times New Roman"/>
        </w:rPr>
        <w:t xml:space="preserve">Human geoscientists will not be replaced by machine learning. Clearly, expert geoscientists are required to construct the labeled training data. Expert scientists are also required to quality control the prediction, perhaps manually examining all predictions that exhibit less than a threshold confidence. Emulating the approach of human geoscientists who subliminally </w:t>
      </w:r>
      <w:r>
        <w:rPr>
          <w:rFonts w:ascii="Times New Roman" w:hAnsi="Times New Roman"/>
        </w:rPr>
        <w:t>apply</w:t>
      </w:r>
      <w:r w:rsidRPr="008B60E0">
        <w:rPr>
          <w:rFonts w:ascii="Times New Roman" w:hAnsi="Times New Roman"/>
        </w:rPr>
        <w:t xml:space="preserve"> models of deposition and diagenesis while examining core, will be very difficult. Linking different lithologies within a parasequence is part of human interpretation. At present, computers have a difficult time with such geoscientific image segmentation problems.</w:t>
      </w:r>
    </w:p>
    <w:p w14:paraId="3E1DD200" w14:textId="77777777" w:rsidR="005044EC" w:rsidRPr="008B60E0" w:rsidRDefault="005044EC" w:rsidP="005044EC">
      <w:pPr>
        <w:pStyle w:val="SEGBodyText"/>
        <w:keepNext/>
        <w:rPr>
          <w:rFonts w:ascii="Times New Roman" w:hAnsi="Times New Roman"/>
        </w:rPr>
      </w:pPr>
    </w:p>
    <w:p w14:paraId="190E2557" w14:textId="77777777" w:rsidR="005044EC" w:rsidRPr="008B60E0" w:rsidRDefault="005044EC" w:rsidP="00A32BB7">
      <w:pPr>
        <w:pStyle w:val="SEGBodyText"/>
        <w:keepNext/>
        <w:spacing w:line="240" w:lineRule="auto"/>
        <w:ind w:firstLine="0"/>
        <w:jc w:val="center"/>
        <w:rPr>
          <w:rFonts w:ascii="Times New Roman" w:hAnsi="Times New Roman"/>
        </w:rPr>
      </w:pPr>
      <w:r w:rsidRPr="008B60E0">
        <w:rPr>
          <w:rFonts w:ascii="Times New Roman" w:hAnsi="Times New Roman"/>
          <w:noProof/>
        </w:rPr>
        <w:drawing>
          <wp:inline distT="0" distB="0" distL="0" distR="0" wp14:anchorId="3392F57B" wp14:editId="27E051B1">
            <wp:extent cx="5216366" cy="3476625"/>
            <wp:effectExtent l="0" t="0" r="381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31623" cy="3486794"/>
                    </a:xfrm>
                    <a:prstGeom prst="rect">
                      <a:avLst/>
                    </a:prstGeom>
                    <a:noFill/>
                  </pic:spPr>
                </pic:pic>
              </a:graphicData>
            </a:graphic>
          </wp:inline>
        </w:drawing>
      </w:r>
    </w:p>
    <w:p w14:paraId="4EBB3E31" w14:textId="77777777" w:rsidR="005044EC" w:rsidRDefault="005044EC" w:rsidP="00607DF1">
      <w:pPr>
        <w:pStyle w:val="Caption"/>
      </w:pPr>
      <w:bookmarkStart w:id="125" w:name="_Ref531033263"/>
      <w:bookmarkStart w:id="126" w:name="_Toc531818613"/>
      <w:bookmarkStart w:id="127" w:name="_Toc26534508"/>
      <w:r w:rsidRPr="008B60E0">
        <w:t xml:space="preserve">Figure </w:t>
      </w:r>
      <w:r w:rsidRPr="008B60E0">
        <w:rPr>
          <w:i/>
          <w:noProof/>
        </w:rPr>
        <w:fldChar w:fldCharType="begin"/>
      </w:r>
      <w:r w:rsidRPr="008B60E0">
        <w:rPr>
          <w:noProof/>
        </w:rPr>
        <w:instrText xml:space="preserve"> SEQ Figure \* ARABIC </w:instrText>
      </w:r>
      <w:r w:rsidRPr="008B60E0">
        <w:rPr>
          <w:i/>
          <w:noProof/>
        </w:rPr>
        <w:fldChar w:fldCharType="separate"/>
      </w:r>
      <w:r w:rsidR="00A82C54">
        <w:rPr>
          <w:noProof/>
        </w:rPr>
        <w:t>8</w:t>
      </w:r>
      <w:r w:rsidRPr="008B60E0">
        <w:rPr>
          <w:i/>
          <w:noProof/>
        </w:rPr>
        <w:fldChar w:fldCharType="end"/>
      </w:r>
      <w:bookmarkEnd w:id="125"/>
      <w:r w:rsidRPr="008B60E0">
        <w:t>: (a) A photographic image of a carpet classified by the ResNetV2, and (b) examples of images from the class 4 training dataset. The CNN is 70% confident that the carpet belongs to class 4 - Skeletal grainstone.</w:t>
      </w:r>
      <w:bookmarkEnd w:id="126"/>
      <w:bookmarkEnd w:id="127"/>
      <w:r w:rsidRPr="008B60E0">
        <w:t xml:space="preserve"> </w:t>
      </w:r>
    </w:p>
    <w:p w14:paraId="004DB180" w14:textId="77777777" w:rsidR="0019756A" w:rsidRPr="0019756A" w:rsidRDefault="0019756A" w:rsidP="0019756A"/>
    <w:p w14:paraId="3F9F2ADB" w14:textId="77777777" w:rsidR="005044EC" w:rsidRPr="008B60E0" w:rsidRDefault="005044EC" w:rsidP="004F4884">
      <w:pPr>
        <w:pStyle w:val="Heading2"/>
      </w:pPr>
      <w:bookmarkStart w:id="128" w:name="_Toc26534596"/>
      <w:r>
        <w:t>S</w:t>
      </w:r>
      <w:r w:rsidRPr="008B60E0">
        <w:t>uggestions for further study</w:t>
      </w:r>
      <w:bookmarkEnd w:id="128"/>
    </w:p>
    <w:p w14:paraId="583BE59B" w14:textId="77777777" w:rsidR="005044EC" w:rsidRPr="008B60E0" w:rsidRDefault="005044EC" w:rsidP="005044EC">
      <w:pPr>
        <w:pStyle w:val="SEGBodyText"/>
        <w:rPr>
          <w:rFonts w:ascii="Times New Roman" w:hAnsi="Times New Roman"/>
        </w:rPr>
      </w:pPr>
      <w:r w:rsidRPr="008B60E0">
        <w:rPr>
          <w:rFonts w:ascii="Times New Roman" w:hAnsi="Times New Roman"/>
        </w:rPr>
        <w:t xml:space="preserve">During the course of the work we had access to pictures of a single core and we presented the results we obtained using modern CNN models for classification for that single interpreted core. We envision the process used in this paper can be used to greatly accelerate the interpretation of multiple cores. Users can achieve such multi-core interpretation result with a more iterative approach: an experienced expert labels the key lithofacies of the region; the CNN is then trained and classifies the remaining cores. The results of such classification are then evaluated by the expert -  a form of active learning </w:t>
      </w:r>
      <w:r w:rsidRPr="008B60E0">
        <w:rPr>
          <w:rFonts w:ascii="Times New Roman" w:hAnsi="Times New Roman"/>
        </w:rPr>
        <w:fldChar w:fldCharType="begin" w:fldLock="1"/>
      </w:r>
      <w:r>
        <w:rPr>
          <w:rFonts w:ascii="Times New Roman" w:hAnsi="Times New Roman"/>
        </w:rPr>
        <w:instrText>ADDIN CSL_CITATION {"citationItems":[{"id":"ITEM-1","itemData":{"DOI":"10.2200/S00429ED1V01Y201207AIM018","author":[{"dropping-particle":"","family":"Settles","given":"Burr","non-dropping-particle":"","parse-names":false,"suffix":""}],"container-title":"Synthesis Lectures on Artificial Intelligence and Machine Learning","id":"ITEM-1","issue":"1","issued":{"date-parts":[["2012"]]},"page":"1-114","title":"Active Learning","type":"article-journal","volume":"6"},"uris":["http://www.mendeley.com/documents/?uuid=818f4244-0592-4ce2-bc50-ede6d4c1eae6"]},{"id":"ITEM-2","itemData":{"author":[{"dropping-particle":"","family":"Sener","given":"Ozan","non-dropping-particle":"","parse-names":false,"suffix":""},{"dropping-particle":"","family":"Savarese","given":"Silvio","non-dropping-particle":"","parse-names":false,"suffix":""}],"container-title":"International Conference on Learning Representations","id":"ITEM-2","issued":{"date-parts":[["2018"]]},"title":"Active Learning for Convolutional Neural Networks: A Core-Set Approach","type":"paper-conference"},"uris":["http://www.mendeley.com/documents/?uuid=417b67f5-66ec-4efe-9652-dcd5a749c7d0"]}],"mendeley":{"formattedCitation":"(Sener and Savarese, 2018; Settles, 2012)","plainTextFormattedCitation":"(Sener and Savarese, 2018; Settles, 2012)","previouslyFormattedCitation":"(Sener and Savarese, 2018; Settles, 2012)"},"properties":{"noteIndex":0},"schema":"https://github.com/citation-style-language/schema/raw/master/csl-citation.json"}</w:instrText>
      </w:r>
      <w:r w:rsidRPr="008B60E0">
        <w:rPr>
          <w:rFonts w:ascii="Times New Roman" w:hAnsi="Times New Roman"/>
        </w:rPr>
        <w:fldChar w:fldCharType="separate"/>
      </w:r>
      <w:r w:rsidRPr="001B3350">
        <w:rPr>
          <w:rFonts w:ascii="Times New Roman" w:hAnsi="Times New Roman"/>
          <w:noProof/>
        </w:rPr>
        <w:t>(Sener and Savarese, 2018; Settles, 2012)</w:t>
      </w:r>
      <w:r w:rsidRPr="008B60E0">
        <w:rPr>
          <w:rFonts w:ascii="Times New Roman" w:hAnsi="Times New Roman"/>
        </w:rPr>
        <w:fldChar w:fldCharType="end"/>
      </w:r>
      <w:r w:rsidRPr="008B60E0">
        <w:rPr>
          <w:rFonts w:ascii="Times New Roman" w:hAnsi="Times New Roman"/>
        </w:rPr>
        <w:t xml:space="preserve">. If necessary, the user can retrain the CNN with a now increased set of labeled images (the </w:t>
      </w:r>
      <w:r w:rsidRPr="008B60E0">
        <w:rPr>
          <w:rFonts w:ascii="Times New Roman" w:hAnsi="Times New Roman"/>
        </w:rPr>
        <w:lastRenderedPageBreak/>
        <w:t xml:space="preserve">originally expert-labeled images and the new CNN-labeled images). In this manner, many miles of core can be interpreted with lower effort. </w:t>
      </w:r>
      <w:r>
        <w:rPr>
          <w:rFonts w:ascii="Times New Roman" w:hAnsi="Times New Roman"/>
        </w:rPr>
        <w:t>Several new challenges can arise w</w:t>
      </w:r>
      <w:r w:rsidRPr="00BA042D">
        <w:rPr>
          <w:rFonts w:ascii="Times New Roman" w:hAnsi="Times New Roman"/>
        </w:rPr>
        <w:t xml:space="preserve">hen </w:t>
      </w:r>
      <w:r>
        <w:rPr>
          <w:rFonts w:ascii="Times New Roman" w:hAnsi="Times New Roman"/>
        </w:rPr>
        <w:t xml:space="preserve">working with </w:t>
      </w:r>
      <w:r w:rsidRPr="00BA042D">
        <w:rPr>
          <w:rFonts w:ascii="Times New Roman" w:hAnsi="Times New Roman"/>
        </w:rPr>
        <w:t>historical data of lesser quality, different formats, with different interpretations</w:t>
      </w:r>
      <w:r>
        <w:rPr>
          <w:rFonts w:ascii="Times New Roman" w:hAnsi="Times New Roman"/>
        </w:rPr>
        <w:t>, and from different well locations sampling different geology</w:t>
      </w:r>
      <w:r w:rsidRPr="00BA042D">
        <w:rPr>
          <w:rFonts w:ascii="Times New Roman" w:hAnsi="Times New Roman"/>
        </w:rPr>
        <w:t xml:space="preserve">. This paper </w:t>
      </w:r>
      <w:r>
        <w:rPr>
          <w:rFonts w:ascii="Times New Roman" w:hAnsi="Times New Roman"/>
        </w:rPr>
        <w:t>shows one successful application of a growing technology</w:t>
      </w:r>
      <w:r w:rsidRPr="00BA042D">
        <w:rPr>
          <w:rFonts w:ascii="Times New Roman" w:hAnsi="Times New Roman"/>
        </w:rPr>
        <w:t xml:space="preserve">, </w:t>
      </w:r>
      <w:r>
        <w:rPr>
          <w:rFonts w:ascii="Times New Roman" w:hAnsi="Times New Roman"/>
        </w:rPr>
        <w:t>however different evaluations need to be addressed for every specific task</w:t>
      </w:r>
      <w:r w:rsidRPr="00BA042D">
        <w:rPr>
          <w:rFonts w:ascii="Times New Roman" w:hAnsi="Times New Roman"/>
        </w:rPr>
        <w:t xml:space="preserve">. </w:t>
      </w:r>
      <w:r>
        <w:rPr>
          <w:rFonts w:ascii="Times New Roman" w:hAnsi="Times New Roman"/>
        </w:rPr>
        <w:t xml:space="preserve">When these extra variables, such as poor-quality data or multiple wells with inconsistent interpretations, </w:t>
      </w:r>
      <w:r w:rsidRPr="00BA042D">
        <w:rPr>
          <w:rFonts w:ascii="Times New Roman" w:hAnsi="Times New Roman"/>
        </w:rPr>
        <w:t>it is likely that the performance</w:t>
      </w:r>
      <w:r>
        <w:rPr>
          <w:rFonts w:ascii="Times New Roman" w:hAnsi="Times New Roman"/>
        </w:rPr>
        <w:t xml:space="preserve"> will be negatively affected</w:t>
      </w:r>
      <w:r w:rsidRPr="00BA042D">
        <w:rPr>
          <w:rFonts w:ascii="Times New Roman" w:hAnsi="Times New Roman"/>
        </w:rPr>
        <w:t xml:space="preserve">. </w:t>
      </w:r>
    </w:p>
    <w:p w14:paraId="0CE44F91" w14:textId="77777777" w:rsidR="005044EC" w:rsidRPr="008B60E0" w:rsidRDefault="005044EC" w:rsidP="005044EC">
      <w:pPr>
        <w:pStyle w:val="SEGBodyText"/>
        <w:rPr>
          <w:rFonts w:ascii="Times New Roman" w:hAnsi="Times New Roman"/>
          <w:caps/>
        </w:rPr>
      </w:pPr>
      <w:r w:rsidRPr="008B60E0">
        <w:rPr>
          <w:rFonts w:ascii="Times New Roman" w:hAnsi="Times New Roman"/>
        </w:rPr>
        <w:t xml:space="preserve">For this project we relied on standardized core pictures and a simple sliding window to extract images. Therefore, it is reasonable to assume that some images will show more than one lithofacies. Different ways of data acquisition can further improve the results of CNN models. </w:t>
      </w:r>
    </w:p>
    <w:p w14:paraId="2DCD2280" w14:textId="77777777" w:rsidR="005044EC" w:rsidRPr="008B60E0" w:rsidRDefault="005044EC" w:rsidP="004F4884">
      <w:pPr>
        <w:pStyle w:val="Heading2"/>
      </w:pPr>
      <w:bookmarkStart w:id="129" w:name="_Toc26534597"/>
      <w:r>
        <w:t>Conclusions</w:t>
      </w:r>
      <w:bookmarkEnd w:id="129"/>
    </w:p>
    <w:p w14:paraId="31B16483" w14:textId="77777777" w:rsidR="005044EC" w:rsidRPr="008B60E0" w:rsidRDefault="005044EC" w:rsidP="005044EC">
      <w:pPr>
        <w:pStyle w:val="SEGBodyText"/>
        <w:rPr>
          <w:rFonts w:ascii="Times New Roman" w:hAnsi="Times New Roman"/>
        </w:rPr>
      </w:pPr>
      <w:r w:rsidRPr="008B60E0">
        <w:rPr>
          <w:rFonts w:ascii="Times New Roman" w:hAnsi="Times New Roman"/>
        </w:rPr>
        <w:t xml:space="preserve">In this paper, we provide one of the first attempts to conduct automated core lithofacies classification using CNNs. The methodology we use does not depend on specialized bench work and can be applied to existing images of slabbed cores. </w:t>
      </w:r>
    </w:p>
    <w:p w14:paraId="7D69D186" w14:textId="77777777" w:rsidR="005044EC" w:rsidRPr="008B60E0" w:rsidRDefault="005044EC" w:rsidP="005044EC">
      <w:pPr>
        <w:pStyle w:val="SEGBodyText"/>
        <w:rPr>
          <w:rFonts w:ascii="Times New Roman" w:hAnsi="Times New Roman"/>
        </w:rPr>
      </w:pPr>
      <w:r w:rsidRPr="008B60E0">
        <w:rPr>
          <w:rFonts w:ascii="Times New Roman" w:hAnsi="Times New Roman"/>
        </w:rPr>
        <w:t xml:space="preserve">Efforts in data digitization are important initiatives to </w:t>
      </w:r>
      <w:r>
        <w:rPr>
          <w:rFonts w:ascii="Times New Roman" w:hAnsi="Times New Roman"/>
        </w:rPr>
        <w:t>preserve</w:t>
      </w:r>
      <w:r w:rsidRPr="008B60E0">
        <w:rPr>
          <w:rFonts w:ascii="Times New Roman" w:hAnsi="Times New Roman"/>
        </w:rPr>
        <w:t xml:space="preserve"> scientific knowledge and the approach we use here can be improved with information generated from such endeavors. The development of customized core-databases can be of extreme value for companies and researchers that have work dependent on core description. When operators need to reevaluate prospective plays -due to new acreage acquisition or to update the geological knowledge with modern geological information- thousands of feet of expensive slabbed core might be overlooked due to time and personnel constraints. Further development of the project we present here will </w:t>
      </w:r>
      <w:r w:rsidRPr="008B60E0">
        <w:rPr>
          <w:rFonts w:ascii="Times New Roman" w:hAnsi="Times New Roman"/>
        </w:rPr>
        <w:lastRenderedPageBreak/>
        <w:t>ultimately speed up the process of core description with the use of slabbed core specific CNN models.</w:t>
      </w:r>
    </w:p>
    <w:p w14:paraId="5F97FD03" w14:textId="77777777" w:rsidR="005044EC" w:rsidRPr="008B60E0" w:rsidRDefault="005044EC" w:rsidP="005044EC">
      <w:pPr>
        <w:pStyle w:val="SEGBodyText"/>
        <w:rPr>
          <w:rFonts w:ascii="Times New Roman" w:hAnsi="Times New Roman"/>
        </w:rPr>
      </w:pPr>
      <w:r w:rsidRPr="008B60E0">
        <w:rPr>
          <w:rFonts w:ascii="Times New Roman" w:hAnsi="Times New Roman"/>
        </w:rPr>
        <w:t>Using the technology we applied in this paper, an experienced geologist describes a small percentage of the core using traditional, careful, and standardized “visual and tactile” lithologic description and then uses such information to train a CNN. The trained CNN can then classify the remaining core -the geologist can quality control the results and will have more time to work on the necessary details. The methodology we used here can be used to standardize interpretation in large collections of core data. As interpretation might be subjective, teams can choose to maintain “the best” interpreter knowledge abstractly captured by a CNN trained with data labeled by the most experienced geologist, or to train a CNN using only new concepts. A task that would be infeasible now (having different specialists interpreting miles of core) can be achieved with the help of CNN models.</w:t>
      </w:r>
    </w:p>
    <w:p w14:paraId="64D23554" w14:textId="77777777" w:rsidR="0019756A" w:rsidRDefault="0019756A">
      <w:pPr>
        <w:spacing w:line="240" w:lineRule="auto"/>
        <w:rPr>
          <w:rFonts w:ascii="Times New Roman" w:eastAsiaTheme="minorEastAsia" w:hAnsi="Times New Roman"/>
          <w:lang w:bidi="ar-SA"/>
        </w:rPr>
      </w:pPr>
      <w:r>
        <w:rPr>
          <w:rFonts w:ascii="Times New Roman" w:hAnsi="Times New Roman"/>
        </w:rPr>
        <w:br w:type="page"/>
      </w:r>
    </w:p>
    <w:p w14:paraId="6F54BE2A" w14:textId="77777777" w:rsidR="005044EC" w:rsidRPr="008B60E0" w:rsidRDefault="005044EC" w:rsidP="004F4884">
      <w:pPr>
        <w:pStyle w:val="Heading2"/>
      </w:pPr>
      <w:bookmarkStart w:id="130" w:name="_Toc26534598"/>
      <w:r>
        <w:lastRenderedPageBreak/>
        <w:t>A</w:t>
      </w:r>
      <w:r w:rsidRPr="008B60E0">
        <w:t>cknowledgments</w:t>
      </w:r>
      <w:bookmarkEnd w:id="130"/>
    </w:p>
    <w:p w14:paraId="21104B9E" w14:textId="77777777" w:rsidR="004F4884" w:rsidRDefault="005044EC" w:rsidP="005044EC">
      <w:pPr>
        <w:pStyle w:val="SEGBodyText"/>
        <w:rPr>
          <w:rFonts w:ascii="Times New Roman" w:hAnsi="Times New Roman"/>
        </w:rPr>
      </w:pPr>
      <w:r w:rsidRPr="008B60E0">
        <w:rPr>
          <w:rFonts w:ascii="Times New Roman" w:hAnsi="Times New Roman"/>
        </w:rPr>
        <w:t>Rafael acknowledges CNPq (grant 203589/2014-9) for graduate sponsorship and CPRM for granting absence of leave. We thank TensorFlow (https://www.tensorflow.org) and Keras communities (https://keras.io) for making valuable deep learning tools available to the public. The funding for this project was provided by the industry sponsors of the OU Attribute-Assisted Seismic Processing and Interpretation (AASPI) Consortium. The funding for the original core analysis was provided by the industrial sponsors of the OU Mississippi Lime Consortium.</w:t>
      </w:r>
      <w:r>
        <w:rPr>
          <w:rFonts w:ascii="Times New Roman" w:hAnsi="Times New Roman"/>
        </w:rPr>
        <w:t xml:space="preserve"> We thank the anonymous reviewers that helped us improve the quality of this manuscript. We are thankful for Irene Espejo’s support and careful review of the manuscript. </w:t>
      </w:r>
    </w:p>
    <w:p w14:paraId="0931B7B4" w14:textId="77777777" w:rsidR="004F4884" w:rsidRDefault="004F4884">
      <w:pPr>
        <w:spacing w:line="240" w:lineRule="auto"/>
        <w:rPr>
          <w:rFonts w:ascii="Times New Roman" w:eastAsiaTheme="minorEastAsia" w:hAnsi="Times New Roman"/>
          <w:lang w:bidi="ar-SA"/>
        </w:rPr>
      </w:pPr>
      <w:r>
        <w:rPr>
          <w:rFonts w:ascii="Times New Roman" w:hAnsi="Times New Roman"/>
        </w:rPr>
        <w:br w:type="page"/>
      </w:r>
    </w:p>
    <w:p w14:paraId="53613CEC" w14:textId="77777777" w:rsidR="005044EC" w:rsidRPr="008B60E0" w:rsidRDefault="005044EC" w:rsidP="004F4884">
      <w:pPr>
        <w:pStyle w:val="Heading2"/>
      </w:pPr>
      <w:bookmarkStart w:id="131" w:name="_Toc26534599"/>
      <w:r w:rsidRPr="008B60E0">
        <w:lastRenderedPageBreak/>
        <w:t>A</w:t>
      </w:r>
      <w:r w:rsidR="009E2892">
        <w:t>ppendix A</w:t>
      </w:r>
      <w:bookmarkEnd w:id="131"/>
    </w:p>
    <w:p w14:paraId="546AFCFB" w14:textId="77777777" w:rsidR="005044EC" w:rsidRPr="008B60E0" w:rsidRDefault="005044EC" w:rsidP="004F4884">
      <w:pPr>
        <w:pStyle w:val="Heading3"/>
      </w:pPr>
      <w:bookmarkStart w:id="132" w:name="_Toc26534600"/>
      <w:r w:rsidRPr="008B60E0">
        <w:t>Convolutional neural networks intuitions</w:t>
      </w:r>
      <w:bookmarkEnd w:id="132"/>
    </w:p>
    <w:p w14:paraId="2777FB75" w14:textId="77777777" w:rsidR="005044EC" w:rsidRPr="008B60E0" w:rsidRDefault="005044EC" w:rsidP="005044EC">
      <w:pPr>
        <w:pStyle w:val="SEGBodyText"/>
        <w:rPr>
          <w:rFonts w:ascii="Times New Roman" w:hAnsi="Times New Roman"/>
        </w:rPr>
      </w:pPr>
      <w:r w:rsidRPr="008B60E0">
        <w:rPr>
          <w:rFonts w:ascii="Times New Roman" w:hAnsi="Times New Roman"/>
        </w:rPr>
        <w:t xml:space="preserve">Although deep learning and convolutional neural networks (CNN) seem to have become buzzwords, the intuition of how these techniques work might be obscured for some of us. Although CNN models are becoming increasingly complexes, the building blocks are very familiar to us geoscientists. Convolutions – whereas performed in one, two, three, or n-dimensions - are the same operations we become familiarized when dealing with a seismic wavelet convolving with the Earth’s reflectivity series. Many seismic attributes are also based on convolutions. Innumerous apps and software offer the user the option to extract the edges of an image – or to blur such image. These are just a few of many convolution operations we commonly encounter. Our objective with this appendix is to give a short and informal overview of the essentials of CNNs. </w:t>
      </w:r>
    </w:p>
    <w:p w14:paraId="40F67BEA" w14:textId="77777777" w:rsidR="005044EC" w:rsidRPr="008B60E0" w:rsidRDefault="005044EC" w:rsidP="005044EC">
      <w:pPr>
        <w:pStyle w:val="SEGBodyText"/>
        <w:rPr>
          <w:rFonts w:ascii="Times New Roman" w:hAnsi="Times New Roman"/>
        </w:rPr>
      </w:pPr>
      <w:r w:rsidRPr="008B60E0">
        <w:rPr>
          <w:rFonts w:ascii="Times New Roman" w:hAnsi="Times New Roman"/>
        </w:rPr>
        <w:t xml:space="preserve">When using CNNs for image classification tasks, the models use the resulted filtered image (an image convolved with a convolution kernel) as input to another operation (or the next layer). The deep learning nomenclature comes from this pattern – the input of a layer is used as input to the next one. </w:t>
      </w:r>
    </w:p>
    <w:p w14:paraId="4AFC93A1" w14:textId="77777777" w:rsidR="005044EC" w:rsidRPr="008B60E0" w:rsidRDefault="005044EC" w:rsidP="005044EC">
      <w:pPr>
        <w:pStyle w:val="SEGBodyText"/>
        <w:rPr>
          <w:rFonts w:ascii="Times New Roman" w:hAnsi="Times New Roman"/>
        </w:rPr>
      </w:pPr>
      <w:r w:rsidRPr="008B60E0">
        <w:rPr>
          <w:rFonts w:ascii="Times New Roman" w:hAnsi="Times New Roman"/>
        </w:rPr>
        <w:t>In this appendix, we have an easy task for a CNN: to classify three classes of very distinct images (</w:t>
      </w:r>
      <w:r w:rsidRPr="008B60E0">
        <w:rPr>
          <w:rFonts w:ascii="Times New Roman" w:hAnsi="Times New Roman"/>
        </w:rPr>
        <w:fldChar w:fldCharType="begin"/>
      </w:r>
      <w:r w:rsidRPr="008B60E0">
        <w:rPr>
          <w:rFonts w:ascii="Times New Roman" w:hAnsi="Times New Roman"/>
        </w:rPr>
        <w:instrText xml:space="preserve"> REF _Ref531010644 \h  \* MERGEFORMAT </w:instrText>
      </w:r>
      <w:r w:rsidRPr="008B60E0">
        <w:rPr>
          <w:rFonts w:ascii="Times New Roman" w:hAnsi="Times New Roman"/>
        </w:rPr>
      </w:r>
      <w:r w:rsidRPr="008B60E0">
        <w:rPr>
          <w:rFonts w:ascii="Times New Roman" w:hAnsi="Times New Roman"/>
        </w:rPr>
        <w:fldChar w:fldCharType="separate"/>
      </w:r>
      <w:r w:rsidR="001C535D" w:rsidRPr="008B60E0">
        <w:rPr>
          <w:rFonts w:ascii="Times New Roman" w:hAnsi="Times New Roman"/>
        </w:rPr>
        <w:t xml:space="preserve">Figure A- </w:t>
      </w:r>
      <w:r w:rsidR="001C535D" w:rsidRPr="001C535D">
        <w:rPr>
          <w:rFonts w:ascii="Times New Roman" w:hAnsi="Times New Roman"/>
          <w:i/>
          <w:noProof/>
        </w:rPr>
        <w:t>1</w:t>
      </w:r>
      <w:r w:rsidRPr="008B60E0">
        <w:rPr>
          <w:rFonts w:ascii="Times New Roman" w:hAnsi="Times New Roman"/>
        </w:rPr>
        <w:fldChar w:fldCharType="end"/>
      </w:r>
      <w:r w:rsidRPr="008B60E0">
        <w:rPr>
          <w:rFonts w:ascii="Times New Roman" w:hAnsi="Times New Roman"/>
        </w:rPr>
        <w:t xml:space="preserve">). Each class has 10 examples of RGB images 180 x 180 pixels that were extracted from pictures of a slabbed core in the Mississippian limestone and chert reservoirs. Geologists can easily tell the difference between the classes and could probably correctly name the lithofacies even with these low-resolution images. The CNN actually needs the interpreter </w:t>
      </w:r>
      <w:r w:rsidRPr="008B60E0">
        <w:rPr>
          <w:rFonts w:ascii="Times New Roman" w:hAnsi="Times New Roman"/>
        </w:rPr>
        <w:lastRenderedPageBreak/>
        <w:t xml:space="preserve">(the domain expert) to correctly label the images and separate them – in our simple example we are simply calling the lithofacies class 1, class 2, and class 3. </w:t>
      </w:r>
    </w:p>
    <w:p w14:paraId="56B8563D" w14:textId="77777777" w:rsidR="005044EC" w:rsidRPr="008B60E0" w:rsidRDefault="005044EC" w:rsidP="005044EC">
      <w:pPr>
        <w:pStyle w:val="SEGBodyText"/>
        <w:rPr>
          <w:rFonts w:ascii="Times New Roman" w:hAnsi="Times New Roman"/>
        </w:rPr>
      </w:pPr>
      <w:r w:rsidRPr="008B60E0">
        <w:rPr>
          <w:rFonts w:ascii="Times New Roman" w:hAnsi="Times New Roman"/>
        </w:rPr>
        <w:t xml:space="preserve">We design a not-so-deep CNN showed in </w:t>
      </w:r>
      <w:r w:rsidRPr="008B60E0">
        <w:rPr>
          <w:rFonts w:ascii="Times New Roman" w:hAnsi="Times New Roman"/>
        </w:rPr>
        <w:fldChar w:fldCharType="begin"/>
      </w:r>
      <w:r w:rsidRPr="008B60E0">
        <w:rPr>
          <w:rFonts w:ascii="Times New Roman" w:hAnsi="Times New Roman"/>
        </w:rPr>
        <w:instrText xml:space="preserve"> REF _Ref531009024 \h  \* MERGEFORMAT </w:instrText>
      </w:r>
      <w:r w:rsidRPr="008B60E0">
        <w:rPr>
          <w:rFonts w:ascii="Times New Roman" w:hAnsi="Times New Roman"/>
        </w:rPr>
      </w:r>
      <w:r w:rsidRPr="008B60E0">
        <w:rPr>
          <w:rFonts w:ascii="Times New Roman" w:hAnsi="Times New Roman"/>
        </w:rPr>
        <w:fldChar w:fldCharType="separate"/>
      </w:r>
      <w:r w:rsidR="001C535D" w:rsidRPr="008B60E0">
        <w:rPr>
          <w:rFonts w:ascii="Times New Roman" w:hAnsi="Times New Roman"/>
        </w:rPr>
        <w:t xml:space="preserve">Figure A- </w:t>
      </w:r>
      <w:r w:rsidR="001C535D" w:rsidRPr="001C535D">
        <w:rPr>
          <w:rFonts w:ascii="Times New Roman" w:hAnsi="Times New Roman"/>
          <w:i/>
          <w:noProof/>
        </w:rPr>
        <w:t>2</w:t>
      </w:r>
      <w:r w:rsidRPr="008B60E0">
        <w:rPr>
          <w:rFonts w:ascii="Times New Roman" w:hAnsi="Times New Roman"/>
        </w:rPr>
        <w:fldChar w:fldCharType="end"/>
      </w:r>
      <w:r w:rsidRPr="008B60E0">
        <w:rPr>
          <w:rFonts w:ascii="Times New Roman" w:hAnsi="Times New Roman"/>
        </w:rPr>
        <w:t xml:space="preserve">. This CNN is composed of six layers: convolution, max pooling, convolution, max pooling, flatten, and dense layers. The pooling layer extracts statistics of submatrices of the input data. In this case, we are using maximum (max), therefore these operations look at a submatrix of the input and keeps the maximum value of that submatrix to be the input for the next layer. The flatten layer simply restructures the data to be a single column vector. The dense layer is the traditional neural network composed a linear transformation followed by a nonlinear transformation (softmax in this case) densely connected, i.e. each one of the elements is connected to each one of the neurons in the upcoming neuron. The output of the dense layer is the probability an image belongs to classes 1, 2, or 3. </w:t>
      </w:r>
    </w:p>
    <w:p w14:paraId="78D13853" w14:textId="77777777" w:rsidR="005044EC" w:rsidRPr="008B60E0" w:rsidRDefault="005044EC" w:rsidP="005044EC">
      <w:pPr>
        <w:pStyle w:val="SEGBodyText"/>
        <w:rPr>
          <w:rFonts w:ascii="Times New Roman" w:hAnsi="Times New Roman"/>
        </w:rPr>
      </w:pPr>
      <w:r w:rsidRPr="008B60E0">
        <w:rPr>
          <w:rFonts w:ascii="Times New Roman" w:hAnsi="Times New Roman"/>
        </w:rPr>
        <w:t xml:space="preserve">During training all the randomly started parameters are optimized to reduce the cost function. The cost function is commonly defined as the sum of the loss/error of an image being assigned in the wrong class in the training set. This simple example has only a training set, we did not set validation and test set as would be appropriate for a real machine learning methodology. Therefore, after training we have this set of parameters that can take an image, perform different operations on such image and come up with a value of how probable the image belongs to one of the training classes. This image transformation is displayed in </w:t>
      </w:r>
      <w:r w:rsidRPr="008B60E0">
        <w:rPr>
          <w:rFonts w:ascii="Times New Roman" w:hAnsi="Times New Roman"/>
        </w:rPr>
        <w:fldChar w:fldCharType="begin"/>
      </w:r>
      <w:r w:rsidRPr="008B60E0">
        <w:rPr>
          <w:rFonts w:ascii="Times New Roman" w:hAnsi="Times New Roman"/>
        </w:rPr>
        <w:instrText xml:space="preserve"> REF _Ref531009071 \h  \* MERGEFORMAT </w:instrText>
      </w:r>
      <w:r w:rsidRPr="008B60E0">
        <w:rPr>
          <w:rFonts w:ascii="Times New Roman" w:hAnsi="Times New Roman"/>
        </w:rPr>
      </w:r>
      <w:r w:rsidRPr="008B60E0">
        <w:rPr>
          <w:rFonts w:ascii="Times New Roman" w:hAnsi="Times New Roman"/>
        </w:rPr>
        <w:fldChar w:fldCharType="separate"/>
      </w:r>
      <w:r w:rsidR="001C535D" w:rsidRPr="001C535D">
        <w:rPr>
          <w:rFonts w:ascii="Times New Roman" w:hAnsi="Times New Roman"/>
          <w:i/>
        </w:rPr>
        <w:t xml:space="preserve">Figure A- </w:t>
      </w:r>
      <w:r w:rsidR="001C535D" w:rsidRPr="001C535D">
        <w:rPr>
          <w:rFonts w:ascii="Times New Roman" w:hAnsi="Times New Roman"/>
          <w:i/>
          <w:noProof/>
        </w:rPr>
        <w:t>3</w:t>
      </w:r>
      <w:r w:rsidRPr="008B60E0">
        <w:rPr>
          <w:rFonts w:ascii="Times New Roman" w:hAnsi="Times New Roman"/>
        </w:rPr>
        <w:fldChar w:fldCharType="end"/>
      </w:r>
      <w:r w:rsidRPr="008B60E0">
        <w:rPr>
          <w:rFonts w:ascii="Times New Roman" w:hAnsi="Times New Roman"/>
        </w:rPr>
        <w:t xml:space="preserve">. Note the CNN very confidently sets the image as belonging to class 3 (with 1.00 confidence). This result can be achieved because the classes are very well defined, and the images have low variance (all images in the same class are very similar to each other). As can be seen in </w:t>
      </w:r>
      <w:r w:rsidRPr="008B60E0">
        <w:rPr>
          <w:rFonts w:ascii="Times New Roman" w:hAnsi="Times New Roman"/>
        </w:rPr>
        <w:fldChar w:fldCharType="begin"/>
      </w:r>
      <w:r w:rsidRPr="008B60E0">
        <w:rPr>
          <w:rFonts w:ascii="Times New Roman" w:hAnsi="Times New Roman"/>
        </w:rPr>
        <w:instrText xml:space="preserve"> REF _Ref531009071 \h  \* MERGEFORMAT </w:instrText>
      </w:r>
      <w:r w:rsidRPr="008B60E0">
        <w:rPr>
          <w:rFonts w:ascii="Times New Roman" w:hAnsi="Times New Roman"/>
        </w:rPr>
      </w:r>
      <w:r w:rsidRPr="008B60E0">
        <w:rPr>
          <w:rFonts w:ascii="Times New Roman" w:hAnsi="Times New Roman"/>
        </w:rPr>
        <w:fldChar w:fldCharType="separate"/>
      </w:r>
      <w:r w:rsidR="001C535D" w:rsidRPr="001C535D">
        <w:rPr>
          <w:rFonts w:ascii="Times New Roman" w:hAnsi="Times New Roman"/>
          <w:i/>
        </w:rPr>
        <w:t xml:space="preserve">Figure A- </w:t>
      </w:r>
      <w:r w:rsidR="001C535D" w:rsidRPr="001C535D">
        <w:rPr>
          <w:rFonts w:ascii="Times New Roman" w:hAnsi="Times New Roman"/>
          <w:i/>
          <w:noProof/>
        </w:rPr>
        <w:lastRenderedPageBreak/>
        <w:t>3</w:t>
      </w:r>
      <w:r w:rsidRPr="008B60E0">
        <w:rPr>
          <w:rFonts w:ascii="Times New Roman" w:hAnsi="Times New Roman"/>
        </w:rPr>
        <w:fldChar w:fldCharType="end"/>
      </w:r>
      <w:r w:rsidRPr="008B60E0">
        <w:rPr>
          <w:rFonts w:ascii="Times New Roman" w:hAnsi="Times New Roman"/>
        </w:rPr>
        <w:t xml:space="preserve">, this small CNN trained convolutional kernels that are very good to detect edges. If we wanted to use transfer learning with this CNN, we would “delete” the last layer (softmax, gold hexagon d) and add a new classification layer. </w:t>
      </w:r>
    </w:p>
    <w:p w14:paraId="0D6AC403" w14:textId="77777777" w:rsidR="005044EC" w:rsidRPr="008B60E0" w:rsidRDefault="005044EC" w:rsidP="00A32BB7">
      <w:pPr>
        <w:pStyle w:val="SEGBodyText"/>
        <w:keepNext/>
        <w:spacing w:line="240" w:lineRule="auto"/>
        <w:ind w:firstLine="0"/>
        <w:jc w:val="center"/>
        <w:rPr>
          <w:rFonts w:ascii="Times New Roman" w:hAnsi="Times New Roman"/>
        </w:rPr>
      </w:pPr>
      <w:r w:rsidRPr="008B60E0">
        <w:rPr>
          <w:rFonts w:ascii="Times New Roman" w:hAnsi="Times New Roman"/>
          <w:noProof/>
        </w:rPr>
        <w:drawing>
          <wp:inline distT="0" distB="0" distL="0" distR="0" wp14:anchorId="63AABD41" wp14:editId="282B4B2B">
            <wp:extent cx="5072933" cy="1786444"/>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079689" cy="1788823"/>
                    </a:xfrm>
                    <a:prstGeom prst="rect">
                      <a:avLst/>
                    </a:prstGeom>
                    <a:noFill/>
                  </pic:spPr>
                </pic:pic>
              </a:graphicData>
            </a:graphic>
          </wp:inline>
        </w:drawing>
      </w:r>
    </w:p>
    <w:p w14:paraId="53EE644E" w14:textId="07551AEA" w:rsidR="005044EC" w:rsidRDefault="005044EC" w:rsidP="00607DF1">
      <w:pPr>
        <w:pStyle w:val="Caption"/>
      </w:pPr>
      <w:bookmarkStart w:id="133" w:name="_Ref531010644"/>
      <w:bookmarkStart w:id="134" w:name="_Toc531023191"/>
      <w:bookmarkStart w:id="135" w:name="_Toc531818617"/>
      <w:r w:rsidRPr="008B60E0">
        <w:t xml:space="preserve">Figure A- </w:t>
      </w:r>
      <w:r w:rsidRPr="008B60E0">
        <w:rPr>
          <w:i/>
          <w:noProof/>
        </w:rPr>
        <w:fldChar w:fldCharType="begin"/>
      </w:r>
      <w:r w:rsidRPr="008B60E0">
        <w:rPr>
          <w:noProof/>
        </w:rPr>
        <w:instrText xml:space="preserve"> SEQ Figure_A- \* ARABIC </w:instrText>
      </w:r>
      <w:r w:rsidRPr="008B60E0">
        <w:rPr>
          <w:i/>
          <w:noProof/>
        </w:rPr>
        <w:fldChar w:fldCharType="separate"/>
      </w:r>
      <w:r w:rsidR="001C535D">
        <w:rPr>
          <w:noProof/>
        </w:rPr>
        <w:t>1</w:t>
      </w:r>
      <w:r w:rsidRPr="008B60E0">
        <w:rPr>
          <w:i/>
          <w:noProof/>
        </w:rPr>
        <w:fldChar w:fldCharType="end"/>
      </w:r>
      <w:bookmarkEnd w:id="133"/>
      <w:r w:rsidRPr="008B60E0">
        <w:t xml:space="preserve">: Our very simple set of images used in toy CNN example. We highlighted the image in class 3 that is used as example in </w:t>
      </w:r>
      <w:r w:rsidRPr="008B60E0">
        <w:rPr>
          <w:i/>
        </w:rPr>
        <w:fldChar w:fldCharType="begin"/>
      </w:r>
      <w:r w:rsidRPr="008B60E0">
        <w:instrText xml:space="preserve"> REF _Ref531009071 \h  \* MERGEFORMAT </w:instrText>
      </w:r>
      <w:r w:rsidRPr="008B60E0">
        <w:rPr>
          <w:i/>
        </w:rPr>
      </w:r>
      <w:r w:rsidRPr="008B60E0">
        <w:rPr>
          <w:i/>
        </w:rPr>
        <w:fldChar w:fldCharType="separate"/>
      </w:r>
      <w:r w:rsidR="001C535D" w:rsidRPr="008B60E0">
        <w:t xml:space="preserve">Figure A- </w:t>
      </w:r>
      <w:r w:rsidR="001C535D">
        <w:rPr>
          <w:noProof/>
        </w:rPr>
        <w:t>3</w:t>
      </w:r>
      <w:r w:rsidRPr="008B60E0">
        <w:rPr>
          <w:i/>
        </w:rPr>
        <w:fldChar w:fldCharType="end"/>
      </w:r>
      <w:r w:rsidRPr="008B60E0">
        <w:t>. As all images are very similar in their set, this is an easy task for CNN models and we can achieve high accuracy with a simple network.</w:t>
      </w:r>
      <w:bookmarkEnd w:id="134"/>
      <w:bookmarkEnd w:id="135"/>
    </w:p>
    <w:p w14:paraId="3D89C955" w14:textId="77777777" w:rsidR="00A32BB7" w:rsidRDefault="00A32BB7">
      <w:pPr>
        <w:spacing w:line="240" w:lineRule="auto"/>
        <w:rPr>
          <w:rFonts w:ascii="Times New Roman" w:eastAsiaTheme="minorEastAsia" w:hAnsi="Times New Roman"/>
          <w:lang w:bidi="ar-SA"/>
        </w:rPr>
      </w:pPr>
      <w:r>
        <w:rPr>
          <w:rFonts w:ascii="Times New Roman" w:hAnsi="Times New Roman"/>
        </w:rPr>
        <w:br w:type="page"/>
      </w:r>
    </w:p>
    <w:p w14:paraId="7B8AED88" w14:textId="28937F5D" w:rsidR="005044EC" w:rsidRPr="008B60E0" w:rsidRDefault="005044EC" w:rsidP="005044EC">
      <w:pPr>
        <w:pStyle w:val="SEGBodyText"/>
        <w:keepNext/>
        <w:ind w:firstLine="0"/>
        <w:rPr>
          <w:rFonts w:ascii="Times New Roman" w:hAnsi="Times New Roman"/>
        </w:rPr>
      </w:pPr>
      <w:r w:rsidRPr="008B60E0">
        <w:rPr>
          <w:rFonts w:ascii="Times New Roman" w:hAnsi="Times New Roman"/>
          <w:noProof/>
        </w:rPr>
        <w:lastRenderedPageBreak/>
        <w:drawing>
          <wp:inline distT="0" distB="0" distL="0" distR="0" wp14:anchorId="1FEF8152" wp14:editId="4240F251">
            <wp:extent cx="5462546" cy="25579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473496" cy="2563027"/>
                    </a:xfrm>
                    <a:prstGeom prst="rect">
                      <a:avLst/>
                    </a:prstGeom>
                    <a:noFill/>
                  </pic:spPr>
                </pic:pic>
              </a:graphicData>
            </a:graphic>
          </wp:inline>
        </w:drawing>
      </w:r>
    </w:p>
    <w:p w14:paraId="1BC77B83" w14:textId="77777777" w:rsidR="005044EC" w:rsidRDefault="005044EC" w:rsidP="00607DF1">
      <w:pPr>
        <w:pStyle w:val="Caption"/>
      </w:pPr>
      <w:bookmarkStart w:id="136" w:name="_Ref531009024"/>
      <w:bookmarkStart w:id="137" w:name="_Toc531023192"/>
      <w:bookmarkStart w:id="138" w:name="_Toc531818618"/>
      <w:r w:rsidRPr="008B60E0">
        <w:t xml:space="preserve">Figure A- </w:t>
      </w:r>
      <w:r w:rsidRPr="008B60E0">
        <w:rPr>
          <w:i/>
          <w:noProof/>
        </w:rPr>
        <w:fldChar w:fldCharType="begin"/>
      </w:r>
      <w:r w:rsidRPr="008B60E0">
        <w:rPr>
          <w:noProof/>
        </w:rPr>
        <w:instrText xml:space="preserve"> SEQ Figure_A- \* ARABIC </w:instrText>
      </w:r>
      <w:r w:rsidRPr="008B60E0">
        <w:rPr>
          <w:i/>
          <w:noProof/>
        </w:rPr>
        <w:fldChar w:fldCharType="separate"/>
      </w:r>
      <w:r w:rsidR="001C535D">
        <w:rPr>
          <w:noProof/>
        </w:rPr>
        <w:t>2</w:t>
      </w:r>
      <w:r w:rsidRPr="008B60E0">
        <w:rPr>
          <w:i/>
          <w:noProof/>
        </w:rPr>
        <w:fldChar w:fldCharType="end"/>
      </w:r>
      <w:bookmarkEnd w:id="136"/>
      <w:r w:rsidRPr="008B60E0">
        <w:t>: A simple convolutional neural network. The golden hexagons show images displayed in figure next. In this toy example, a set of images with size 180 x 180 pixels is input to a CNN with six layers. The first layer is a set of six convolution kernels with size 3 x 3 x 3. The value of the third dimension is the same as the value of the number of channels of the previous layer. Note that after the first convolution the object reduces in height and width, but its number of channels increases. For the next step, a max pooling (an operation in which we extract the maximum value of a submatrix of the input) further reduces the height and width. This “thinner” object is then input to another convolution layer following by another max pooling. After the last max pooling, the layer is then flattened, meaning all its values are stored as a single vector. The last layer uses as input all the values of the flattened vector to compute the probability that the input image belongs to one of three classes. Note that with this architecture whatever is used as input will output some probability of belonging to one of the three classes. The kernels of the convolutional layers and the softmax of the last layer are the parameters that need to be trained for this neural network. In this example, we need to train a total of 16977 parameters. For Convolution 1, we need to train 3 x 3 x 3 x 6 + 6 (bias) = 168 parameters. For Convolution 2, 165 parameters. The dense layer is responsible for 16644 parameters that need training. These ratios (convolution and dense parameters) should not be used as comparison with more complexes CNNs as the one we used in the main body of this study, truly deep CNN will have many more convolution parameters to be optimized.</w:t>
      </w:r>
      <w:bookmarkEnd w:id="137"/>
      <w:bookmarkEnd w:id="138"/>
      <w:r w:rsidRPr="008B60E0">
        <w:t xml:space="preserve"> </w:t>
      </w:r>
    </w:p>
    <w:p w14:paraId="4EDA02DE" w14:textId="77777777" w:rsidR="004F4884" w:rsidRPr="004F4884" w:rsidRDefault="004F4884" w:rsidP="004F4884"/>
    <w:p w14:paraId="1CACD3EB" w14:textId="77777777" w:rsidR="005044EC" w:rsidRPr="008B60E0" w:rsidRDefault="005044EC" w:rsidP="005044EC">
      <w:pPr>
        <w:keepNext/>
        <w:rPr>
          <w:rFonts w:ascii="Times New Roman" w:hAnsi="Times New Roman"/>
        </w:rPr>
      </w:pPr>
      <w:r w:rsidRPr="008B60E0">
        <w:rPr>
          <w:rFonts w:ascii="Times New Roman" w:hAnsi="Times New Roman"/>
          <w:noProof/>
          <w:lang w:bidi="ar-SA"/>
        </w:rPr>
        <w:lastRenderedPageBreak/>
        <w:drawing>
          <wp:inline distT="0" distB="0" distL="0" distR="0" wp14:anchorId="509CEADC" wp14:editId="2EEAE72B">
            <wp:extent cx="5337787" cy="4381089"/>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43483" cy="4385764"/>
                    </a:xfrm>
                    <a:prstGeom prst="rect">
                      <a:avLst/>
                    </a:prstGeom>
                    <a:noFill/>
                  </pic:spPr>
                </pic:pic>
              </a:graphicData>
            </a:graphic>
          </wp:inline>
        </w:drawing>
      </w:r>
    </w:p>
    <w:p w14:paraId="2D4AACF9" w14:textId="77777777" w:rsidR="005044EC" w:rsidRPr="008B60E0" w:rsidRDefault="005044EC" w:rsidP="00607DF1">
      <w:pPr>
        <w:pStyle w:val="Caption"/>
        <w:rPr>
          <w:i/>
        </w:rPr>
      </w:pPr>
      <w:bookmarkStart w:id="139" w:name="_Ref531009071"/>
      <w:bookmarkStart w:id="140" w:name="_Toc531023193"/>
      <w:bookmarkStart w:id="141" w:name="_Toc531818619"/>
      <w:r w:rsidRPr="008B60E0">
        <w:t xml:space="preserve">Figure A- </w:t>
      </w:r>
      <w:r w:rsidRPr="008B60E0">
        <w:rPr>
          <w:i/>
          <w:noProof/>
        </w:rPr>
        <w:fldChar w:fldCharType="begin"/>
      </w:r>
      <w:r w:rsidRPr="008B60E0">
        <w:rPr>
          <w:noProof/>
        </w:rPr>
        <w:instrText xml:space="preserve"> SEQ Figure_A- \* ARABIC </w:instrText>
      </w:r>
      <w:r w:rsidRPr="008B60E0">
        <w:rPr>
          <w:i/>
          <w:noProof/>
        </w:rPr>
        <w:fldChar w:fldCharType="separate"/>
      </w:r>
      <w:r w:rsidR="001C535D">
        <w:rPr>
          <w:noProof/>
        </w:rPr>
        <w:t>3</w:t>
      </w:r>
      <w:r w:rsidRPr="008B60E0">
        <w:rPr>
          <w:i/>
          <w:noProof/>
        </w:rPr>
        <w:fldChar w:fldCharType="end"/>
      </w:r>
      <w:bookmarkEnd w:id="139"/>
      <w:r w:rsidRPr="008B60E0">
        <w:t xml:space="preserve">: Simplified workflow and resulting images extracted from different layers when the figure on top left is input to the CNN showed in </w:t>
      </w:r>
      <w:r w:rsidRPr="008B60E0">
        <w:rPr>
          <w:i/>
        </w:rPr>
        <w:fldChar w:fldCharType="begin"/>
      </w:r>
      <w:r w:rsidRPr="008B60E0">
        <w:instrText xml:space="preserve"> REF _Ref531009024 \h  \* MERGEFORMAT </w:instrText>
      </w:r>
      <w:r w:rsidRPr="008B60E0">
        <w:rPr>
          <w:i/>
        </w:rPr>
      </w:r>
      <w:r w:rsidRPr="008B60E0">
        <w:rPr>
          <w:i/>
        </w:rPr>
        <w:fldChar w:fldCharType="separate"/>
      </w:r>
      <w:r w:rsidR="001C535D" w:rsidRPr="008B60E0">
        <w:t xml:space="preserve">Figure A- </w:t>
      </w:r>
      <w:r w:rsidR="001C535D">
        <w:rPr>
          <w:noProof/>
        </w:rPr>
        <w:t>2</w:t>
      </w:r>
      <w:r w:rsidRPr="008B60E0">
        <w:rPr>
          <w:i/>
        </w:rPr>
        <w:fldChar w:fldCharType="end"/>
      </w:r>
      <w:r w:rsidRPr="008B60E0">
        <w:t xml:space="preserve"> after training. The golden hexagons can be used for easier reference between this figure and </w:t>
      </w:r>
      <w:r w:rsidRPr="008B60E0">
        <w:rPr>
          <w:i/>
        </w:rPr>
        <w:fldChar w:fldCharType="begin"/>
      </w:r>
      <w:r w:rsidRPr="008B60E0">
        <w:instrText xml:space="preserve"> REF _Ref531009024 \h  \* MERGEFORMAT </w:instrText>
      </w:r>
      <w:r w:rsidRPr="008B60E0">
        <w:rPr>
          <w:i/>
        </w:rPr>
      </w:r>
      <w:r w:rsidRPr="008B60E0">
        <w:rPr>
          <w:i/>
        </w:rPr>
        <w:fldChar w:fldCharType="separate"/>
      </w:r>
      <w:r w:rsidR="001C535D" w:rsidRPr="008B60E0">
        <w:t xml:space="preserve">Figure A- </w:t>
      </w:r>
      <w:r w:rsidR="001C535D">
        <w:rPr>
          <w:noProof/>
        </w:rPr>
        <w:t>2</w:t>
      </w:r>
      <w:r w:rsidRPr="008B60E0">
        <w:rPr>
          <w:i/>
        </w:rPr>
        <w:fldChar w:fldCharType="end"/>
      </w:r>
      <w:r w:rsidRPr="008B60E0">
        <w:t xml:space="preserve">. Note how the set of weights (the convolutional kernels) learned by this CNN learns how to identify edges in the input image. This is a common behavior in CNN when used with natural images </w:t>
      </w:r>
      <w:r w:rsidRPr="008B60E0">
        <w:rPr>
          <w:i/>
        </w:rPr>
        <w:fldChar w:fldCharType="begin" w:fldLock="1"/>
      </w:r>
      <w:r w:rsidRPr="008B60E0">
        <w:instrText>ADDIN CSL_CITATION {"citationItems":[{"id":"ITEM-1","itemData":{"abstract":"Many deep neural networks trained on natural images exhibit a curious phenomenon in common: on the first layer they learn features similar to Gabor filters and color blobs. Such first-layer features appear not to be specific to a particular dataset or task, but general in that they are applicable to many datasets and tasks. Features must eventually transition from general to specific by the last layer of the network, but this transition has not been studied extensively. In this paper we experimentally quantify the generality versus specificity of neurons in each layer of a deep convolutional neural network and report a few surprising results. Transferability is negatively affected by two distinct issues: (1) the specialization of higher layer neurons to their original task at the expense of performance on the target task, which was expected, and (2) optimization difficulties related to splitting networks between co-adapted neurons, which was not expected. In an example network trained on ImageNet, we demonstrate that either of these two issues may dominate, depending on whether features are transferred from the bottom, middle, or top of the network. We also document that the transferability of features decreases as the distance between the base task and target task increases, but that transferring features even from distant tasks can be better than using random features. A final surprising result is that initializing a network with transferred features from almost any number of layers can produce a boost to generalization that lingers even after fine-tuning to the target dataset.","author":[{"dropping-particle":"","family":"Yosinski","given":"Jason","non-dropping-particle":"","parse-names":false,"suffix":""},{"dropping-particle":"","family":"Clune","given":"Jeff","non-dropping-particle":"","parse-names":false,"suffix":""},{"dropping-particle":"","family":"Bengio","given":"Yoshua","non-dropping-particle":"","parse-names":false,"suffix":""},{"dropping-particle":"","family":"Lipson","given":"Hod","non-dropping-particle":"","parse-names":false,"suffix":""}],"container-title":"Advances in Neural Information Processing Systems","id":"ITEM-1","issued":{"date-parts":[["2014","11","6"]]},"page":"3320-3328","title":"How transferable are features in deep neural networks?","type":"article-journal","volume":"27"},"uris":["http://www.mendeley.com/documents/?uuid=803012bc-b88d-392a-8cbd-4f098fe2c123"]}],"mendeley":{"formattedCitation":"(Yosinski et al., 2014)","plainTextFormattedCitation":"(Yosinski et al., 2014)","previouslyFormattedCitation":"(Yosinski et al., 2014)"},"properties":{"noteIndex":0},"schema":"https://github.com/citation-style-language/schema/raw/master/csl-citation.json"}</w:instrText>
      </w:r>
      <w:r w:rsidRPr="008B60E0">
        <w:rPr>
          <w:i/>
        </w:rPr>
        <w:fldChar w:fldCharType="separate"/>
      </w:r>
      <w:r w:rsidRPr="008B60E0">
        <w:rPr>
          <w:noProof/>
        </w:rPr>
        <w:t>(Yosinski et al., 2014)</w:t>
      </w:r>
      <w:r w:rsidRPr="008B60E0">
        <w:rPr>
          <w:i/>
        </w:rPr>
        <w:fldChar w:fldCharType="end"/>
      </w:r>
      <w:r w:rsidRPr="008B60E0">
        <w:t xml:space="preserve">. In a sense, much as a trained geologist, the CNN learns how to identify different patterns. Note the image in frame a is a simple decomposition of the original image, therefore we choose to display them as red-green-blue color. The images in frames b and c are results of different “filters” applied in different steps of the CNN and are composed of single channel (the convolution kernels have different sizes as showed in </w:t>
      </w:r>
      <w:r w:rsidRPr="008B60E0">
        <w:rPr>
          <w:i/>
        </w:rPr>
        <w:fldChar w:fldCharType="begin"/>
      </w:r>
      <w:r w:rsidRPr="008B60E0">
        <w:instrText xml:space="preserve"> REF _Ref531009024 \h  \* MERGEFORMAT </w:instrText>
      </w:r>
      <w:r w:rsidRPr="008B60E0">
        <w:rPr>
          <w:i/>
        </w:rPr>
      </w:r>
      <w:r w:rsidRPr="008B60E0">
        <w:rPr>
          <w:i/>
        </w:rPr>
        <w:fldChar w:fldCharType="separate"/>
      </w:r>
      <w:r w:rsidR="001C535D" w:rsidRPr="008B60E0">
        <w:t xml:space="preserve">Figure A- </w:t>
      </w:r>
      <w:r w:rsidR="001C535D">
        <w:rPr>
          <w:noProof/>
        </w:rPr>
        <w:t>2</w:t>
      </w:r>
      <w:r w:rsidRPr="008B60E0">
        <w:rPr>
          <w:i/>
        </w:rPr>
        <w:fldChar w:fldCharType="end"/>
      </w:r>
      <w:r w:rsidRPr="008B60E0">
        <w:t>) . We choose to display these images as grayscale.</w:t>
      </w:r>
      <w:bookmarkEnd w:id="140"/>
      <w:bookmarkEnd w:id="141"/>
    </w:p>
    <w:p w14:paraId="24DA94B1" w14:textId="77777777" w:rsidR="0019756A" w:rsidRDefault="0019756A">
      <w:pPr>
        <w:spacing w:line="240" w:lineRule="auto"/>
        <w:rPr>
          <w:rFonts w:ascii="Times New Roman" w:hAnsi="Times New Roman"/>
          <w:bCs/>
          <w:iCs/>
        </w:rPr>
      </w:pPr>
      <w:r>
        <w:br w:type="page"/>
      </w:r>
    </w:p>
    <w:p w14:paraId="708701AC" w14:textId="77777777" w:rsidR="005044EC" w:rsidRPr="008B60E0" w:rsidRDefault="005044EC" w:rsidP="004F4884">
      <w:pPr>
        <w:pStyle w:val="Heading2"/>
      </w:pPr>
      <w:bookmarkStart w:id="142" w:name="_Toc26534601"/>
      <w:r w:rsidRPr="008B60E0">
        <w:lastRenderedPageBreak/>
        <w:t>A</w:t>
      </w:r>
      <w:r w:rsidR="009E2892">
        <w:t>ppendix B</w:t>
      </w:r>
      <w:bookmarkEnd w:id="142"/>
    </w:p>
    <w:p w14:paraId="0658063E" w14:textId="77777777" w:rsidR="005044EC" w:rsidRPr="008B60E0" w:rsidRDefault="005044EC" w:rsidP="004F4884">
      <w:pPr>
        <w:pStyle w:val="Heading3"/>
      </w:pPr>
      <w:bookmarkStart w:id="143" w:name="_Toc26534602"/>
      <w:r w:rsidRPr="008B60E0">
        <w:t>Inceptionv3, mobilenetv2, and nasnet metrics</w:t>
      </w:r>
      <w:bookmarkEnd w:id="143"/>
    </w:p>
    <w:p w14:paraId="79F43B95" w14:textId="77777777" w:rsidR="005044EC" w:rsidRPr="008B60E0" w:rsidRDefault="005044EC" w:rsidP="005044EC">
      <w:pPr>
        <w:pStyle w:val="SEGBodyText"/>
        <w:rPr>
          <w:rFonts w:ascii="Times New Roman" w:hAnsi="Times New Roman"/>
        </w:rPr>
      </w:pPr>
      <w:r w:rsidRPr="008B60E0">
        <w:rPr>
          <w:rFonts w:ascii="Times New Roman" w:hAnsi="Times New Roman"/>
        </w:rPr>
        <w:t xml:space="preserve">In this appendix we show the metrics for the retrained CNN models not presented in the main text. </w:t>
      </w:r>
    </w:p>
    <w:p w14:paraId="299EB2C6" w14:textId="77777777" w:rsidR="005044EC" w:rsidRPr="008B60E0" w:rsidRDefault="005044EC" w:rsidP="004F4884">
      <w:pPr>
        <w:pStyle w:val="Heading3"/>
      </w:pPr>
      <w:bookmarkStart w:id="144" w:name="_Toc26534603"/>
      <w:r w:rsidRPr="008B60E0">
        <w:t>InceptionV3</w:t>
      </w:r>
      <w:bookmarkEnd w:id="144"/>
      <w:r w:rsidRPr="008B60E0">
        <w:t xml:space="preserve"> </w:t>
      </w:r>
    </w:p>
    <w:p w14:paraId="483D2248" w14:textId="77777777" w:rsidR="005044EC" w:rsidRPr="008B60E0" w:rsidRDefault="005044EC" w:rsidP="005044EC">
      <w:pPr>
        <w:pStyle w:val="SEGBodyText"/>
        <w:rPr>
          <w:rFonts w:ascii="Times New Roman" w:hAnsi="Times New Roman"/>
        </w:rPr>
      </w:pPr>
      <w:r w:rsidRPr="008B60E0">
        <w:rPr>
          <w:rFonts w:ascii="Times New Roman" w:hAnsi="Times New Roman"/>
        </w:rPr>
        <w:t xml:space="preserve">Train and validation accuracy result for each step of the gradient descent are presented in </w:t>
      </w:r>
      <w:r w:rsidRPr="008B60E0">
        <w:rPr>
          <w:rFonts w:ascii="Times New Roman" w:hAnsi="Times New Roman"/>
        </w:rPr>
        <w:fldChar w:fldCharType="begin"/>
      </w:r>
      <w:r w:rsidRPr="008B60E0">
        <w:rPr>
          <w:rFonts w:ascii="Times New Roman" w:hAnsi="Times New Roman"/>
        </w:rPr>
        <w:instrText xml:space="preserve"> REF _Ref531038189 \h  \* MERGEFORMAT </w:instrText>
      </w:r>
      <w:r w:rsidRPr="008B60E0">
        <w:rPr>
          <w:rFonts w:ascii="Times New Roman" w:hAnsi="Times New Roman"/>
        </w:rPr>
      </w:r>
      <w:r w:rsidRPr="008B60E0">
        <w:rPr>
          <w:rFonts w:ascii="Times New Roman" w:hAnsi="Times New Roman"/>
        </w:rPr>
        <w:fldChar w:fldCharType="separate"/>
      </w:r>
      <w:r w:rsidR="001C535D" w:rsidRPr="008B60E0">
        <w:rPr>
          <w:rFonts w:ascii="Times New Roman" w:hAnsi="Times New Roman"/>
        </w:rPr>
        <w:t xml:space="preserve">Figure B- </w:t>
      </w:r>
      <w:r w:rsidR="001C535D" w:rsidRPr="001C535D">
        <w:rPr>
          <w:rFonts w:ascii="Times New Roman" w:hAnsi="Times New Roman"/>
          <w:i/>
          <w:noProof/>
        </w:rPr>
        <w:t>1</w:t>
      </w:r>
      <w:r w:rsidRPr="008B60E0">
        <w:rPr>
          <w:rFonts w:ascii="Times New Roman" w:hAnsi="Times New Roman"/>
        </w:rPr>
        <w:fldChar w:fldCharType="end"/>
      </w:r>
      <w:r w:rsidRPr="008B60E0">
        <w:rPr>
          <w:rFonts w:ascii="Times New Roman" w:hAnsi="Times New Roman"/>
        </w:rPr>
        <w:t xml:space="preserve">. </w:t>
      </w:r>
      <w:r w:rsidRPr="008B60E0">
        <w:rPr>
          <w:rFonts w:ascii="Times New Roman" w:hAnsi="Times New Roman"/>
        </w:rPr>
        <w:fldChar w:fldCharType="begin"/>
      </w:r>
      <w:r w:rsidRPr="008B60E0">
        <w:rPr>
          <w:rFonts w:ascii="Times New Roman" w:hAnsi="Times New Roman"/>
        </w:rPr>
        <w:instrText xml:space="preserve"> REF _Ref531021911 \h  \* MERGEFORMAT </w:instrText>
      </w:r>
      <w:r w:rsidRPr="008B60E0">
        <w:rPr>
          <w:rFonts w:ascii="Times New Roman" w:hAnsi="Times New Roman"/>
        </w:rPr>
      </w:r>
      <w:r w:rsidRPr="008B60E0">
        <w:rPr>
          <w:rFonts w:ascii="Times New Roman" w:hAnsi="Times New Roman"/>
        </w:rPr>
        <w:fldChar w:fldCharType="separate"/>
      </w:r>
      <w:r w:rsidR="001C535D" w:rsidRPr="008B60E0">
        <w:rPr>
          <w:rFonts w:ascii="Times New Roman" w:hAnsi="Times New Roman"/>
        </w:rPr>
        <w:t xml:space="preserve">Figure B- </w:t>
      </w:r>
      <w:r w:rsidR="001C535D" w:rsidRPr="001C535D">
        <w:rPr>
          <w:rFonts w:ascii="Times New Roman" w:hAnsi="Times New Roman"/>
          <w:i/>
          <w:noProof/>
        </w:rPr>
        <w:t>2</w:t>
      </w:r>
      <w:r w:rsidRPr="008B60E0">
        <w:rPr>
          <w:rFonts w:ascii="Times New Roman" w:hAnsi="Times New Roman"/>
        </w:rPr>
        <w:fldChar w:fldCharType="end"/>
      </w:r>
      <w:r w:rsidRPr="008B60E0">
        <w:rPr>
          <w:rFonts w:ascii="Times New Roman" w:hAnsi="Times New Roman"/>
        </w:rPr>
        <w:t xml:space="preserve"> shows the confusion matrix generated when the test set is classified by the retrained InceptionV3. Precision, recall, F1 score, and support as well as weighted precision, recall, and F1 score are presented in </w:t>
      </w:r>
      <w:r w:rsidRPr="008B60E0">
        <w:rPr>
          <w:rFonts w:ascii="Times New Roman" w:hAnsi="Times New Roman"/>
        </w:rPr>
        <w:fldChar w:fldCharType="begin"/>
      </w:r>
      <w:r w:rsidRPr="008B60E0">
        <w:rPr>
          <w:rFonts w:ascii="Times New Roman" w:hAnsi="Times New Roman"/>
        </w:rPr>
        <w:instrText xml:space="preserve"> REF _Ref531021990 \h  \* MERGEFORMAT </w:instrText>
      </w:r>
      <w:r w:rsidRPr="008B60E0">
        <w:rPr>
          <w:rFonts w:ascii="Times New Roman" w:hAnsi="Times New Roman"/>
        </w:rPr>
      </w:r>
      <w:r w:rsidRPr="008B60E0">
        <w:rPr>
          <w:rFonts w:ascii="Times New Roman" w:hAnsi="Times New Roman"/>
        </w:rPr>
        <w:fldChar w:fldCharType="separate"/>
      </w:r>
      <w:r w:rsidR="001C535D" w:rsidRPr="008B60E0">
        <w:rPr>
          <w:rFonts w:ascii="Times New Roman" w:hAnsi="Times New Roman"/>
        </w:rPr>
        <w:t xml:space="preserve">Table B- </w:t>
      </w:r>
      <w:r w:rsidR="001C535D" w:rsidRPr="001C535D">
        <w:rPr>
          <w:rFonts w:ascii="Times New Roman" w:hAnsi="Times New Roman"/>
          <w:i/>
          <w:noProof/>
        </w:rPr>
        <w:t>1</w:t>
      </w:r>
      <w:r w:rsidRPr="008B60E0">
        <w:rPr>
          <w:rFonts w:ascii="Times New Roman" w:hAnsi="Times New Roman"/>
        </w:rPr>
        <w:fldChar w:fldCharType="end"/>
      </w:r>
      <w:r w:rsidRPr="008B60E0">
        <w:rPr>
          <w:rFonts w:ascii="Times New Roman" w:hAnsi="Times New Roman"/>
        </w:rPr>
        <w:t xml:space="preserve">. </w:t>
      </w:r>
    </w:p>
    <w:p w14:paraId="6C590184" w14:textId="77777777" w:rsidR="005044EC" w:rsidRPr="008B60E0" w:rsidRDefault="005044EC" w:rsidP="00A32BB7">
      <w:pPr>
        <w:pStyle w:val="SEGBodyText"/>
        <w:keepNext/>
        <w:jc w:val="center"/>
        <w:rPr>
          <w:rFonts w:ascii="Times New Roman" w:hAnsi="Times New Roman"/>
        </w:rPr>
      </w:pPr>
      <w:r w:rsidRPr="008B60E0">
        <w:rPr>
          <w:rFonts w:ascii="Times New Roman" w:hAnsi="Times New Roman"/>
          <w:noProof/>
        </w:rPr>
        <w:drawing>
          <wp:inline distT="0" distB="0" distL="0" distR="0" wp14:anchorId="04B33005" wp14:editId="6945E9A9">
            <wp:extent cx="2423046" cy="1828800"/>
            <wp:effectExtent l="0" t="0" r="0" b="0"/>
            <wp:docPr id="43" name="Picture 43" descr="C:\Users\pire3708\Desktop\tensorflow_cores\MachineLearningProject\runs\inceptionv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pire3708\Desktop\tensorflow_cores\MachineLearningProject\runs\inceptionv3.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23046" cy="1828800"/>
                    </a:xfrm>
                    <a:prstGeom prst="rect">
                      <a:avLst/>
                    </a:prstGeom>
                    <a:noFill/>
                    <a:ln>
                      <a:noFill/>
                    </a:ln>
                  </pic:spPr>
                </pic:pic>
              </a:graphicData>
            </a:graphic>
          </wp:inline>
        </w:drawing>
      </w:r>
    </w:p>
    <w:p w14:paraId="2D9C0B3B" w14:textId="77777777" w:rsidR="005044EC" w:rsidRPr="008B60E0" w:rsidRDefault="005044EC" w:rsidP="00607DF1">
      <w:pPr>
        <w:pStyle w:val="Caption"/>
        <w:rPr>
          <w:i/>
        </w:rPr>
      </w:pPr>
      <w:bookmarkStart w:id="145" w:name="_Ref531038189"/>
      <w:bookmarkStart w:id="146" w:name="_Toc531818625"/>
      <w:r w:rsidRPr="008B60E0">
        <w:t xml:space="preserve">Figure B- </w:t>
      </w:r>
      <w:r w:rsidRPr="008B60E0">
        <w:rPr>
          <w:i/>
          <w:noProof/>
        </w:rPr>
        <w:fldChar w:fldCharType="begin"/>
      </w:r>
      <w:r w:rsidRPr="008B60E0">
        <w:rPr>
          <w:noProof/>
        </w:rPr>
        <w:instrText xml:space="preserve"> SEQ Figure_B- \* ARABIC </w:instrText>
      </w:r>
      <w:r w:rsidRPr="008B60E0">
        <w:rPr>
          <w:i/>
          <w:noProof/>
        </w:rPr>
        <w:fldChar w:fldCharType="separate"/>
      </w:r>
      <w:r w:rsidR="001C535D">
        <w:rPr>
          <w:noProof/>
        </w:rPr>
        <w:t>1</w:t>
      </w:r>
      <w:r w:rsidRPr="008B60E0">
        <w:rPr>
          <w:i/>
          <w:noProof/>
        </w:rPr>
        <w:fldChar w:fldCharType="end"/>
      </w:r>
      <w:bookmarkEnd w:id="145"/>
      <w:r w:rsidRPr="008B60E0">
        <w:t>: Validation and train accuracy for the InceptionV3 training. Note that after approximately 2000 iterations the gains are marginal. As the cost of training the classification layer is inexpensive, we can afford to let the model train for many steps.</w:t>
      </w:r>
      <w:bookmarkEnd w:id="146"/>
    </w:p>
    <w:p w14:paraId="5667AE06" w14:textId="77777777" w:rsidR="005044EC" w:rsidRPr="008B60E0" w:rsidRDefault="005044EC" w:rsidP="00A32BB7">
      <w:pPr>
        <w:pStyle w:val="SEGBodyText"/>
        <w:keepNext/>
        <w:jc w:val="center"/>
        <w:rPr>
          <w:rFonts w:ascii="Times New Roman" w:hAnsi="Times New Roman"/>
        </w:rPr>
      </w:pPr>
      <w:r w:rsidRPr="008B60E0">
        <w:rPr>
          <w:rFonts w:ascii="Times New Roman" w:hAnsi="Times New Roman"/>
          <w:noProof/>
        </w:rPr>
        <w:lastRenderedPageBreak/>
        <w:drawing>
          <wp:inline distT="0" distB="0" distL="0" distR="0" wp14:anchorId="3A21DAED" wp14:editId="3FD88A78">
            <wp:extent cx="3017520" cy="3155059"/>
            <wp:effectExtent l="0" t="0" r="0" b="7620"/>
            <wp:docPr id="30" name="Picture 30" descr="C:\Users\pire3708\Desktop\tensorflow_cores\MachineLearningProject\test_curated\inceptionv3_confusion_matr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ire3708\Desktop\tensorflow_cores\MachineLearningProject\test_curated\inceptionv3_confusion_matrix.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017520" cy="3155059"/>
                    </a:xfrm>
                    <a:prstGeom prst="rect">
                      <a:avLst/>
                    </a:prstGeom>
                    <a:noFill/>
                    <a:ln>
                      <a:noFill/>
                    </a:ln>
                  </pic:spPr>
                </pic:pic>
              </a:graphicData>
            </a:graphic>
          </wp:inline>
        </w:drawing>
      </w:r>
    </w:p>
    <w:p w14:paraId="628C02FB" w14:textId="77777777" w:rsidR="005044EC" w:rsidRDefault="005044EC" w:rsidP="00607DF1">
      <w:pPr>
        <w:pStyle w:val="Caption"/>
      </w:pPr>
      <w:bookmarkStart w:id="147" w:name="_Ref531021911"/>
      <w:bookmarkStart w:id="148" w:name="_Toc531023209"/>
      <w:bookmarkStart w:id="149" w:name="_Toc531818626"/>
      <w:r w:rsidRPr="008B60E0">
        <w:t xml:space="preserve">Figure B- </w:t>
      </w:r>
      <w:r w:rsidRPr="008B60E0">
        <w:rPr>
          <w:i/>
          <w:noProof/>
        </w:rPr>
        <w:fldChar w:fldCharType="begin"/>
      </w:r>
      <w:r w:rsidRPr="008B60E0">
        <w:rPr>
          <w:noProof/>
        </w:rPr>
        <w:instrText xml:space="preserve"> SEQ Figure_B- \* ARABIC </w:instrText>
      </w:r>
      <w:r w:rsidRPr="008B60E0">
        <w:rPr>
          <w:i/>
          <w:noProof/>
        </w:rPr>
        <w:fldChar w:fldCharType="separate"/>
      </w:r>
      <w:r w:rsidR="001C535D">
        <w:rPr>
          <w:noProof/>
        </w:rPr>
        <w:t>2</w:t>
      </w:r>
      <w:r w:rsidRPr="008B60E0">
        <w:rPr>
          <w:i/>
          <w:noProof/>
        </w:rPr>
        <w:fldChar w:fldCharType="end"/>
      </w:r>
      <w:bookmarkEnd w:id="147"/>
      <w:r w:rsidRPr="008B60E0">
        <w:t xml:space="preserve">: Normalized confusion matrix of the retrained InceptionV3 applied to the test set. Refer to </w:t>
      </w:r>
      <w:r w:rsidRPr="008B60E0">
        <w:rPr>
          <w:i/>
        </w:rPr>
        <w:fldChar w:fldCharType="begin"/>
      </w:r>
      <w:r w:rsidRPr="008B60E0">
        <w:instrText xml:space="preserve"> REF _Ref531958861 \h  \* MERGEFORMAT </w:instrText>
      </w:r>
      <w:r w:rsidRPr="008B60E0">
        <w:rPr>
          <w:i/>
        </w:rPr>
      </w:r>
      <w:r w:rsidRPr="008B60E0">
        <w:rPr>
          <w:i/>
        </w:rPr>
        <w:fldChar w:fldCharType="separate"/>
      </w:r>
      <w:r w:rsidR="001C535D" w:rsidRPr="001C535D">
        <w:t xml:space="preserve">Table </w:t>
      </w:r>
      <w:r w:rsidR="001C535D" w:rsidRPr="001C535D">
        <w:rPr>
          <w:noProof/>
        </w:rPr>
        <w:t>2</w:t>
      </w:r>
      <w:r w:rsidRPr="008B60E0">
        <w:rPr>
          <w:i/>
        </w:rPr>
        <w:fldChar w:fldCharType="end"/>
      </w:r>
      <w:r w:rsidRPr="008B60E0">
        <w:t>in main text for class lithofacies and number of images for each class.</w:t>
      </w:r>
      <w:bookmarkEnd w:id="148"/>
      <w:bookmarkEnd w:id="149"/>
      <w:r w:rsidRPr="008B60E0">
        <w:t xml:space="preserve"> </w:t>
      </w:r>
    </w:p>
    <w:p w14:paraId="305B391E" w14:textId="77777777" w:rsidR="0019756A" w:rsidRDefault="0019756A">
      <w:pPr>
        <w:spacing w:line="240" w:lineRule="auto"/>
      </w:pPr>
      <w:r>
        <w:br w:type="page"/>
      </w:r>
    </w:p>
    <w:p w14:paraId="36AAF6E3" w14:textId="77777777" w:rsidR="005044EC" w:rsidRPr="008B60E0" w:rsidRDefault="005044EC" w:rsidP="00607DF1">
      <w:pPr>
        <w:pStyle w:val="Caption"/>
        <w:rPr>
          <w:i/>
        </w:rPr>
      </w:pPr>
      <w:bookmarkStart w:id="150" w:name="_Ref531021990"/>
      <w:bookmarkStart w:id="151" w:name="_Toc531817017"/>
      <w:r w:rsidRPr="008B60E0">
        <w:lastRenderedPageBreak/>
        <w:t xml:space="preserve">Table B- </w:t>
      </w:r>
      <w:r w:rsidRPr="008B60E0">
        <w:rPr>
          <w:i/>
          <w:noProof/>
        </w:rPr>
        <w:fldChar w:fldCharType="begin"/>
      </w:r>
      <w:r w:rsidRPr="008B60E0">
        <w:rPr>
          <w:noProof/>
        </w:rPr>
        <w:instrText xml:space="preserve"> SEQ Table_B- \* ARABIC </w:instrText>
      </w:r>
      <w:r w:rsidRPr="008B60E0">
        <w:rPr>
          <w:i/>
          <w:noProof/>
        </w:rPr>
        <w:fldChar w:fldCharType="separate"/>
      </w:r>
      <w:r w:rsidR="001C535D">
        <w:rPr>
          <w:noProof/>
        </w:rPr>
        <w:t>1</w:t>
      </w:r>
      <w:r w:rsidRPr="008B60E0">
        <w:rPr>
          <w:i/>
          <w:noProof/>
        </w:rPr>
        <w:fldChar w:fldCharType="end"/>
      </w:r>
      <w:bookmarkEnd w:id="150"/>
      <w:r w:rsidRPr="008B60E0">
        <w:t>: Precision, recall, F1 score and support for the classification performed by the retrained InceptionV3. Last row shows the weighted values for each one of the metrics.</w:t>
      </w:r>
      <w:bookmarkEnd w:id="151"/>
      <w:r w:rsidRPr="008B60E0">
        <w:t xml:space="preserve">  </w:t>
      </w:r>
    </w:p>
    <w:p w14:paraId="57CE24C6" w14:textId="77777777" w:rsidR="005044EC" w:rsidRPr="008B60E0" w:rsidRDefault="005044EC" w:rsidP="00607DF1">
      <w:pPr>
        <w:pStyle w:val="Caption"/>
      </w:pPr>
    </w:p>
    <w:tbl>
      <w:tblPr>
        <w:tblStyle w:val="PlainTable5"/>
        <w:tblW w:w="5339" w:type="dxa"/>
        <w:jc w:val="center"/>
        <w:tblLook w:val="04A0" w:firstRow="1" w:lastRow="0" w:firstColumn="1" w:lastColumn="0" w:noHBand="0" w:noVBand="1"/>
      </w:tblPr>
      <w:tblGrid>
        <w:gridCol w:w="1083"/>
        <w:gridCol w:w="1136"/>
        <w:gridCol w:w="960"/>
        <w:gridCol w:w="1183"/>
        <w:gridCol w:w="977"/>
      </w:tblGrid>
      <w:tr w:rsidR="005044EC" w:rsidRPr="008B60E0" w14:paraId="550B7B3C" w14:textId="77777777" w:rsidTr="00CA3FDF">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100" w:firstRow="0" w:lastRow="0" w:firstColumn="1" w:lastColumn="0" w:oddVBand="0" w:evenVBand="0" w:oddHBand="0" w:evenHBand="0" w:firstRowFirstColumn="1" w:firstRowLastColumn="0" w:lastRowFirstColumn="0" w:lastRowLastColumn="0"/>
            <w:tcW w:w="1083" w:type="dxa"/>
            <w:noWrap/>
            <w:vAlign w:val="center"/>
            <w:hideMark/>
          </w:tcPr>
          <w:p w14:paraId="1A65B69E"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Class</w:t>
            </w:r>
          </w:p>
        </w:tc>
        <w:tc>
          <w:tcPr>
            <w:tcW w:w="1136" w:type="dxa"/>
            <w:noWrap/>
            <w:vAlign w:val="center"/>
            <w:hideMark/>
          </w:tcPr>
          <w:p w14:paraId="4B1B9A73" w14:textId="77777777" w:rsidR="005044EC" w:rsidRPr="008B60E0" w:rsidRDefault="005044EC" w:rsidP="00CA3FD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Precision</w:t>
            </w:r>
          </w:p>
        </w:tc>
        <w:tc>
          <w:tcPr>
            <w:tcW w:w="960" w:type="dxa"/>
            <w:noWrap/>
            <w:vAlign w:val="center"/>
            <w:hideMark/>
          </w:tcPr>
          <w:p w14:paraId="7D00F974" w14:textId="77777777" w:rsidR="005044EC" w:rsidRPr="008B60E0" w:rsidRDefault="005044EC" w:rsidP="00CA3FD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Recall</w:t>
            </w:r>
          </w:p>
        </w:tc>
        <w:tc>
          <w:tcPr>
            <w:tcW w:w="1183" w:type="dxa"/>
            <w:noWrap/>
            <w:vAlign w:val="center"/>
            <w:hideMark/>
          </w:tcPr>
          <w:p w14:paraId="296EC284" w14:textId="77777777" w:rsidR="005044EC" w:rsidRPr="008B60E0" w:rsidRDefault="005044EC" w:rsidP="00CA3FD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F1 score</w:t>
            </w:r>
          </w:p>
        </w:tc>
        <w:tc>
          <w:tcPr>
            <w:tcW w:w="977" w:type="dxa"/>
            <w:noWrap/>
            <w:vAlign w:val="center"/>
            <w:hideMark/>
          </w:tcPr>
          <w:p w14:paraId="192900AC" w14:textId="77777777" w:rsidR="005044EC" w:rsidRPr="008B60E0" w:rsidRDefault="005044EC" w:rsidP="00CA3FD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Support</w:t>
            </w:r>
          </w:p>
        </w:tc>
      </w:tr>
      <w:tr w:rsidR="005044EC" w:rsidRPr="008B60E0" w14:paraId="5E3893E5" w14:textId="77777777" w:rsidTr="00CA3FD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83" w:type="dxa"/>
            <w:noWrap/>
            <w:vAlign w:val="center"/>
            <w:hideMark/>
          </w:tcPr>
          <w:p w14:paraId="348381D7"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01</w:t>
            </w:r>
          </w:p>
        </w:tc>
        <w:tc>
          <w:tcPr>
            <w:tcW w:w="1136" w:type="dxa"/>
            <w:noWrap/>
            <w:vAlign w:val="center"/>
            <w:hideMark/>
          </w:tcPr>
          <w:p w14:paraId="3418F52A"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0.75</w:t>
            </w:r>
          </w:p>
        </w:tc>
        <w:tc>
          <w:tcPr>
            <w:tcW w:w="960" w:type="dxa"/>
            <w:noWrap/>
            <w:vAlign w:val="center"/>
            <w:hideMark/>
          </w:tcPr>
          <w:p w14:paraId="3C8220DA"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1.00</w:t>
            </w:r>
          </w:p>
        </w:tc>
        <w:tc>
          <w:tcPr>
            <w:tcW w:w="1183" w:type="dxa"/>
            <w:noWrap/>
            <w:vAlign w:val="center"/>
            <w:hideMark/>
          </w:tcPr>
          <w:p w14:paraId="673327CE"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0.86</w:t>
            </w:r>
          </w:p>
        </w:tc>
        <w:tc>
          <w:tcPr>
            <w:tcW w:w="977" w:type="dxa"/>
            <w:noWrap/>
            <w:vAlign w:val="center"/>
            <w:hideMark/>
          </w:tcPr>
          <w:p w14:paraId="308AF728"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3</w:t>
            </w:r>
          </w:p>
        </w:tc>
      </w:tr>
      <w:tr w:rsidR="005044EC" w:rsidRPr="008B60E0" w14:paraId="7902DD9A" w14:textId="77777777" w:rsidTr="00CA3FDF">
        <w:trPr>
          <w:trHeight w:val="300"/>
          <w:jc w:val="center"/>
        </w:trPr>
        <w:tc>
          <w:tcPr>
            <w:cnfStyle w:val="001000000000" w:firstRow="0" w:lastRow="0" w:firstColumn="1" w:lastColumn="0" w:oddVBand="0" w:evenVBand="0" w:oddHBand="0" w:evenHBand="0" w:firstRowFirstColumn="0" w:firstRowLastColumn="0" w:lastRowFirstColumn="0" w:lastRowLastColumn="0"/>
            <w:tcW w:w="1083" w:type="dxa"/>
            <w:noWrap/>
            <w:vAlign w:val="center"/>
            <w:hideMark/>
          </w:tcPr>
          <w:p w14:paraId="3B8E9447"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02</w:t>
            </w:r>
          </w:p>
        </w:tc>
        <w:tc>
          <w:tcPr>
            <w:tcW w:w="1136" w:type="dxa"/>
            <w:noWrap/>
            <w:vAlign w:val="center"/>
            <w:hideMark/>
          </w:tcPr>
          <w:p w14:paraId="67DB4AB2"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0.33</w:t>
            </w:r>
          </w:p>
        </w:tc>
        <w:tc>
          <w:tcPr>
            <w:tcW w:w="960" w:type="dxa"/>
            <w:noWrap/>
            <w:vAlign w:val="center"/>
            <w:hideMark/>
          </w:tcPr>
          <w:p w14:paraId="62CD85E0"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0.33</w:t>
            </w:r>
          </w:p>
        </w:tc>
        <w:tc>
          <w:tcPr>
            <w:tcW w:w="1183" w:type="dxa"/>
            <w:noWrap/>
            <w:vAlign w:val="center"/>
            <w:hideMark/>
          </w:tcPr>
          <w:p w14:paraId="0195BBD8"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0.33</w:t>
            </w:r>
          </w:p>
        </w:tc>
        <w:tc>
          <w:tcPr>
            <w:tcW w:w="977" w:type="dxa"/>
            <w:noWrap/>
            <w:vAlign w:val="center"/>
            <w:hideMark/>
          </w:tcPr>
          <w:p w14:paraId="6853FC4C"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3</w:t>
            </w:r>
          </w:p>
        </w:tc>
      </w:tr>
      <w:tr w:rsidR="005044EC" w:rsidRPr="008B60E0" w14:paraId="2ABD5AEA" w14:textId="77777777" w:rsidTr="00CA3FD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83" w:type="dxa"/>
            <w:noWrap/>
            <w:vAlign w:val="center"/>
            <w:hideMark/>
          </w:tcPr>
          <w:p w14:paraId="7DFC5B1F"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03</w:t>
            </w:r>
          </w:p>
        </w:tc>
        <w:tc>
          <w:tcPr>
            <w:tcW w:w="1136" w:type="dxa"/>
            <w:noWrap/>
            <w:vAlign w:val="center"/>
            <w:hideMark/>
          </w:tcPr>
          <w:p w14:paraId="5540AFF8"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0.50</w:t>
            </w:r>
          </w:p>
        </w:tc>
        <w:tc>
          <w:tcPr>
            <w:tcW w:w="960" w:type="dxa"/>
            <w:noWrap/>
            <w:vAlign w:val="center"/>
            <w:hideMark/>
          </w:tcPr>
          <w:p w14:paraId="2DAB92BD"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0.75</w:t>
            </w:r>
          </w:p>
        </w:tc>
        <w:tc>
          <w:tcPr>
            <w:tcW w:w="1183" w:type="dxa"/>
            <w:noWrap/>
            <w:vAlign w:val="center"/>
            <w:hideMark/>
          </w:tcPr>
          <w:p w14:paraId="2A2927BD"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0.60</w:t>
            </w:r>
          </w:p>
        </w:tc>
        <w:tc>
          <w:tcPr>
            <w:tcW w:w="977" w:type="dxa"/>
            <w:noWrap/>
            <w:vAlign w:val="center"/>
            <w:hideMark/>
          </w:tcPr>
          <w:p w14:paraId="07E657A7"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4</w:t>
            </w:r>
          </w:p>
        </w:tc>
      </w:tr>
      <w:tr w:rsidR="005044EC" w:rsidRPr="008B60E0" w14:paraId="6AF534C0" w14:textId="77777777" w:rsidTr="00CA3FDF">
        <w:trPr>
          <w:trHeight w:val="300"/>
          <w:jc w:val="center"/>
        </w:trPr>
        <w:tc>
          <w:tcPr>
            <w:cnfStyle w:val="001000000000" w:firstRow="0" w:lastRow="0" w:firstColumn="1" w:lastColumn="0" w:oddVBand="0" w:evenVBand="0" w:oddHBand="0" w:evenHBand="0" w:firstRowFirstColumn="0" w:firstRowLastColumn="0" w:lastRowFirstColumn="0" w:lastRowLastColumn="0"/>
            <w:tcW w:w="1083" w:type="dxa"/>
            <w:noWrap/>
            <w:vAlign w:val="center"/>
            <w:hideMark/>
          </w:tcPr>
          <w:p w14:paraId="3D559428"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04</w:t>
            </w:r>
          </w:p>
        </w:tc>
        <w:tc>
          <w:tcPr>
            <w:tcW w:w="1136" w:type="dxa"/>
            <w:noWrap/>
            <w:vAlign w:val="center"/>
            <w:hideMark/>
          </w:tcPr>
          <w:p w14:paraId="17219182"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0.67</w:t>
            </w:r>
          </w:p>
        </w:tc>
        <w:tc>
          <w:tcPr>
            <w:tcW w:w="960" w:type="dxa"/>
            <w:noWrap/>
            <w:vAlign w:val="center"/>
            <w:hideMark/>
          </w:tcPr>
          <w:p w14:paraId="7DD7ECEF"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0.67</w:t>
            </w:r>
          </w:p>
        </w:tc>
        <w:tc>
          <w:tcPr>
            <w:tcW w:w="1183" w:type="dxa"/>
            <w:noWrap/>
            <w:vAlign w:val="center"/>
            <w:hideMark/>
          </w:tcPr>
          <w:p w14:paraId="5FA97C51"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0.67</w:t>
            </w:r>
          </w:p>
        </w:tc>
        <w:tc>
          <w:tcPr>
            <w:tcW w:w="977" w:type="dxa"/>
            <w:noWrap/>
            <w:vAlign w:val="center"/>
            <w:hideMark/>
          </w:tcPr>
          <w:p w14:paraId="0413140F"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3</w:t>
            </w:r>
          </w:p>
        </w:tc>
      </w:tr>
      <w:tr w:rsidR="005044EC" w:rsidRPr="008B60E0" w14:paraId="54CE13BE" w14:textId="77777777" w:rsidTr="00CA3FD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83" w:type="dxa"/>
            <w:noWrap/>
            <w:vAlign w:val="center"/>
            <w:hideMark/>
          </w:tcPr>
          <w:p w14:paraId="5BF59785"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05</w:t>
            </w:r>
          </w:p>
        </w:tc>
        <w:tc>
          <w:tcPr>
            <w:tcW w:w="1136" w:type="dxa"/>
            <w:noWrap/>
            <w:vAlign w:val="center"/>
            <w:hideMark/>
          </w:tcPr>
          <w:p w14:paraId="77C2A733"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0.60</w:t>
            </w:r>
          </w:p>
        </w:tc>
        <w:tc>
          <w:tcPr>
            <w:tcW w:w="960" w:type="dxa"/>
            <w:noWrap/>
            <w:vAlign w:val="center"/>
            <w:hideMark/>
          </w:tcPr>
          <w:p w14:paraId="01954039"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0.75</w:t>
            </w:r>
          </w:p>
        </w:tc>
        <w:tc>
          <w:tcPr>
            <w:tcW w:w="1183" w:type="dxa"/>
            <w:noWrap/>
            <w:vAlign w:val="center"/>
            <w:hideMark/>
          </w:tcPr>
          <w:p w14:paraId="55CD8560"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0.67</w:t>
            </w:r>
          </w:p>
        </w:tc>
        <w:tc>
          <w:tcPr>
            <w:tcW w:w="977" w:type="dxa"/>
            <w:noWrap/>
            <w:vAlign w:val="center"/>
            <w:hideMark/>
          </w:tcPr>
          <w:p w14:paraId="48829655"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4</w:t>
            </w:r>
          </w:p>
        </w:tc>
      </w:tr>
      <w:tr w:rsidR="005044EC" w:rsidRPr="008B60E0" w14:paraId="20A711D1" w14:textId="77777777" w:rsidTr="00CA3FDF">
        <w:trPr>
          <w:trHeight w:val="300"/>
          <w:jc w:val="center"/>
        </w:trPr>
        <w:tc>
          <w:tcPr>
            <w:cnfStyle w:val="001000000000" w:firstRow="0" w:lastRow="0" w:firstColumn="1" w:lastColumn="0" w:oddVBand="0" w:evenVBand="0" w:oddHBand="0" w:evenHBand="0" w:firstRowFirstColumn="0" w:firstRowLastColumn="0" w:lastRowFirstColumn="0" w:lastRowLastColumn="0"/>
            <w:tcW w:w="1083" w:type="dxa"/>
            <w:noWrap/>
            <w:vAlign w:val="center"/>
            <w:hideMark/>
          </w:tcPr>
          <w:p w14:paraId="00D84A33"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06</w:t>
            </w:r>
          </w:p>
        </w:tc>
        <w:tc>
          <w:tcPr>
            <w:tcW w:w="1136" w:type="dxa"/>
            <w:noWrap/>
            <w:vAlign w:val="center"/>
            <w:hideMark/>
          </w:tcPr>
          <w:p w14:paraId="04A348C5"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0.50</w:t>
            </w:r>
          </w:p>
        </w:tc>
        <w:tc>
          <w:tcPr>
            <w:tcW w:w="960" w:type="dxa"/>
            <w:noWrap/>
            <w:vAlign w:val="center"/>
            <w:hideMark/>
          </w:tcPr>
          <w:p w14:paraId="072B5090"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0.75</w:t>
            </w:r>
          </w:p>
        </w:tc>
        <w:tc>
          <w:tcPr>
            <w:tcW w:w="1183" w:type="dxa"/>
            <w:noWrap/>
            <w:vAlign w:val="center"/>
            <w:hideMark/>
          </w:tcPr>
          <w:p w14:paraId="23BE5C9E"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0.60</w:t>
            </w:r>
          </w:p>
        </w:tc>
        <w:tc>
          <w:tcPr>
            <w:tcW w:w="977" w:type="dxa"/>
            <w:noWrap/>
            <w:vAlign w:val="center"/>
            <w:hideMark/>
          </w:tcPr>
          <w:p w14:paraId="58F3EBBA"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4</w:t>
            </w:r>
          </w:p>
        </w:tc>
      </w:tr>
      <w:tr w:rsidR="005044EC" w:rsidRPr="008B60E0" w14:paraId="2B678CC8" w14:textId="77777777" w:rsidTr="00CA3FD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83" w:type="dxa"/>
            <w:noWrap/>
            <w:vAlign w:val="center"/>
            <w:hideMark/>
          </w:tcPr>
          <w:p w14:paraId="44635132"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07</w:t>
            </w:r>
          </w:p>
        </w:tc>
        <w:tc>
          <w:tcPr>
            <w:tcW w:w="1136" w:type="dxa"/>
            <w:noWrap/>
            <w:vAlign w:val="center"/>
            <w:hideMark/>
          </w:tcPr>
          <w:p w14:paraId="312ED5F0"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0.82</w:t>
            </w:r>
          </w:p>
        </w:tc>
        <w:tc>
          <w:tcPr>
            <w:tcW w:w="960" w:type="dxa"/>
            <w:noWrap/>
            <w:vAlign w:val="center"/>
            <w:hideMark/>
          </w:tcPr>
          <w:p w14:paraId="6CD22BCE"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0.82</w:t>
            </w:r>
          </w:p>
        </w:tc>
        <w:tc>
          <w:tcPr>
            <w:tcW w:w="1183" w:type="dxa"/>
            <w:noWrap/>
            <w:vAlign w:val="center"/>
            <w:hideMark/>
          </w:tcPr>
          <w:p w14:paraId="55E772F3"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0.82</w:t>
            </w:r>
          </w:p>
        </w:tc>
        <w:tc>
          <w:tcPr>
            <w:tcW w:w="977" w:type="dxa"/>
            <w:noWrap/>
            <w:vAlign w:val="center"/>
            <w:hideMark/>
          </w:tcPr>
          <w:p w14:paraId="2B31AA85"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11</w:t>
            </w:r>
          </w:p>
        </w:tc>
      </w:tr>
      <w:tr w:rsidR="005044EC" w:rsidRPr="008B60E0" w14:paraId="03CE4B90" w14:textId="77777777" w:rsidTr="00CA3FDF">
        <w:trPr>
          <w:trHeight w:val="300"/>
          <w:jc w:val="center"/>
        </w:trPr>
        <w:tc>
          <w:tcPr>
            <w:cnfStyle w:val="001000000000" w:firstRow="0" w:lastRow="0" w:firstColumn="1" w:lastColumn="0" w:oddVBand="0" w:evenVBand="0" w:oddHBand="0" w:evenHBand="0" w:firstRowFirstColumn="0" w:firstRowLastColumn="0" w:lastRowFirstColumn="0" w:lastRowLastColumn="0"/>
            <w:tcW w:w="1083" w:type="dxa"/>
            <w:noWrap/>
            <w:vAlign w:val="center"/>
            <w:hideMark/>
          </w:tcPr>
          <w:p w14:paraId="3E908DAD"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09</w:t>
            </w:r>
          </w:p>
        </w:tc>
        <w:tc>
          <w:tcPr>
            <w:tcW w:w="1136" w:type="dxa"/>
            <w:noWrap/>
            <w:vAlign w:val="center"/>
            <w:hideMark/>
          </w:tcPr>
          <w:p w14:paraId="4A980874"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0.75</w:t>
            </w:r>
          </w:p>
        </w:tc>
        <w:tc>
          <w:tcPr>
            <w:tcW w:w="960" w:type="dxa"/>
            <w:noWrap/>
            <w:vAlign w:val="center"/>
            <w:hideMark/>
          </w:tcPr>
          <w:p w14:paraId="4589257A"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0.79</w:t>
            </w:r>
          </w:p>
        </w:tc>
        <w:tc>
          <w:tcPr>
            <w:tcW w:w="1183" w:type="dxa"/>
            <w:noWrap/>
            <w:vAlign w:val="center"/>
            <w:hideMark/>
          </w:tcPr>
          <w:p w14:paraId="396FA345"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0.77</w:t>
            </w:r>
          </w:p>
        </w:tc>
        <w:tc>
          <w:tcPr>
            <w:tcW w:w="977" w:type="dxa"/>
            <w:noWrap/>
            <w:vAlign w:val="center"/>
            <w:hideMark/>
          </w:tcPr>
          <w:p w14:paraId="0AD761C4"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19</w:t>
            </w:r>
          </w:p>
        </w:tc>
      </w:tr>
      <w:tr w:rsidR="005044EC" w:rsidRPr="008B60E0" w14:paraId="47A6E7D1" w14:textId="77777777" w:rsidTr="00CA3FD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83" w:type="dxa"/>
            <w:noWrap/>
            <w:vAlign w:val="center"/>
            <w:hideMark/>
          </w:tcPr>
          <w:p w14:paraId="1C357F00"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10</w:t>
            </w:r>
          </w:p>
        </w:tc>
        <w:tc>
          <w:tcPr>
            <w:tcW w:w="1136" w:type="dxa"/>
            <w:noWrap/>
            <w:vAlign w:val="center"/>
            <w:hideMark/>
          </w:tcPr>
          <w:p w14:paraId="4B55D281"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0.80</w:t>
            </w:r>
          </w:p>
        </w:tc>
        <w:tc>
          <w:tcPr>
            <w:tcW w:w="960" w:type="dxa"/>
            <w:noWrap/>
            <w:vAlign w:val="center"/>
            <w:hideMark/>
          </w:tcPr>
          <w:p w14:paraId="36797ED9"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1.00</w:t>
            </w:r>
          </w:p>
        </w:tc>
        <w:tc>
          <w:tcPr>
            <w:tcW w:w="1183" w:type="dxa"/>
            <w:noWrap/>
            <w:vAlign w:val="center"/>
            <w:hideMark/>
          </w:tcPr>
          <w:p w14:paraId="6E041875"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0.89</w:t>
            </w:r>
          </w:p>
        </w:tc>
        <w:tc>
          <w:tcPr>
            <w:tcW w:w="977" w:type="dxa"/>
            <w:noWrap/>
            <w:vAlign w:val="center"/>
            <w:hideMark/>
          </w:tcPr>
          <w:p w14:paraId="2E2B213D"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4</w:t>
            </w:r>
          </w:p>
        </w:tc>
      </w:tr>
      <w:tr w:rsidR="005044EC" w:rsidRPr="008B60E0" w14:paraId="295163B5" w14:textId="77777777" w:rsidTr="00CA3FDF">
        <w:trPr>
          <w:trHeight w:val="300"/>
          <w:jc w:val="center"/>
        </w:trPr>
        <w:tc>
          <w:tcPr>
            <w:cnfStyle w:val="001000000000" w:firstRow="0" w:lastRow="0" w:firstColumn="1" w:lastColumn="0" w:oddVBand="0" w:evenVBand="0" w:oddHBand="0" w:evenHBand="0" w:firstRowFirstColumn="0" w:firstRowLastColumn="0" w:lastRowFirstColumn="0" w:lastRowLastColumn="0"/>
            <w:tcW w:w="1083" w:type="dxa"/>
            <w:noWrap/>
            <w:vAlign w:val="center"/>
            <w:hideMark/>
          </w:tcPr>
          <w:p w14:paraId="691821C7"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13-14</w:t>
            </w:r>
          </w:p>
        </w:tc>
        <w:tc>
          <w:tcPr>
            <w:tcW w:w="1136" w:type="dxa"/>
            <w:noWrap/>
            <w:vAlign w:val="center"/>
            <w:hideMark/>
          </w:tcPr>
          <w:p w14:paraId="5DD4BBDD"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0.96</w:t>
            </w:r>
          </w:p>
        </w:tc>
        <w:tc>
          <w:tcPr>
            <w:tcW w:w="960" w:type="dxa"/>
            <w:noWrap/>
            <w:vAlign w:val="center"/>
            <w:hideMark/>
          </w:tcPr>
          <w:p w14:paraId="4537EEB1"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0.86</w:t>
            </w:r>
          </w:p>
        </w:tc>
        <w:tc>
          <w:tcPr>
            <w:tcW w:w="1183" w:type="dxa"/>
            <w:noWrap/>
            <w:vAlign w:val="center"/>
            <w:hideMark/>
          </w:tcPr>
          <w:p w14:paraId="0DCCDB3D"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0.91</w:t>
            </w:r>
          </w:p>
        </w:tc>
        <w:tc>
          <w:tcPr>
            <w:tcW w:w="977" w:type="dxa"/>
            <w:noWrap/>
            <w:vAlign w:val="center"/>
            <w:hideMark/>
          </w:tcPr>
          <w:p w14:paraId="07036BF6"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79</w:t>
            </w:r>
          </w:p>
        </w:tc>
      </w:tr>
      <w:tr w:rsidR="005044EC" w:rsidRPr="008B60E0" w14:paraId="37BFBB30" w14:textId="77777777" w:rsidTr="00CA3FD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83" w:type="dxa"/>
            <w:tcBorders>
              <w:bottom w:val="single" w:sz="4" w:space="0" w:color="auto"/>
            </w:tcBorders>
            <w:noWrap/>
            <w:vAlign w:val="center"/>
            <w:hideMark/>
          </w:tcPr>
          <w:p w14:paraId="326AD818"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16-17</w:t>
            </w:r>
          </w:p>
        </w:tc>
        <w:tc>
          <w:tcPr>
            <w:tcW w:w="1136" w:type="dxa"/>
            <w:tcBorders>
              <w:bottom w:val="single" w:sz="4" w:space="0" w:color="auto"/>
            </w:tcBorders>
            <w:noWrap/>
            <w:vAlign w:val="center"/>
            <w:hideMark/>
          </w:tcPr>
          <w:p w14:paraId="47F0D32E"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0.88</w:t>
            </w:r>
          </w:p>
        </w:tc>
        <w:tc>
          <w:tcPr>
            <w:tcW w:w="960" w:type="dxa"/>
            <w:tcBorders>
              <w:bottom w:val="single" w:sz="4" w:space="0" w:color="auto"/>
            </w:tcBorders>
            <w:noWrap/>
            <w:vAlign w:val="center"/>
            <w:hideMark/>
          </w:tcPr>
          <w:p w14:paraId="7CE269F8"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0.88</w:t>
            </w:r>
          </w:p>
        </w:tc>
        <w:tc>
          <w:tcPr>
            <w:tcW w:w="1183" w:type="dxa"/>
            <w:tcBorders>
              <w:bottom w:val="single" w:sz="4" w:space="0" w:color="auto"/>
            </w:tcBorders>
            <w:noWrap/>
            <w:vAlign w:val="center"/>
            <w:hideMark/>
          </w:tcPr>
          <w:p w14:paraId="15083C44"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0.88</w:t>
            </w:r>
          </w:p>
        </w:tc>
        <w:tc>
          <w:tcPr>
            <w:tcW w:w="977" w:type="dxa"/>
            <w:tcBorders>
              <w:bottom w:val="single" w:sz="4" w:space="0" w:color="auto"/>
            </w:tcBorders>
            <w:noWrap/>
            <w:vAlign w:val="center"/>
            <w:hideMark/>
          </w:tcPr>
          <w:p w14:paraId="77FCC934"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17</w:t>
            </w:r>
          </w:p>
        </w:tc>
      </w:tr>
      <w:tr w:rsidR="005044EC" w:rsidRPr="008B60E0" w14:paraId="0F7C6F80" w14:textId="77777777" w:rsidTr="00CA3FDF">
        <w:trPr>
          <w:trHeight w:val="300"/>
          <w:jc w:val="center"/>
        </w:trPr>
        <w:tc>
          <w:tcPr>
            <w:cnfStyle w:val="001000000000" w:firstRow="0" w:lastRow="0" w:firstColumn="1" w:lastColumn="0" w:oddVBand="0" w:evenVBand="0" w:oddHBand="0" w:evenHBand="0" w:firstRowFirstColumn="0" w:firstRowLastColumn="0" w:lastRowFirstColumn="0" w:lastRowLastColumn="0"/>
            <w:tcW w:w="1083" w:type="dxa"/>
            <w:tcBorders>
              <w:top w:val="single" w:sz="4" w:space="0" w:color="auto"/>
            </w:tcBorders>
            <w:noWrap/>
            <w:vAlign w:val="center"/>
            <w:hideMark/>
          </w:tcPr>
          <w:p w14:paraId="517CFE79"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weighted</w:t>
            </w:r>
          </w:p>
        </w:tc>
        <w:tc>
          <w:tcPr>
            <w:tcW w:w="1136" w:type="dxa"/>
            <w:tcBorders>
              <w:top w:val="single" w:sz="4" w:space="0" w:color="auto"/>
            </w:tcBorders>
            <w:noWrap/>
            <w:vAlign w:val="center"/>
            <w:hideMark/>
          </w:tcPr>
          <w:p w14:paraId="433B4039"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0.85</w:t>
            </w:r>
          </w:p>
        </w:tc>
        <w:tc>
          <w:tcPr>
            <w:tcW w:w="960" w:type="dxa"/>
            <w:tcBorders>
              <w:top w:val="single" w:sz="4" w:space="0" w:color="auto"/>
            </w:tcBorders>
            <w:noWrap/>
            <w:vAlign w:val="center"/>
            <w:hideMark/>
          </w:tcPr>
          <w:p w14:paraId="531BA37F"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0.83</w:t>
            </w:r>
          </w:p>
        </w:tc>
        <w:tc>
          <w:tcPr>
            <w:tcW w:w="1183" w:type="dxa"/>
            <w:tcBorders>
              <w:top w:val="single" w:sz="4" w:space="0" w:color="auto"/>
            </w:tcBorders>
            <w:noWrap/>
            <w:vAlign w:val="center"/>
            <w:hideMark/>
          </w:tcPr>
          <w:p w14:paraId="665C2257"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0.84</w:t>
            </w:r>
          </w:p>
        </w:tc>
        <w:tc>
          <w:tcPr>
            <w:tcW w:w="977" w:type="dxa"/>
            <w:tcBorders>
              <w:top w:val="single" w:sz="4" w:space="0" w:color="auto"/>
            </w:tcBorders>
            <w:noWrap/>
            <w:vAlign w:val="center"/>
            <w:hideMark/>
          </w:tcPr>
          <w:p w14:paraId="779E5053"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bl>
    <w:p w14:paraId="33CE31FB" w14:textId="77777777" w:rsidR="004F4884" w:rsidRDefault="004F4884" w:rsidP="004F4884">
      <w:pPr>
        <w:pStyle w:val="Text"/>
      </w:pPr>
    </w:p>
    <w:p w14:paraId="086031AB" w14:textId="77777777" w:rsidR="005044EC" w:rsidRPr="008B60E0" w:rsidRDefault="005044EC" w:rsidP="004F4884">
      <w:pPr>
        <w:pStyle w:val="Heading3"/>
      </w:pPr>
      <w:bookmarkStart w:id="152" w:name="_Toc26534604"/>
      <w:r w:rsidRPr="008B60E0">
        <w:t>MobileNetV2</w:t>
      </w:r>
      <w:bookmarkEnd w:id="152"/>
    </w:p>
    <w:p w14:paraId="6D5E2B89" w14:textId="77777777" w:rsidR="005044EC" w:rsidRPr="008B60E0" w:rsidRDefault="005044EC" w:rsidP="005044EC">
      <w:pPr>
        <w:pStyle w:val="SEGBodyText"/>
        <w:rPr>
          <w:rFonts w:ascii="Times New Roman" w:hAnsi="Times New Roman"/>
        </w:rPr>
      </w:pPr>
      <w:r w:rsidRPr="008B60E0">
        <w:rPr>
          <w:rFonts w:ascii="Times New Roman" w:hAnsi="Times New Roman"/>
        </w:rPr>
        <w:t xml:space="preserve">Train and validation accuracy result for each step of the gradient descent are presented in </w:t>
      </w:r>
      <w:r w:rsidRPr="008B60E0">
        <w:rPr>
          <w:rFonts w:ascii="Times New Roman" w:hAnsi="Times New Roman"/>
        </w:rPr>
        <w:fldChar w:fldCharType="begin"/>
      </w:r>
      <w:r w:rsidRPr="008B60E0">
        <w:rPr>
          <w:rFonts w:ascii="Times New Roman" w:hAnsi="Times New Roman"/>
        </w:rPr>
        <w:instrText xml:space="preserve"> REF _Ref531038314 \h  \* MERGEFORMAT </w:instrText>
      </w:r>
      <w:r w:rsidRPr="008B60E0">
        <w:rPr>
          <w:rFonts w:ascii="Times New Roman" w:hAnsi="Times New Roman"/>
        </w:rPr>
      </w:r>
      <w:r w:rsidRPr="008B60E0">
        <w:rPr>
          <w:rFonts w:ascii="Times New Roman" w:hAnsi="Times New Roman"/>
        </w:rPr>
        <w:fldChar w:fldCharType="separate"/>
      </w:r>
      <w:r w:rsidR="001C535D" w:rsidRPr="008B60E0">
        <w:rPr>
          <w:rFonts w:ascii="Times New Roman" w:hAnsi="Times New Roman"/>
        </w:rPr>
        <w:t xml:space="preserve">Figure B- </w:t>
      </w:r>
      <w:r w:rsidR="001C535D" w:rsidRPr="001C535D">
        <w:rPr>
          <w:rFonts w:ascii="Times New Roman" w:hAnsi="Times New Roman"/>
          <w:i/>
          <w:noProof/>
        </w:rPr>
        <w:t>3</w:t>
      </w:r>
      <w:r w:rsidRPr="008B60E0">
        <w:rPr>
          <w:rFonts w:ascii="Times New Roman" w:hAnsi="Times New Roman"/>
        </w:rPr>
        <w:fldChar w:fldCharType="end"/>
      </w:r>
      <w:r w:rsidRPr="008B60E0">
        <w:rPr>
          <w:rFonts w:ascii="Times New Roman" w:hAnsi="Times New Roman"/>
        </w:rPr>
        <w:t xml:space="preserve">. </w:t>
      </w:r>
      <w:r w:rsidRPr="008B60E0">
        <w:rPr>
          <w:rFonts w:ascii="Times New Roman" w:hAnsi="Times New Roman"/>
        </w:rPr>
        <w:fldChar w:fldCharType="begin"/>
      </w:r>
      <w:r w:rsidRPr="008B60E0">
        <w:rPr>
          <w:rFonts w:ascii="Times New Roman" w:hAnsi="Times New Roman"/>
        </w:rPr>
        <w:instrText xml:space="preserve"> REF _Ref531022150 \h  \* MERGEFORMAT </w:instrText>
      </w:r>
      <w:r w:rsidRPr="008B60E0">
        <w:rPr>
          <w:rFonts w:ascii="Times New Roman" w:hAnsi="Times New Roman"/>
        </w:rPr>
      </w:r>
      <w:r w:rsidRPr="008B60E0">
        <w:rPr>
          <w:rFonts w:ascii="Times New Roman" w:hAnsi="Times New Roman"/>
        </w:rPr>
        <w:fldChar w:fldCharType="separate"/>
      </w:r>
      <w:r w:rsidR="001C535D" w:rsidRPr="008B60E0">
        <w:rPr>
          <w:rFonts w:ascii="Times New Roman" w:hAnsi="Times New Roman"/>
        </w:rPr>
        <w:t xml:space="preserve">Figure B- </w:t>
      </w:r>
      <w:r w:rsidR="001C535D" w:rsidRPr="001C535D">
        <w:rPr>
          <w:rFonts w:ascii="Times New Roman" w:hAnsi="Times New Roman"/>
          <w:i/>
          <w:noProof/>
        </w:rPr>
        <w:t>4</w:t>
      </w:r>
      <w:r w:rsidRPr="008B60E0">
        <w:rPr>
          <w:rFonts w:ascii="Times New Roman" w:hAnsi="Times New Roman"/>
        </w:rPr>
        <w:fldChar w:fldCharType="end"/>
      </w:r>
      <w:r w:rsidRPr="008B60E0">
        <w:rPr>
          <w:rFonts w:ascii="Times New Roman" w:hAnsi="Times New Roman"/>
        </w:rPr>
        <w:t xml:space="preserve"> shows the confusion matrix generated when the test set is classified by the retrained MobileNetV2. Precision, recall, F1 score, and support as well as weighted precision, recall, and F1 score are presented in </w:t>
      </w:r>
      <w:r w:rsidRPr="008B60E0">
        <w:rPr>
          <w:rFonts w:ascii="Times New Roman" w:hAnsi="Times New Roman"/>
        </w:rPr>
        <w:fldChar w:fldCharType="begin"/>
      </w:r>
      <w:r w:rsidRPr="008B60E0">
        <w:rPr>
          <w:rFonts w:ascii="Times New Roman" w:hAnsi="Times New Roman"/>
        </w:rPr>
        <w:instrText xml:space="preserve"> REF _Ref531022164 \h  \* MERGEFORMAT </w:instrText>
      </w:r>
      <w:r w:rsidRPr="008B60E0">
        <w:rPr>
          <w:rFonts w:ascii="Times New Roman" w:hAnsi="Times New Roman"/>
        </w:rPr>
      </w:r>
      <w:r w:rsidRPr="008B60E0">
        <w:rPr>
          <w:rFonts w:ascii="Times New Roman" w:hAnsi="Times New Roman"/>
        </w:rPr>
        <w:fldChar w:fldCharType="separate"/>
      </w:r>
      <w:r w:rsidR="001C535D" w:rsidRPr="008B60E0">
        <w:rPr>
          <w:rFonts w:ascii="Times New Roman" w:hAnsi="Times New Roman"/>
        </w:rPr>
        <w:t xml:space="preserve">Table B- </w:t>
      </w:r>
      <w:r w:rsidR="001C535D" w:rsidRPr="001C535D">
        <w:rPr>
          <w:rFonts w:ascii="Times New Roman" w:hAnsi="Times New Roman"/>
          <w:i/>
          <w:noProof/>
        </w:rPr>
        <w:t>2</w:t>
      </w:r>
      <w:r w:rsidRPr="008B60E0">
        <w:rPr>
          <w:rFonts w:ascii="Times New Roman" w:hAnsi="Times New Roman"/>
        </w:rPr>
        <w:fldChar w:fldCharType="end"/>
      </w:r>
      <w:r w:rsidRPr="008B60E0">
        <w:rPr>
          <w:rFonts w:ascii="Times New Roman" w:hAnsi="Times New Roman"/>
        </w:rPr>
        <w:t xml:space="preserve">. </w:t>
      </w:r>
    </w:p>
    <w:p w14:paraId="50B90C5F" w14:textId="77777777" w:rsidR="005044EC" w:rsidRPr="008B60E0" w:rsidRDefault="005044EC" w:rsidP="00A32BB7">
      <w:pPr>
        <w:pStyle w:val="SEGBodyText"/>
        <w:keepNext/>
        <w:spacing w:line="240" w:lineRule="auto"/>
        <w:jc w:val="center"/>
        <w:rPr>
          <w:rFonts w:ascii="Times New Roman" w:hAnsi="Times New Roman"/>
        </w:rPr>
      </w:pPr>
      <w:r w:rsidRPr="008B60E0">
        <w:rPr>
          <w:rFonts w:ascii="Times New Roman" w:hAnsi="Times New Roman"/>
          <w:noProof/>
        </w:rPr>
        <w:lastRenderedPageBreak/>
        <w:drawing>
          <wp:inline distT="0" distB="0" distL="0" distR="0" wp14:anchorId="7144E54C" wp14:editId="7B1D8E4A">
            <wp:extent cx="2423045" cy="1828800"/>
            <wp:effectExtent l="0" t="0" r="0" b="0"/>
            <wp:docPr id="44" name="Picture 44" descr="C:\Users\pire3708\Desktop\tensorflow_cores\MachineLearningProject\runs\mobilen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ire3708\Desktop\tensorflow_cores\MachineLearningProject\runs\mobilenet.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423045" cy="1828800"/>
                    </a:xfrm>
                    <a:prstGeom prst="rect">
                      <a:avLst/>
                    </a:prstGeom>
                    <a:noFill/>
                    <a:ln>
                      <a:noFill/>
                    </a:ln>
                  </pic:spPr>
                </pic:pic>
              </a:graphicData>
            </a:graphic>
          </wp:inline>
        </w:drawing>
      </w:r>
    </w:p>
    <w:p w14:paraId="661C7E0A" w14:textId="77777777" w:rsidR="005044EC" w:rsidRPr="008B60E0" w:rsidRDefault="005044EC" w:rsidP="00607DF1">
      <w:pPr>
        <w:pStyle w:val="Caption"/>
        <w:rPr>
          <w:i/>
        </w:rPr>
      </w:pPr>
      <w:bookmarkStart w:id="153" w:name="_Ref531038314"/>
      <w:bookmarkStart w:id="154" w:name="_Toc531818627"/>
      <w:r w:rsidRPr="008B60E0">
        <w:t xml:space="preserve">Figure B- </w:t>
      </w:r>
      <w:r w:rsidRPr="008B60E0">
        <w:rPr>
          <w:i/>
          <w:noProof/>
        </w:rPr>
        <w:fldChar w:fldCharType="begin"/>
      </w:r>
      <w:r w:rsidRPr="008B60E0">
        <w:rPr>
          <w:noProof/>
        </w:rPr>
        <w:instrText xml:space="preserve"> SEQ Figure_B- \* ARABIC </w:instrText>
      </w:r>
      <w:r w:rsidRPr="008B60E0">
        <w:rPr>
          <w:i/>
          <w:noProof/>
        </w:rPr>
        <w:fldChar w:fldCharType="separate"/>
      </w:r>
      <w:r w:rsidR="001C535D">
        <w:rPr>
          <w:noProof/>
        </w:rPr>
        <w:t>3</w:t>
      </w:r>
      <w:r w:rsidRPr="008B60E0">
        <w:rPr>
          <w:i/>
          <w:noProof/>
        </w:rPr>
        <w:fldChar w:fldCharType="end"/>
      </w:r>
      <w:bookmarkEnd w:id="153"/>
      <w:r w:rsidRPr="008B60E0">
        <w:t>: Validation and train accuracy for the MobilNetV3 training. Note that after approximately 1000 iterations the gains are marginal. As the cost of training the classification layer is inexpensive, we can afford to let the model train for many steps.</w:t>
      </w:r>
      <w:bookmarkEnd w:id="154"/>
    </w:p>
    <w:p w14:paraId="6E1C2431" w14:textId="77777777" w:rsidR="005044EC" w:rsidRPr="008B60E0" w:rsidRDefault="005044EC" w:rsidP="00607DF1">
      <w:pPr>
        <w:pStyle w:val="Caption"/>
      </w:pPr>
    </w:p>
    <w:p w14:paraId="48A54E7B" w14:textId="77777777" w:rsidR="005044EC" w:rsidRPr="008B60E0" w:rsidRDefault="005044EC" w:rsidP="00A32BB7">
      <w:pPr>
        <w:pStyle w:val="SEGBodyText"/>
        <w:keepNext/>
        <w:spacing w:line="240" w:lineRule="auto"/>
        <w:ind w:firstLine="0"/>
        <w:jc w:val="center"/>
        <w:rPr>
          <w:rFonts w:ascii="Times New Roman" w:hAnsi="Times New Roman"/>
        </w:rPr>
      </w:pPr>
      <w:r w:rsidRPr="008B60E0">
        <w:rPr>
          <w:rFonts w:ascii="Times New Roman" w:hAnsi="Times New Roman"/>
          <w:noProof/>
        </w:rPr>
        <w:drawing>
          <wp:inline distT="0" distB="0" distL="0" distR="0" wp14:anchorId="37E8AC7D" wp14:editId="742DF7C5">
            <wp:extent cx="3017520" cy="3155059"/>
            <wp:effectExtent l="0" t="0" r="0" b="7620"/>
            <wp:docPr id="37" name="Picture 37" descr="C:\Users\pire3708\Desktop\tensorflow_cores\MachineLearningProject\test_curated\mobilnenet_confusion_matr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ire3708\Desktop\tensorflow_cores\MachineLearningProject\test_curated\mobilnenet_confusion_matrix.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017520" cy="3155059"/>
                    </a:xfrm>
                    <a:prstGeom prst="rect">
                      <a:avLst/>
                    </a:prstGeom>
                    <a:noFill/>
                    <a:ln>
                      <a:noFill/>
                    </a:ln>
                  </pic:spPr>
                </pic:pic>
              </a:graphicData>
            </a:graphic>
          </wp:inline>
        </w:drawing>
      </w:r>
    </w:p>
    <w:p w14:paraId="08C0A711" w14:textId="77777777" w:rsidR="005044EC" w:rsidRDefault="005044EC" w:rsidP="00607DF1">
      <w:pPr>
        <w:pStyle w:val="Caption"/>
      </w:pPr>
      <w:bookmarkStart w:id="155" w:name="_Ref531022150"/>
      <w:bookmarkStart w:id="156" w:name="_Toc531023210"/>
      <w:bookmarkStart w:id="157" w:name="_Toc531818628"/>
      <w:r w:rsidRPr="008B60E0">
        <w:t xml:space="preserve">Figure B- </w:t>
      </w:r>
      <w:r w:rsidR="00CE1F3C">
        <w:fldChar w:fldCharType="begin"/>
      </w:r>
      <w:r w:rsidR="00CE1F3C">
        <w:instrText xml:space="preserve"> SEQ Figure_B- \* ARABIC </w:instrText>
      </w:r>
      <w:r w:rsidR="00CE1F3C">
        <w:fldChar w:fldCharType="separate"/>
      </w:r>
      <w:r w:rsidR="001C535D">
        <w:rPr>
          <w:noProof/>
        </w:rPr>
        <w:t>4</w:t>
      </w:r>
      <w:r w:rsidR="00CE1F3C">
        <w:rPr>
          <w:noProof/>
        </w:rPr>
        <w:fldChar w:fldCharType="end"/>
      </w:r>
      <w:bookmarkEnd w:id="155"/>
      <w:r w:rsidRPr="008B60E0">
        <w:t xml:space="preserve">: Normalized confusion matrix of the retrained MobileNetV2 applied to the test set. Refer to </w:t>
      </w:r>
      <w:r w:rsidRPr="008B60E0">
        <w:rPr>
          <w:i/>
        </w:rPr>
        <w:fldChar w:fldCharType="begin"/>
      </w:r>
      <w:r w:rsidRPr="008B60E0">
        <w:instrText xml:space="preserve"> REF _Ref531958861 \h  \* MERGEFORMAT </w:instrText>
      </w:r>
      <w:r w:rsidRPr="008B60E0">
        <w:rPr>
          <w:i/>
        </w:rPr>
      </w:r>
      <w:r w:rsidRPr="008B60E0">
        <w:rPr>
          <w:i/>
        </w:rPr>
        <w:fldChar w:fldCharType="separate"/>
      </w:r>
      <w:r w:rsidR="001C535D" w:rsidRPr="001C535D">
        <w:t>Table 2</w:t>
      </w:r>
      <w:r w:rsidRPr="008B60E0">
        <w:rPr>
          <w:i/>
        </w:rPr>
        <w:fldChar w:fldCharType="end"/>
      </w:r>
      <w:r w:rsidRPr="008B60E0">
        <w:t xml:space="preserve"> in main text for class lithofacies and number of images for each class.</w:t>
      </w:r>
      <w:bookmarkEnd w:id="156"/>
      <w:bookmarkEnd w:id="157"/>
      <w:r w:rsidRPr="008B60E0">
        <w:t xml:space="preserve"> </w:t>
      </w:r>
    </w:p>
    <w:p w14:paraId="61D5FD9B" w14:textId="77777777" w:rsidR="0019756A" w:rsidRPr="0019756A" w:rsidRDefault="0019756A" w:rsidP="0019756A"/>
    <w:p w14:paraId="696F199E" w14:textId="77777777" w:rsidR="0019756A" w:rsidRDefault="0019756A">
      <w:pPr>
        <w:spacing w:line="240" w:lineRule="auto"/>
        <w:rPr>
          <w:rFonts w:ascii="Times New Roman" w:hAnsi="Times New Roman"/>
          <w:bCs/>
          <w:iCs/>
        </w:rPr>
      </w:pPr>
      <w:bookmarkStart w:id="158" w:name="_Ref531022164"/>
      <w:bookmarkStart w:id="159" w:name="_Toc531817018"/>
      <w:r>
        <w:br w:type="page"/>
      </w:r>
    </w:p>
    <w:p w14:paraId="6636BB55" w14:textId="77777777" w:rsidR="005044EC" w:rsidRPr="008B60E0" w:rsidRDefault="005044EC" w:rsidP="00607DF1">
      <w:pPr>
        <w:pStyle w:val="Caption"/>
        <w:rPr>
          <w:i/>
        </w:rPr>
      </w:pPr>
      <w:r w:rsidRPr="008B60E0">
        <w:lastRenderedPageBreak/>
        <w:t xml:space="preserve">Table B- </w:t>
      </w:r>
      <w:r w:rsidR="00CE1F3C">
        <w:fldChar w:fldCharType="begin"/>
      </w:r>
      <w:r w:rsidR="00CE1F3C">
        <w:instrText xml:space="preserve"> SEQ Table_B- \* ARABIC </w:instrText>
      </w:r>
      <w:r w:rsidR="00CE1F3C">
        <w:fldChar w:fldCharType="separate"/>
      </w:r>
      <w:r w:rsidR="001C535D">
        <w:rPr>
          <w:noProof/>
        </w:rPr>
        <w:t>2</w:t>
      </w:r>
      <w:r w:rsidR="00CE1F3C">
        <w:rPr>
          <w:noProof/>
        </w:rPr>
        <w:fldChar w:fldCharType="end"/>
      </w:r>
      <w:bookmarkEnd w:id="158"/>
      <w:r w:rsidRPr="008B60E0">
        <w:t>: Precision, recall, F1 score and support for the classification performed by the retrained MobileNetV2. Last row shows the weighted values for each one of the metrics.</w:t>
      </w:r>
      <w:bookmarkEnd w:id="159"/>
      <w:r w:rsidRPr="008B60E0">
        <w:t xml:space="preserve">  </w:t>
      </w:r>
    </w:p>
    <w:p w14:paraId="5CBD8C29" w14:textId="77777777" w:rsidR="005044EC" w:rsidRPr="008B60E0" w:rsidRDefault="005044EC" w:rsidP="00607DF1">
      <w:pPr>
        <w:pStyle w:val="Caption"/>
      </w:pPr>
    </w:p>
    <w:tbl>
      <w:tblPr>
        <w:tblStyle w:val="PlainTable5"/>
        <w:tblW w:w="5339" w:type="dxa"/>
        <w:jc w:val="center"/>
        <w:tblLook w:val="04A0" w:firstRow="1" w:lastRow="0" w:firstColumn="1" w:lastColumn="0" w:noHBand="0" w:noVBand="1"/>
      </w:tblPr>
      <w:tblGrid>
        <w:gridCol w:w="1083"/>
        <w:gridCol w:w="1136"/>
        <w:gridCol w:w="960"/>
        <w:gridCol w:w="1183"/>
        <w:gridCol w:w="977"/>
      </w:tblGrid>
      <w:tr w:rsidR="005044EC" w:rsidRPr="008B60E0" w14:paraId="1A1DDE98" w14:textId="77777777" w:rsidTr="00CA3FDF">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100" w:firstRow="0" w:lastRow="0" w:firstColumn="1" w:lastColumn="0" w:oddVBand="0" w:evenVBand="0" w:oddHBand="0" w:evenHBand="0" w:firstRowFirstColumn="1" w:firstRowLastColumn="0" w:lastRowFirstColumn="0" w:lastRowLastColumn="0"/>
            <w:tcW w:w="1083" w:type="dxa"/>
            <w:noWrap/>
            <w:vAlign w:val="center"/>
            <w:hideMark/>
          </w:tcPr>
          <w:p w14:paraId="6EB6EA64"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Class</w:t>
            </w:r>
          </w:p>
        </w:tc>
        <w:tc>
          <w:tcPr>
            <w:tcW w:w="1136" w:type="dxa"/>
            <w:noWrap/>
            <w:vAlign w:val="center"/>
            <w:hideMark/>
          </w:tcPr>
          <w:p w14:paraId="7A4AF4F0" w14:textId="77777777" w:rsidR="005044EC" w:rsidRPr="008B60E0" w:rsidRDefault="005044EC" w:rsidP="00CA3FD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Precision</w:t>
            </w:r>
          </w:p>
        </w:tc>
        <w:tc>
          <w:tcPr>
            <w:tcW w:w="960" w:type="dxa"/>
            <w:noWrap/>
            <w:vAlign w:val="center"/>
            <w:hideMark/>
          </w:tcPr>
          <w:p w14:paraId="28A389B5" w14:textId="77777777" w:rsidR="005044EC" w:rsidRPr="008B60E0" w:rsidRDefault="005044EC" w:rsidP="00CA3FD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Recall</w:t>
            </w:r>
          </w:p>
        </w:tc>
        <w:tc>
          <w:tcPr>
            <w:tcW w:w="1183" w:type="dxa"/>
            <w:noWrap/>
            <w:vAlign w:val="center"/>
            <w:hideMark/>
          </w:tcPr>
          <w:p w14:paraId="24E6BB99" w14:textId="77777777" w:rsidR="005044EC" w:rsidRPr="008B60E0" w:rsidRDefault="005044EC" w:rsidP="00CA3FD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F1 score</w:t>
            </w:r>
          </w:p>
        </w:tc>
        <w:tc>
          <w:tcPr>
            <w:tcW w:w="977" w:type="dxa"/>
            <w:noWrap/>
            <w:vAlign w:val="center"/>
            <w:hideMark/>
          </w:tcPr>
          <w:p w14:paraId="42B7A410" w14:textId="77777777" w:rsidR="005044EC" w:rsidRPr="008B60E0" w:rsidRDefault="005044EC" w:rsidP="00CA3FD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Support</w:t>
            </w:r>
          </w:p>
        </w:tc>
      </w:tr>
      <w:tr w:rsidR="005044EC" w:rsidRPr="008B60E0" w14:paraId="0CD9CDE4" w14:textId="77777777" w:rsidTr="00CA3FD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83" w:type="dxa"/>
            <w:noWrap/>
            <w:vAlign w:val="center"/>
            <w:hideMark/>
          </w:tcPr>
          <w:p w14:paraId="06F12C76"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01</w:t>
            </w:r>
          </w:p>
        </w:tc>
        <w:tc>
          <w:tcPr>
            <w:tcW w:w="1136" w:type="dxa"/>
            <w:noWrap/>
            <w:hideMark/>
          </w:tcPr>
          <w:p w14:paraId="6D436A08"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1.00</w:t>
            </w:r>
          </w:p>
        </w:tc>
        <w:tc>
          <w:tcPr>
            <w:tcW w:w="960" w:type="dxa"/>
            <w:noWrap/>
            <w:hideMark/>
          </w:tcPr>
          <w:p w14:paraId="4E479377"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0.67</w:t>
            </w:r>
          </w:p>
        </w:tc>
        <w:tc>
          <w:tcPr>
            <w:tcW w:w="1183" w:type="dxa"/>
            <w:noWrap/>
            <w:hideMark/>
          </w:tcPr>
          <w:p w14:paraId="2AF11F10"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0.80</w:t>
            </w:r>
          </w:p>
        </w:tc>
        <w:tc>
          <w:tcPr>
            <w:tcW w:w="977" w:type="dxa"/>
            <w:noWrap/>
            <w:hideMark/>
          </w:tcPr>
          <w:p w14:paraId="7F4172B0"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3</w:t>
            </w:r>
          </w:p>
        </w:tc>
      </w:tr>
      <w:tr w:rsidR="005044EC" w:rsidRPr="008B60E0" w14:paraId="687CD063" w14:textId="77777777" w:rsidTr="00CA3FDF">
        <w:trPr>
          <w:trHeight w:val="300"/>
          <w:jc w:val="center"/>
        </w:trPr>
        <w:tc>
          <w:tcPr>
            <w:cnfStyle w:val="001000000000" w:firstRow="0" w:lastRow="0" w:firstColumn="1" w:lastColumn="0" w:oddVBand="0" w:evenVBand="0" w:oddHBand="0" w:evenHBand="0" w:firstRowFirstColumn="0" w:firstRowLastColumn="0" w:lastRowFirstColumn="0" w:lastRowLastColumn="0"/>
            <w:tcW w:w="1083" w:type="dxa"/>
            <w:noWrap/>
            <w:vAlign w:val="center"/>
            <w:hideMark/>
          </w:tcPr>
          <w:p w14:paraId="1ABC525C"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02</w:t>
            </w:r>
          </w:p>
        </w:tc>
        <w:tc>
          <w:tcPr>
            <w:tcW w:w="1136" w:type="dxa"/>
            <w:noWrap/>
            <w:hideMark/>
          </w:tcPr>
          <w:p w14:paraId="45B0658B"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0.40</w:t>
            </w:r>
          </w:p>
        </w:tc>
        <w:tc>
          <w:tcPr>
            <w:tcW w:w="960" w:type="dxa"/>
            <w:noWrap/>
            <w:hideMark/>
          </w:tcPr>
          <w:p w14:paraId="1B346256"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0.67</w:t>
            </w:r>
          </w:p>
        </w:tc>
        <w:tc>
          <w:tcPr>
            <w:tcW w:w="1183" w:type="dxa"/>
            <w:noWrap/>
            <w:hideMark/>
          </w:tcPr>
          <w:p w14:paraId="43AD32BE"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0.50</w:t>
            </w:r>
          </w:p>
        </w:tc>
        <w:tc>
          <w:tcPr>
            <w:tcW w:w="977" w:type="dxa"/>
            <w:noWrap/>
            <w:hideMark/>
          </w:tcPr>
          <w:p w14:paraId="66807106"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3</w:t>
            </w:r>
          </w:p>
        </w:tc>
      </w:tr>
      <w:tr w:rsidR="005044EC" w:rsidRPr="008B60E0" w14:paraId="571C4E93" w14:textId="77777777" w:rsidTr="00CA3FD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83" w:type="dxa"/>
            <w:noWrap/>
            <w:vAlign w:val="center"/>
            <w:hideMark/>
          </w:tcPr>
          <w:p w14:paraId="175364AC"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03</w:t>
            </w:r>
          </w:p>
        </w:tc>
        <w:tc>
          <w:tcPr>
            <w:tcW w:w="1136" w:type="dxa"/>
            <w:noWrap/>
            <w:hideMark/>
          </w:tcPr>
          <w:p w14:paraId="7549D3E0"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0.75</w:t>
            </w:r>
          </w:p>
        </w:tc>
        <w:tc>
          <w:tcPr>
            <w:tcW w:w="960" w:type="dxa"/>
            <w:noWrap/>
            <w:hideMark/>
          </w:tcPr>
          <w:p w14:paraId="2C523DD3"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0.75</w:t>
            </w:r>
          </w:p>
        </w:tc>
        <w:tc>
          <w:tcPr>
            <w:tcW w:w="1183" w:type="dxa"/>
            <w:noWrap/>
            <w:hideMark/>
          </w:tcPr>
          <w:p w14:paraId="6A1A8E75"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0.75</w:t>
            </w:r>
          </w:p>
        </w:tc>
        <w:tc>
          <w:tcPr>
            <w:tcW w:w="977" w:type="dxa"/>
            <w:noWrap/>
            <w:hideMark/>
          </w:tcPr>
          <w:p w14:paraId="17D8114C"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4</w:t>
            </w:r>
          </w:p>
        </w:tc>
      </w:tr>
      <w:tr w:rsidR="005044EC" w:rsidRPr="008B60E0" w14:paraId="5EFAF438" w14:textId="77777777" w:rsidTr="00CA3FDF">
        <w:trPr>
          <w:trHeight w:val="300"/>
          <w:jc w:val="center"/>
        </w:trPr>
        <w:tc>
          <w:tcPr>
            <w:cnfStyle w:val="001000000000" w:firstRow="0" w:lastRow="0" w:firstColumn="1" w:lastColumn="0" w:oddVBand="0" w:evenVBand="0" w:oddHBand="0" w:evenHBand="0" w:firstRowFirstColumn="0" w:firstRowLastColumn="0" w:lastRowFirstColumn="0" w:lastRowLastColumn="0"/>
            <w:tcW w:w="1083" w:type="dxa"/>
            <w:noWrap/>
            <w:vAlign w:val="center"/>
            <w:hideMark/>
          </w:tcPr>
          <w:p w14:paraId="73FF3F8E"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04</w:t>
            </w:r>
          </w:p>
        </w:tc>
        <w:tc>
          <w:tcPr>
            <w:tcW w:w="1136" w:type="dxa"/>
            <w:noWrap/>
            <w:hideMark/>
          </w:tcPr>
          <w:p w14:paraId="223628D8"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0.67</w:t>
            </w:r>
          </w:p>
        </w:tc>
        <w:tc>
          <w:tcPr>
            <w:tcW w:w="960" w:type="dxa"/>
            <w:noWrap/>
            <w:hideMark/>
          </w:tcPr>
          <w:p w14:paraId="12C99C7F"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0.67</w:t>
            </w:r>
          </w:p>
        </w:tc>
        <w:tc>
          <w:tcPr>
            <w:tcW w:w="1183" w:type="dxa"/>
            <w:noWrap/>
            <w:hideMark/>
          </w:tcPr>
          <w:p w14:paraId="5B856630"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0.67</w:t>
            </w:r>
          </w:p>
        </w:tc>
        <w:tc>
          <w:tcPr>
            <w:tcW w:w="977" w:type="dxa"/>
            <w:noWrap/>
            <w:hideMark/>
          </w:tcPr>
          <w:p w14:paraId="27AE262A"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3</w:t>
            </w:r>
          </w:p>
        </w:tc>
      </w:tr>
      <w:tr w:rsidR="005044EC" w:rsidRPr="008B60E0" w14:paraId="47C80416" w14:textId="77777777" w:rsidTr="00CA3FD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83" w:type="dxa"/>
            <w:noWrap/>
            <w:vAlign w:val="center"/>
            <w:hideMark/>
          </w:tcPr>
          <w:p w14:paraId="5C77F5D0"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05</w:t>
            </w:r>
          </w:p>
        </w:tc>
        <w:tc>
          <w:tcPr>
            <w:tcW w:w="1136" w:type="dxa"/>
            <w:noWrap/>
            <w:hideMark/>
          </w:tcPr>
          <w:p w14:paraId="011E14DE"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0.75</w:t>
            </w:r>
          </w:p>
        </w:tc>
        <w:tc>
          <w:tcPr>
            <w:tcW w:w="960" w:type="dxa"/>
            <w:noWrap/>
            <w:hideMark/>
          </w:tcPr>
          <w:p w14:paraId="7A133620"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0.75</w:t>
            </w:r>
          </w:p>
        </w:tc>
        <w:tc>
          <w:tcPr>
            <w:tcW w:w="1183" w:type="dxa"/>
            <w:noWrap/>
            <w:hideMark/>
          </w:tcPr>
          <w:p w14:paraId="4E1073A5"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0.75</w:t>
            </w:r>
          </w:p>
        </w:tc>
        <w:tc>
          <w:tcPr>
            <w:tcW w:w="977" w:type="dxa"/>
            <w:noWrap/>
            <w:hideMark/>
          </w:tcPr>
          <w:p w14:paraId="68315648"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4</w:t>
            </w:r>
          </w:p>
        </w:tc>
      </w:tr>
      <w:tr w:rsidR="005044EC" w:rsidRPr="008B60E0" w14:paraId="7559902A" w14:textId="77777777" w:rsidTr="00CA3FDF">
        <w:trPr>
          <w:trHeight w:val="300"/>
          <w:jc w:val="center"/>
        </w:trPr>
        <w:tc>
          <w:tcPr>
            <w:cnfStyle w:val="001000000000" w:firstRow="0" w:lastRow="0" w:firstColumn="1" w:lastColumn="0" w:oddVBand="0" w:evenVBand="0" w:oddHBand="0" w:evenHBand="0" w:firstRowFirstColumn="0" w:firstRowLastColumn="0" w:lastRowFirstColumn="0" w:lastRowLastColumn="0"/>
            <w:tcW w:w="1083" w:type="dxa"/>
            <w:noWrap/>
            <w:vAlign w:val="center"/>
            <w:hideMark/>
          </w:tcPr>
          <w:p w14:paraId="5F51AA77"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06</w:t>
            </w:r>
          </w:p>
        </w:tc>
        <w:tc>
          <w:tcPr>
            <w:tcW w:w="1136" w:type="dxa"/>
            <w:noWrap/>
            <w:hideMark/>
          </w:tcPr>
          <w:p w14:paraId="5B057557"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0.57</w:t>
            </w:r>
          </w:p>
        </w:tc>
        <w:tc>
          <w:tcPr>
            <w:tcW w:w="960" w:type="dxa"/>
            <w:noWrap/>
            <w:hideMark/>
          </w:tcPr>
          <w:p w14:paraId="7B7369D6"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1.00</w:t>
            </w:r>
          </w:p>
        </w:tc>
        <w:tc>
          <w:tcPr>
            <w:tcW w:w="1183" w:type="dxa"/>
            <w:noWrap/>
            <w:hideMark/>
          </w:tcPr>
          <w:p w14:paraId="15B031C7"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0.73</w:t>
            </w:r>
          </w:p>
        </w:tc>
        <w:tc>
          <w:tcPr>
            <w:tcW w:w="977" w:type="dxa"/>
            <w:noWrap/>
            <w:hideMark/>
          </w:tcPr>
          <w:p w14:paraId="23725CA9"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4</w:t>
            </w:r>
          </w:p>
        </w:tc>
      </w:tr>
      <w:tr w:rsidR="005044EC" w:rsidRPr="008B60E0" w14:paraId="3411C3C9" w14:textId="77777777" w:rsidTr="00CA3FD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83" w:type="dxa"/>
            <w:noWrap/>
            <w:vAlign w:val="center"/>
            <w:hideMark/>
          </w:tcPr>
          <w:p w14:paraId="07FC941F"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07</w:t>
            </w:r>
          </w:p>
        </w:tc>
        <w:tc>
          <w:tcPr>
            <w:tcW w:w="1136" w:type="dxa"/>
            <w:noWrap/>
            <w:hideMark/>
          </w:tcPr>
          <w:p w14:paraId="7FCB1C49"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0.90</w:t>
            </w:r>
          </w:p>
        </w:tc>
        <w:tc>
          <w:tcPr>
            <w:tcW w:w="960" w:type="dxa"/>
            <w:noWrap/>
            <w:hideMark/>
          </w:tcPr>
          <w:p w14:paraId="2E09111C"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0.82</w:t>
            </w:r>
          </w:p>
        </w:tc>
        <w:tc>
          <w:tcPr>
            <w:tcW w:w="1183" w:type="dxa"/>
            <w:noWrap/>
            <w:hideMark/>
          </w:tcPr>
          <w:p w14:paraId="2CE22AED"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0.86</w:t>
            </w:r>
          </w:p>
        </w:tc>
        <w:tc>
          <w:tcPr>
            <w:tcW w:w="977" w:type="dxa"/>
            <w:noWrap/>
            <w:hideMark/>
          </w:tcPr>
          <w:p w14:paraId="7B959212"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11</w:t>
            </w:r>
          </w:p>
        </w:tc>
      </w:tr>
      <w:tr w:rsidR="005044EC" w:rsidRPr="008B60E0" w14:paraId="1BA3A84E" w14:textId="77777777" w:rsidTr="00CA3FDF">
        <w:trPr>
          <w:trHeight w:val="300"/>
          <w:jc w:val="center"/>
        </w:trPr>
        <w:tc>
          <w:tcPr>
            <w:cnfStyle w:val="001000000000" w:firstRow="0" w:lastRow="0" w:firstColumn="1" w:lastColumn="0" w:oddVBand="0" w:evenVBand="0" w:oddHBand="0" w:evenHBand="0" w:firstRowFirstColumn="0" w:firstRowLastColumn="0" w:lastRowFirstColumn="0" w:lastRowLastColumn="0"/>
            <w:tcW w:w="1083" w:type="dxa"/>
            <w:noWrap/>
            <w:vAlign w:val="center"/>
            <w:hideMark/>
          </w:tcPr>
          <w:p w14:paraId="2890CA9E"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09</w:t>
            </w:r>
          </w:p>
        </w:tc>
        <w:tc>
          <w:tcPr>
            <w:tcW w:w="1136" w:type="dxa"/>
            <w:noWrap/>
            <w:hideMark/>
          </w:tcPr>
          <w:p w14:paraId="55B9C5A5"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0.75</w:t>
            </w:r>
          </w:p>
        </w:tc>
        <w:tc>
          <w:tcPr>
            <w:tcW w:w="960" w:type="dxa"/>
            <w:noWrap/>
            <w:hideMark/>
          </w:tcPr>
          <w:p w14:paraId="52E03843"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0.79</w:t>
            </w:r>
          </w:p>
        </w:tc>
        <w:tc>
          <w:tcPr>
            <w:tcW w:w="1183" w:type="dxa"/>
            <w:noWrap/>
            <w:hideMark/>
          </w:tcPr>
          <w:p w14:paraId="7EDB3CB3"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0.77</w:t>
            </w:r>
          </w:p>
        </w:tc>
        <w:tc>
          <w:tcPr>
            <w:tcW w:w="977" w:type="dxa"/>
            <w:noWrap/>
            <w:hideMark/>
          </w:tcPr>
          <w:p w14:paraId="3BB4A17A"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19</w:t>
            </w:r>
          </w:p>
        </w:tc>
      </w:tr>
      <w:tr w:rsidR="005044EC" w:rsidRPr="008B60E0" w14:paraId="45E23030" w14:textId="77777777" w:rsidTr="00CA3FD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83" w:type="dxa"/>
            <w:noWrap/>
            <w:vAlign w:val="center"/>
            <w:hideMark/>
          </w:tcPr>
          <w:p w14:paraId="707C69C9"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10</w:t>
            </w:r>
          </w:p>
        </w:tc>
        <w:tc>
          <w:tcPr>
            <w:tcW w:w="1136" w:type="dxa"/>
            <w:noWrap/>
            <w:hideMark/>
          </w:tcPr>
          <w:p w14:paraId="6FF33FB9"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0.80</w:t>
            </w:r>
          </w:p>
        </w:tc>
        <w:tc>
          <w:tcPr>
            <w:tcW w:w="960" w:type="dxa"/>
            <w:noWrap/>
            <w:hideMark/>
          </w:tcPr>
          <w:p w14:paraId="61E09836"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1.00</w:t>
            </w:r>
          </w:p>
        </w:tc>
        <w:tc>
          <w:tcPr>
            <w:tcW w:w="1183" w:type="dxa"/>
            <w:noWrap/>
            <w:hideMark/>
          </w:tcPr>
          <w:p w14:paraId="003C4123"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0.89</w:t>
            </w:r>
          </w:p>
        </w:tc>
        <w:tc>
          <w:tcPr>
            <w:tcW w:w="977" w:type="dxa"/>
            <w:noWrap/>
            <w:hideMark/>
          </w:tcPr>
          <w:p w14:paraId="229B9650"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4</w:t>
            </w:r>
          </w:p>
        </w:tc>
      </w:tr>
      <w:tr w:rsidR="005044EC" w:rsidRPr="008B60E0" w14:paraId="4AE66528" w14:textId="77777777" w:rsidTr="00CA3FDF">
        <w:trPr>
          <w:trHeight w:val="300"/>
          <w:jc w:val="center"/>
        </w:trPr>
        <w:tc>
          <w:tcPr>
            <w:cnfStyle w:val="001000000000" w:firstRow="0" w:lastRow="0" w:firstColumn="1" w:lastColumn="0" w:oddVBand="0" w:evenVBand="0" w:oddHBand="0" w:evenHBand="0" w:firstRowFirstColumn="0" w:firstRowLastColumn="0" w:lastRowFirstColumn="0" w:lastRowLastColumn="0"/>
            <w:tcW w:w="1083" w:type="dxa"/>
            <w:noWrap/>
            <w:vAlign w:val="center"/>
            <w:hideMark/>
          </w:tcPr>
          <w:p w14:paraId="115F8159"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13-14</w:t>
            </w:r>
          </w:p>
        </w:tc>
        <w:tc>
          <w:tcPr>
            <w:tcW w:w="1136" w:type="dxa"/>
            <w:noWrap/>
            <w:hideMark/>
          </w:tcPr>
          <w:p w14:paraId="17F1F9FE"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0.96</w:t>
            </w:r>
          </w:p>
        </w:tc>
        <w:tc>
          <w:tcPr>
            <w:tcW w:w="960" w:type="dxa"/>
            <w:noWrap/>
            <w:hideMark/>
          </w:tcPr>
          <w:p w14:paraId="391043C4"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0.91</w:t>
            </w:r>
          </w:p>
        </w:tc>
        <w:tc>
          <w:tcPr>
            <w:tcW w:w="1183" w:type="dxa"/>
            <w:noWrap/>
            <w:hideMark/>
          </w:tcPr>
          <w:p w14:paraId="40047C69"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0.94</w:t>
            </w:r>
          </w:p>
        </w:tc>
        <w:tc>
          <w:tcPr>
            <w:tcW w:w="977" w:type="dxa"/>
            <w:noWrap/>
            <w:hideMark/>
          </w:tcPr>
          <w:p w14:paraId="0725A98E"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79</w:t>
            </w:r>
          </w:p>
        </w:tc>
      </w:tr>
      <w:tr w:rsidR="005044EC" w:rsidRPr="008B60E0" w14:paraId="0659A389" w14:textId="77777777" w:rsidTr="00CA3FD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83" w:type="dxa"/>
            <w:tcBorders>
              <w:bottom w:val="single" w:sz="4" w:space="0" w:color="auto"/>
            </w:tcBorders>
            <w:noWrap/>
            <w:vAlign w:val="center"/>
            <w:hideMark/>
          </w:tcPr>
          <w:p w14:paraId="03C38EB2"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16-17</w:t>
            </w:r>
          </w:p>
        </w:tc>
        <w:tc>
          <w:tcPr>
            <w:tcW w:w="1136" w:type="dxa"/>
            <w:tcBorders>
              <w:bottom w:val="single" w:sz="4" w:space="0" w:color="auto"/>
            </w:tcBorders>
            <w:noWrap/>
            <w:hideMark/>
          </w:tcPr>
          <w:p w14:paraId="0045EA01"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0.94</w:t>
            </w:r>
          </w:p>
        </w:tc>
        <w:tc>
          <w:tcPr>
            <w:tcW w:w="960" w:type="dxa"/>
            <w:tcBorders>
              <w:bottom w:val="single" w:sz="4" w:space="0" w:color="auto"/>
            </w:tcBorders>
            <w:noWrap/>
            <w:hideMark/>
          </w:tcPr>
          <w:p w14:paraId="152EE9B4"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0.88</w:t>
            </w:r>
          </w:p>
        </w:tc>
        <w:tc>
          <w:tcPr>
            <w:tcW w:w="1183" w:type="dxa"/>
            <w:tcBorders>
              <w:bottom w:val="single" w:sz="4" w:space="0" w:color="auto"/>
            </w:tcBorders>
            <w:noWrap/>
            <w:hideMark/>
          </w:tcPr>
          <w:p w14:paraId="43C860DB"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0.91</w:t>
            </w:r>
          </w:p>
        </w:tc>
        <w:tc>
          <w:tcPr>
            <w:tcW w:w="977" w:type="dxa"/>
            <w:tcBorders>
              <w:bottom w:val="single" w:sz="4" w:space="0" w:color="auto"/>
            </w:tcBorders>
            <w:noWrap/>
            <w:hideMark/>
          </w:tcPr>
          <w:p w14:paraId="793877D2"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17</w:t>
            </w:r>
          </w:p>
        </w:tc>
      </w:tr>
      <w:tr w:rsidR="005044EC" w:rsidRPr="008B60E0" w14:paraId="7D6A9FED" w14:textId="77777777" w:rsidTr="00CA3FDF">
        <w:trPr>
          <w:trHeight w:val="300"/>
          <w:jc w:val="center"/>
        </w:trPr>
        <w:tc>
          <w:tcPr>
            <w:cnfStyle w:val="001000000000" w:firstRow="0" w:lastRow="0" w:firstColumn="1" w:lastColumn="0" w:oddVBand="0" w:evenVBand="0" w:oddHBand="0" w:evenHBand="0" w:firstRowFirstColumn="0" w:firstRowLastColumn="0" w:lastRowFirstColumn="0" w:lastRowLastColumn="0"/>
            <w:tcW w:w="1083" w:type="dxa"/>
            <w:tcBorders>
              <w:top w:val="single" w:sz="4" w:space="0" w:color="auto"/>
            </w:tcBorders>
            <w:noWrap/>
            <w:vAlign w:val="center"/>
            <w:hideMark/>
          </w:tcPr>
          <w:p w14:paraId="37E37624"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weighted</w:t>
            </w:r>
          </w:p>
        </w:tc>
        <w:tc>
          <w:tcPr>
            <w:tcW w:w="1136" w:type="dxa"/>
            <w:tcBorders>
              <w:top w:val="single" w:sz="4" w:space="0" w:color="auto"/>
            </w:tcBorders>
            <w:noWrap/>
            <w:hideMark/>
          </w:tcPr>
          <w:p w14:paraId="2C3825D6"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0.89</w:t>
            </w:r>
          </w:p>
        </w:tc>
        <w:tc>
          <w:tcPr>
            <w:tcW w:w="960" w:type="dxa"/>
            <w:tcBorders>
              <w:top w:val="single" w:sz="4" w:space="0" w:color="auto"/>
            </w:tcBorders>
            <w:noWrap/>
            <w:hideMark/>
          </w:tcPr>
          <w:p w14:paraId="011045A8"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0.87</w:t>
            </w:r>
          </w:p>
        </w:tc>
        <w:tc>
          <w:tcPr>
            <w:tcW w:w="1183" w:type="dxa"/>
            <w:tcBorders>
              <w:top w:val="single" w:sz="4" w:space="0" w:color="auto"/>
            </w:tcBorders>
            <w:noWrap/>
            <w:hideMark/>
          </w:tcPr>
          <w:p w14:paraId="684CF95F"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0.87</w:t>
            </w:r>
          </w:p>
        </w:tc>
        <w:tc>
          <w:tcPr>
            <w:tcW w:w="977" w:type="dxa"/>
            <w:tcBorders>
              <w:top w:val="single" w:sz="4" w:space="0" w:color="auto"/>
            </w:tcBorders>
            <w:noWrap/>
            <w:hideMark/>
          </w:tcPr>
          <w:p w14:paraId="6C07AC51"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bl>
    <w:p w14:paraId="7E8634B7" w14:textId="77777777" w:rsidR="004F4884" w:rsidRDefault="004F4884" w:rsidP="004F4884">
      <w:pPr>
        <w:pStyle w:val="Text"/>
      </w:pPr>
    </w:p>
    <w:p w14:paraId="7DA146CA" w14:textId="77777777" w:rsidR="005044EC" w:rsidRPr="008B60E0" w:rsidRDefault="005044EC" w:rsidP="004F4884">
      <w:pPr>
        <w:pStyle w:val="Heading3"/>
      </w:pPr>
      <w:bookmarkStart w:id="160" w:name="_Toc26534605"/>
      <w:r w:rsidRPr="008B60E0">
        <w:t>NASNet</w:t>
      </w:r>
      <w:bookmarkEnd w:id="160"/>
    </w:p>
    <w:p w14:paraId="2F25AC65" w14:textId="77777777" w:rsidR="005044EC" w:rsidRPr="008B60E0" w:rsidRDefault="005044EC" w:rsidP="005044EC">
      <w:pPr>
        <w:pStyle w:val="SEGBodyText"/>
        <w:rPr>
          <w:rFonts w:ascii="Times New Roman" w:hAnsi="Times New Roman"/>
        </w:rPr>
      </w:pPr>
      <w:r w:rsidRPr="008B60E0">
        <w:rPr>
          <w:rFonts w:ascii="Times New Roman" w:hAnsi="Times New Roman"/>
        </w:rPr>
        <w:t xml:space="preserve">Train and validation accuracy result for each step of the gradient descent are presented in </w:t>
      </w:r>
      <w:r w:rsidRPr="008B60E0">
        <w:rPr>
          <w:rFonts w:ascii="Times New Roman" w:hAnsi="Times New Roman"/>
        </w:rPr>
        <w:fldChar w:fldCharType="begin"/>
      </w:r>
      <w:r w:rsidRPr="008B60E0">
        <w:rPr>
          <w:rFonts w:ascii="Times New Roman" w:hAnsi="Times New Roman"/>
        </w:rPr>
        <w:instrText xml:space="preserve"> REF _Ref531038189 \h  \* MERGEFORMAT </w:instrText>
      </w:r>
      <w:r w:rsidRPr="008B60E0">
        <w:rPr>
          <w:rFonts w:ascii="Times New Roman" w:hAnsi="Times New Roman"/>
        </w:rPr>
      </w:r>
      <w:r w:rsidRPr="008B60E0">
        <w:rPr>
          <w:rFonts w:ascii="Times New Roman" w:hAnsi="Times New Roman"/>
        </w:rPr>
        <w:fldChar w:fldCharType="separate"/>
      </w:r>
      <w:r w:rsidR="001C535D" w:rsidRPr="008B60E0">
        <w:rPr>
          <w:rFonts w:ascii="Times New Roman" w:hAnsi="Times New Roman"/>
        </w:rPr>
        <w:t xml:space="preserve">Figure B- </w:t>
      </w:r>
      <w:r w:rsidR="001C535D" w:rsidRPr="001C535D">
        <w:rPr>
          <w:rFonts w:ascii="Times New Roman" w:hAnsi="Times New Roman"/>
          <w:i/>
          <w:noProof/>
        </w:rPr>
        <w:t>1</w:t>
      </w:r>
      <w:r w:rsidRPr="008B60E0">
        <w:rPr>
          <w:rFonts w:ascii="Times New Roman" w:hAnsi="Times New Roman"/>
        </w:rPr>
        <w:fldChar w:fldCharType="end"/>
      </w:r>
      <w:r w:rsidRPr="008B60E0">
        <w:rPr>
          <w:rFonts w:ascii="Times New Roman" w:hAnsi="Times New Roman"/>
        </w:rPr>
        <w:t xml:space="preserve">. </w:t>
      </w:r>
      <w:r w:rsidRPr="008B60E0">
        <w:rPr>
          <w:rFonts w:ascii="Times New Roman" w:hAnsi="Times New Roman"/>
        </w:rPr>
        <w:fldChar w:fldCharType="begin"/>
      </w:r>
      <w:r w:rsidRPr="008B60E0">
        <w:rPr>
          <w:rFonts w:ascii="Times New Roman" w:hAnsi="Times New Roman"/>
        </w:rPr>
        <w:instrText xml:space="preserve"> REF _Ref531022330 \h  \* MERGEFORMAT </w:instrText>
      </w:r>
      <w:r w:rsidRPr="008B60E0">
        <w:rPr>
          <w:rFonts w:ascii="Times New Roman" w:hAnsi="Times New Roman"/>
        </w:rPr>
      </w:r>
      <w:r w:rsidRPr="008B60E0">
        <w:rPr>
          <w:rFonts w:ascii="Times New Roman" w:hAnsi="Times New Roman"/>
        </w:rPr>
        <w:fldChar w:fldCharType="separate"/>
      </w:r>
      <w:r w:rsidR="001C535D" w:rsidRPr="001C535D">
        <w:rPr>
          <w:rFonts w:ascii="Times New Roman" w:hAnsi="Times New Roman"/>
          <w:i/>
        </w:rPr>
        <w:t xml:space="preserve">Figure B- </w:t>
      </w:r>
      <w:r w:rsidR="001C535D" w:rsidRPr="001C535D">
        <w:rPr>
          <w:rFonts w:ascii="Times New Roman" w:hAnsi="Times New Roman"/>
          <w:i/>
          <w:noProof/>
        </w:rPr>
        <w:t>6</w:t>
      </w:r>
      <w:r w:rsidRPr="008B60E0">
        <w:rPr>
          <w:rFonts w:ascii="Times New Roman" w:hAnsi="Times New Roman"/>
        </w:rPr>
        <w:fldChar w:fldCharType="end"/>
      </w:r>
      <w:r w:rsidRPr="008B60E0">
        <w:rPr>
          <w:rFonts w:ascii="Times New Roman" w:hAnsi="Times New Roman"/>
        </w:rPr>
        <w:t xml:space="preserve"> shows the confusion matrix generated when the test set is classified by the retrained NASNet. Precision, recall, F1 score, and support as well as weighted precision, recall, and F1 score are presented in </w:t>
      </w:r>
      <w:r w:rsidRPr="008B60E0">
        <w:rPr>
          <w:rFonts w:ascii="Times New Roman" w:hAnsi="Times New Roman"/>
        </w:rPr>
        <w:fldChar w:fldCharType="begin"/>
      </w:r>
      <w:r w:rsidRPr="008B60E0">
        <w:rPr>
          <w:rFonts w:ascii="Times New Roman" w:hAnsi="Times New Roman"/>
        </w:rPr>
        <w:instrText xml:space="preserve"> REF _Ref531022579 \h  \* MERGEFORMAT </w:instrText>
      </w:r>
      <w:r w:rsidRPr="008B60E0">
        <w:rPr>
          <w:rFonts w:ascii="Times New Roman" w:hAnsi="Times New Roman"/>
        </w:rPr>
      </w:r>
      <w:r w:rsidRPr="008B60E0">
        <w:rPr>
          <w:rFonts w:ascii="Times New Roman" w:hAnsi="Times New Roman"/>
        </w:rPr>
        <w:fldChar w:fldCharType="separate"/>
      </w:r>
      <w:r w:rsidR="001C535D" w:rsidRPr="001C535D">
        <w:rPr>
          <w:rFonts w:ascii="Times New Roman" w:hAnsi="Times New Roman"/>
          <w:i/>
        </w:rPr>
        <w:t xml:space="preserve">Table B- </w:t>
      </w:r>
      <w:r w:rsidR="001C535D" w:rsidRPr="001C535D">
        <w:rPr>
          <w:rFonts w:ascii="Times New Roman" w:hAnsi="Times New Roman"/>
          <w:i/>
          <w:noProof/>
        </w:rPr>
        <w:t>3</w:t>
      </w:r>
      <w:r w:rsidRPr="008B60E0">
        <w:rPr>
          <w:rFonts w:ascii="Times New Roman" w:hAnsi="Times New Roman"/>
        </w:rPr>
        <w:fldChar w:fldCharType="end"/>
      </w:r>
      <w:r w:rsidRPr="008B60E0">
        <w:rPr>
          <w:rFonts w:ascii="Times New Roman" w:hAnsi="Times New Roman"/>
        </w:rPr>
        <w:t xml:space="preserve">. </w:t>
      </w:r>
    </w:p>
    <w:p w14:paraId="53535FA7" w14:textId="77777777" w:rsidR="005044EC" w:rsidRPr="008B60E0" w:rsidRDefault="005044EC" w:rsidP="00A32BB7">
      <w:pPr>
        <w:pStyle w:val="SEGBodyText"/>
        <w:keepNext/>
        <w:spacing w:line="240" w:lineRule="auto"/>
        <w:jc w:val="center"/>
        <w:rPr>
          <w:rFonts w:ascii="Times New Roman" w:hAnsi="Times New Roman"/>
        </w:rPr>
      </w:pPr>
      <w:r w:rsidRPr="008B60E0">
        <w:rPr>
          <w:rFonts w:ascii="Times New Roman" w:hAnsi="Times New Roman"/>
          <w:noProof/>
        </w:rPr>
        <w:lastRenderedPageBreak/>
        <w:drawing>
          <wp:inline distT="0" distB="0" distL="0" distR="0" wp14:anchorId="228741E5" wp14:editId="39F7B573">
            <wp:extent cx="2423045" cy="1828800"/>
            <wp:effectExtent l="0" t="0" r="0" b="0"/>
            <wp:docPr id="45" name="Picture 45" descr="C:\Users\pire3708\Desktop\tensorflow_cores\MachineLearningProject\runs\nasn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pire3708\Desktop\tensorflow_cores\MachineLearningProject\runs\nasnet.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423045" cy="1828800"/>
                    </a:xfrm>
                    <a:prstGeom prst="rect">
                      <a:avLst/>
                    </a:prstGeom>
                    <a:noFill/>
                    <a:ln>
                      <a:noFill/>
                    </a:ln>
                  </pic:spPr>
                </pic:pic>
              </a:graphicData>
            </a:graphic>
          </wp:inline>
        </w:drawing>
      </w:r>
    </w:p>
    <w:p w14:paraId="40897604" w14:textId="77777777" w:rsidR="005044EC" w:rsidRPr="008B60E0" w:rsidRDefault="005044EC" w:rsidP="00607DF1">
      <w:pPr>
        <w:pStyle w:val="Caption"/>
        <w:rPr>
          <w:i/>
        </w:rPr>
      </w:pPr>
      <w:bookmarkStart w:id="161" w:name="_Toc531818629"/>
      <w:r w:rsidRPr="008B60E0">
        <w:t xml:space="preserve">Figure B- </w:t>
      </w:r>
      <w:r w:rsidRPr="008B60E0">
        <w:rPr>
          <w:i/>
          <w:noProof/>
        </w:rPr>
        <w:fldChar w:fldCharType="begin"/>
      </w:r>
      <w:r w:rsidRPr="008B60E0">
        <w:rPr>
          <w:noProof/>
        </w:rPr>
        <w:instrText xml:space="preserve"> SEQ Figure_B- \* ARABIC </w:instrText>
      </w:r>
      <w:r w:rsidRPr="008B60E0">
        <w:rPr>
          <w:i/>
          <w:noProof/>
        </w:rPr>
        <w:fldChar w:fldCharType="separate"/>
      </w:r>
      <w:r w:rsidR="001C535D">
        <w:rPr>
          <w:noProof/>
        </w:rPr>
        <w:t>5</w:t>
      </w:r>
      <w:r w:rsidRPr="008B60E0">
        <w:rPr>
          <w:i/>
          <w:noProof/>
        </w:rPr>
        <w:fldChar w:fldCharType="end"/>
      </w:r>
      <w:r w:rsidRPr="008B60E0">
        <w:t>: Validation and train accuracy for the NASNet training. Note that this architecture takes longer to increase its accuracy.</w:t>
      </w:r>
      <w:bookmarkEnd w:id="161"/>
      <w:r w:rsidRPr="008B60E0">
        <w:t xml:space="preserve"> </w:t>
      </w:r>
    </w:p>
    <w:p w14:paraId="748143F4" w14:textId="77777777" w:rsidR="005044EC" w:rsidRPr="008B60E0" w:rsidRDefault="005044EC" w:rsidP="00607DF1">
      <w:pPr>
        <w:pStyle w:val="Caption"/>
      </w:pPr>
    </w:p>
    <w:p w14:paraId="1E18D2F1" w14:textId="77777777" w:rsidR="005044EC" w:rsidRPr="008B60E0" w:rsidRDefault="005044EC" w:rsidP="00A32BB7">
      <w:pPr>
        <w:pStyle w:val="SEGBodyText"/>
        <w:keepNext/>
        <w:spacing w:line="240" w:lineRule="auto"/>
        <w:jc w:val="center"/>
        <w:rPr>
          <w:rFonts w:ascii="Times New Roman" w:hAnsi="Times New Roman"/>
        </w:rPr>
      </w:pPr>
      <w:r w:rsidRPr="008B60E0">
        <w:rPr>
          <w:rFonts w:ascii="Times New Roman" w:hAnsi="Times New Roman"/>
          <w:noProof/>
        </w:rPr>
        <w:drawing>
          <wp:inline distT="0" distB="0" distL="0" distR="0" wp14:anchorId="6EF8CCA6" wp14:editId="59CFEE45">
            <wp:extent cx="3017520" cy="3155059"/>
            <wp:effectExtent l="0" t="0" r="0" b="7620"/>
            <wp:docPr id="40" name="Picture 40" descr="C:\Users\pire3708\Desktop\tensorflow_cores\MachineLearningProject\test_curated\nasnet_confusion_matr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ire3708\Desktop\tensorflow_cores\MachineLearningProject\test_curated\nasnet_confusion_matrix.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017520" cy="3155059"/>
                    </a:xfrm>
                    <a:prstGeom prst="rect">
                      <a:avLst/>
                    </a:prstGeom>
                    <a:noFill/>
                    <a:ln>
                      <a:noFill/>
                    </a:ln>
                  </pic:spPr>
                </pic:pic>
              </a:graphicData>
            </a:graphic>
          </wp:inline>
        </w:drawing>
      </w:r>
    </w:p>
    <w:p w14:paraId="39611F39" w14:textId="77777777" w:rsidR="005044EC" w:rsidRDefault="005044EC" w:rsidP="00607DF1">
      <w:pPr>
        <w:pStyle w:val="Caption"/>
      </w:pPr>
      <w:bookmarkStart w:id="162" w:name="_Ref531022330"/>
      <w:bookmarkStart w:id="163" w:name="_Toc531023211"/>
      <w:bookmarkStart w:id="164" w:name="_Toc531818630"/>
      <w:r w:rsidRPr="008B60E0">
        <w:t xml:space="preserve">Figure B- </w:t>
      </w:r>
      <w:r w:rsidR="00CE1F3C">
        <w:fldChar w:fldCharType="begin"/>
      </w:r>
      <w:r w:rsidR="00CE1F3C">
        <w:instrText xml:space="preserve"> SEQ Figure_B- \* ARABIC </w:instrText>
      </w:r>
      <w:r w:rsidR="00CE1F3C">
        <w:fldChar w:fldCharType="separate"/>
      </w:r>
      <w:r w:rsidR="001C535D">
        <w:rPr>
          <w:noProof/>
        </w:rPr>
        <w:t>6</w:t>
      </w:r>
      <w:r w:rsidR="00CE1F3C">
        <w:rPr>
          <w:noProof/>
        </w:rPr>
        <w:fldChar w:fldCharType="end"/>
      </w:r>
      <w:bookmarkEnd w:id="162"/>
      <w:r w:rsidRPr="008B60E0">
        <w:t xml:space="preserve">: Normalized confusion matrix of the retrained NASNet applied to the test set. Refer to </w:t>
      </w:r>
      <w:r w:rsidRPr="008B60E0">
        <w:rPr>
          <w:i/>
        </w:rPr>
        <w:fldChar w:fldCharType="begin"/>
      </w:r>
      <w:r w:rsidRPr="008B60E0">
        <w:instrText xml:space="preserve"> REF _Ref531958861 \h  \* MERGEFORMAT </w:instrText>
      </w:r>
      <w:r w:rsidRPr="008B60E0">
        <w:rPr>
          <w:i/>
        </w:rPr>
      </w:r>
      <w:r w:rsidRPr="008B60E0">
        <w:rPr>
          <w:i/>
        </w:rPr>
        <w:fldChar w:fldCharType="separate"/>
      </w:r>
      <w:r w:rsidR="001C535D" w:rsidRPr="001C535D">
        <w:t>Table 2</w:t>
      </w:r>
      <w:r w:rsidRPr="008B60E0">
        <w:rPr>
          <w:i/>
        </w:rPr>
        <w:fldChar w:fldCharType="end"/>
      </w:r>
      <w:r w:rsidRPr="008B60E0">
        <w:t xml:space="preserve"> in main text for class lithofacies and number of images for each class.</w:t>
      </w:r>
      <w:bookmarkEnd w:id="163"/>
      <w:bookmarkEnd w:id="164"/>
      <w:r w:rsidRPr="008B60E0">
        <w:t xml:space="preserve"> </w:t>
      </w:r>
    </w:p>
    <w:p w14:paraId="5DF7A5F9" w14:textId="77777777" w:rsidR="005044EC" w:rsidRPr="005044EC" w:rsidRDefault="005044EC" w:rsidP="005044EC"/>
    <w:p w14:paraId="00A71A40" w14:textId="77777777" w:rsidR="0019756A" w:rsidRDefault="0019756A">
      <w:pPr>
        <w:spacing w:line="240" w:lineRule="auto"/>
        <w:rPr>
          <w:rFonts w:ascii="Times New Roman" w:hAnsi="Times New Roman"/>
          <w:bCs/>
          <w:iCs/>
        </w:rPr>
      </w:pPr>
      <w:bookmarkStart w:id="165" w:name="_Ref531022579"/>
      <w:bookmarkStart w:id="166" w:name="_Toc531817019"/>
      <w:r>
        <w:br w:type="page"/>
      </w:r>
    </w:p>
    <w:p w14:paraId="25A6C618" w14:textId="77777777" w:rsidR="005044EC" w:rsidRPr="008B60E0" w:rsidRDefault="005044EC" w:rsidP="00607DF1">
      <w:pPr>
        <w:pStyle w:val="Caption"/>
        <w:rPr>
          <w:i/>
        </w:rPr>
      </w:pPr>
      <w:r w:rsidRPr="008B60E0">
        <w:lastRenderedPageBreak/>
        <w:t xml:space="preserve">Table B- </w:t>
      </w:r>
      <w:r w:rsidR="00CE1F3C">
        <w:fldChar w:fldCharType="begin"/>
      </w:r>
      <w:r w:rsidR="00CE1F3C">
        <w:instrText xml:space="preserve"> SEQ Table_B- \* ARABIC </w:instrText>
      </w:r>
      <w:r w:rsidR="00CE1F3C">
        <w:fldChar w:fldCharType="separate"/>
      </w:r>
      <w:r w:rsidR="001C535D">
        <w:rPr>
          <w:noProof/>
        </w:rPr>
        <w:t>3</w:t>
      </w:r>
      <w:r w:rsidR="00CE1F3C">
        <w:rPr>
          <w:noProof/>
        </w:rPr>
        <w:fldChar w:fldCharType="end"/>
      </w:r>
      <w:bookmarkEnd w:id="165"/>
      <w:r w:rsidRPr="008B60E0">
        <w:t>: Precision, recall, F1 score and support for the classification performed by the retrained NASNet. Last row shows the weighted values for each one of the metrics.</w:t>
      </w:r>
      <w:bookmarkEnd w:id="166"/>
      <w:r w:rsidRPr="008B60E0">
        <w:t xml:space="preserve">  </w:t>
      </w:r>
    </w:p>
    <w:p w14:paraId="0A0A4D15" w14:textId="77777777" w:rsidR="005044EC" w:rsidRPr="008B60E0" w:rsidRDefault="005044EC" w:rsidP="00607DF1">
      <w:pPr>
        <w:pStyle w:val="Caption"/>
      </w:pPr>
    </w:p>
    <w:tbl>
      <w:tblPr>
        <w:tblStyle w:val="PlainTable5"/>
        <w:tblW w:w="5339" w:type="dxa"/>
        <w:jc w:val="center"/>
        <w:tblLook w:val="04A0" w:firstRow="1" w:lastRow="0" w:firstColumn="1" w:lastColumn="0" w:noHBand="0" w:noVBand="1"/>
      </w:tblPr>
      <w:tblGrid>
        <w:gridCol w:w="1083"/>
        <w:gridCol w:w="1136"/>
        <w:gridCol w:w="960"/>
        <w:gridCol w:w="1183"/>
        <w:gridCol w:w="977"/>
      </w:tblGrid>
      <w:tr w:rsidR="005044EC" w:rsidRPr="008B60E0" w14:paraId="5D79C44A" w14:textId="77777777" w:rsidTr="00CA3FDF">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100" w:firstRow="0" w:lastRow="0" w:firstColumn="1" w:lastColumn="0" w:oddVBand="0" w:evenVBand="0" w:oddHBand="0" w:evenHBand="0" w:firstRowFirstColumn="1" w:firstRowLastColumn="0" w:lastRowFirstColumn="0" w:lastRowLastColumn="0"/>
            <w:tcW w:w="1083" w:type="dxa"/>
            <w:noWrap/>
            <w:vAlign w:val="center"/>
            <w:hideMark/>
          </w:tcPr>
          <w:p w14:paraId="483BCCBF"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Class</w:t>
            </w:r>
          </w:p>
        </w:tc>
        <w:tc>
          <w:tcPr>
            <w:tcW w:w="1136" w:type="dxa"/>
            <w:noWrap/>
            <w:vAlign w:val="center"/>
            <w:hideMark/>
          </w:tcPr>
          <w:p w14:paraId="392AA0BA" w14:textId="77777777" w:rsidR="005044EC" w:rsidRPr="008B60E0" w:rsidRDefault="005044EC" w:rsidP="00CA3FD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Precision</w:t>
            </w:r>
          </w:p>
        </w:tc>
        <w:tc>
          <w:tcPr>
            <w:tcW w:w="960" w:type="dxa"/>
            <w:noWrap/>
            <w:vAlign w:val="center"/>
            <w:hideMark/>
          </w:tcPr>
          <w:p w14:paraId="3364DFEE" w14:textId="77777777" w:rsidR="005044EC" w:rsidRPr="008B60E0" w:rsidRDefault="005044EC" w:rsidP="00CA3FD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Recall</w:t>
            </w:r>
          </w:p>
        </w:tc>
        <w:tc>
          <w:tcPr>
            <w:tcW w:w="1183" w:type="dxa"/>
            <w:noWrap/>
            <w:vAlign w:val="center"/>
            <w:hideMark/>
          </w:tcPr>
          <w:p w14:paraId="3FEF7791" w14:textId="77777777" w:rsidR="005044EC" w:rsidRPr="008B60E0" w:rsidRDefault="005044EC" w:rsidP="00CA3FD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F1 score</w:t>
            </w:r>
          </w:p>
        </w:tc>
        <w:tc>
          <w:tcPr>
            <w:tcW w:w="977" w:type="dxa"/>
            <w:noWrap/>
            <w:vAlign w:val="center"/>
            <w:hideMark/>
          </w:tcPr>
          <w:p w14:paraId="60CAC1CD" w14:textId="77777777" w:rsidR="005044EC" w:rsidRPr="008B60E0" w:rsidRDefault="005044EC" w:rsidP="00CA3FD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eastAsia="Times New Roman" w:hAnsi="Times New Roman" w:cs="Times New Roman"/>
              </w:rPr>
              <w:t>Support</w:t>
            </w:r>
          </w:p>
        </w:tc>
      </w:tr>
      <w:tr w:rsidR="005044EC" w:rsidRPr="008B60E0" w14:paraId="1E68524F" w14:textId="77777777" w:rsidTr="00CA3FD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83" w:type="dxa"/>
            <w:noWrap/>
            <w:vAlign w:val="center"/>
            <w:hideMark/>
          </w:tcPr>
          <w:p w14:paraId="236C3D86"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01</w:t>
            </w:r>
          </w:p>
        </w:tc>
        <w:tc>
          <w:tcPr>
            <w:tcW w:w="1136" w:type="dxa"/>
            <w:noWrap/>
            <w:hideMark/>
          </w:tcPr>
          <w:p w14:paraId="0A811413"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0.75</w:t>
            </w:r>
          </w:p>
        </w:tc>
        <w:tc>
          <w:tcPr>
            <w:tcW w:w="960" w:type="dxa"/>
            <w:noWrap/>
            <w:hideMark/>
          </w:tcPr>
          <w:p w14:paraId="14EBE0F1"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1.00</w:t>
            </w:r>
          </w:p>
        </w:tc>
        <w:tc>
          <w:tcPr>
            <w:tcW w:w="1183" w:type="dxa"/>
            <w:noWrap/>
            <w:hideMark/>
          </w:tcPr>
          <w:p w14:paraId="38212E54"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0.86</w:t>
            </w:r>
          </w:p>
        </w:tc>
        <w:tc>
          <w:tcPr>
            <w:tcW w:w="977" w:type="dxa"/>
            <w:noWrap/>
            <w:hideMark/>
          </w:tcPr>
          <w:p w14:paraId="6BFB2FDE"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3</w:t>
            </w:r>
          </w:p>
        </w:tc>
      </w:tr>
      <w:tr w:rsidR="005044EC" w:rsidRPr="008B60E0" w14:paraId="7C0D7402" w14:textId="77777777" w:rsidTr="00CA3FDF">
        <w:trPr>
          <w:trHeight w:val="300"/>
          <w:jc w:val="center"/>
        </w:trPr>
        <w:tc>
          <w:tcPr>
            <w:cnfStyle w:val="001000000000" w:firstRow="0" w:lastRow="0" w:firstColumn="1" w:lastColumn="0" w:oddVBand="0" w:evenVBand="0" w:oddHBand="0" w:evenHBand="0" w:firstRowFirstColumn="0" w:firstRowLastColumn="0" w:lastRowFirstColumn="0" w:lastRowLastColumn="0"/>
            <w:tcW w:w="1083" w:type="dxa"/>
            <w:noWrap/>
            <w:vAlign w:val="center"/>
            <w:hideMark/>
          </w:tcPr>
          <w:p w14:paraId="232A6184"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02</w:t>
            </w:r>
          </w:p>
        </w:tc>
        <w:tc>
          <w:tcPr>
            <w:tcW w:w="1136" w:type="dxa"/>
            <w:noWrap/>
            <w:hideMark/>
          </w:tcPr>
          <w:p w14:paraId="2BEBBD00"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0.67</w:t>
            </w:r>
          </w:p>
        </w:tc>
        <w:tc>
          <w:tcPr>
            <w:tcW w:w="960" w:type="dxa"/>
            <w:noWrap/>
            <w:hideMark/>
          </w:tcPr>
          <w:p w14:paraId="0DBE7DBF"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0.67</w:t>
            </w:r>
          </w:p>
        </w:tc>
        <w:tc>
          <w:tcPr>
            <w:tcW w:w="1183" w:type="dxa"/>
            <w:noWrap/>
            <w:hideMark/>
          </w:tcPr>
          <w:p w14:paraId="5FEACC92"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0.67</w:t>
            </w:r>
          </w:p>
        </w:tc>
        <w:tc>
          <w:tcPr>
            <w:tcW w:w="977" w:type="dxa"/>
            <w:noWrap/>
            <w:hideMark/>
          </w:tcPr>
          <w:p w14:paraId="4DB6E21E"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3</w:t>
            </w:r>
          </w:p>
        </w:tc>
      </w:tr>
      <w:tr w:rsidR="005044EC" w:rsidRPr="008B60E0" w14:paraId="218F66B3" w14:textId="77777777" w:rsidTr="00CA3FD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83" w:type="dxa"/>
            <w:noWrap/>
            <w:vAlign w:val="center"/>
            <w:hideMark/>
          </w:tcPr>
          <w:p w14:paraId="2B286C23"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03</w:t>
            </w:r>
          </w:p>
        </w:tc>
        <w:tc>
          <w:tcPr>
            <w:tcW w:w="1136" w:type="dxa"/>
            <w:noWrap/>
            <w:hideMark/>
          </w:tcPr>
          <w:p w14:paraId="48C9347C"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0.50</w:t>
            </w:r>
          </w:p>
        </w:tc>
        <w:tc>
          <w:tcPr>
            <w:tcW w:w="960" w:type="dxa"/>
            <w:noWrap/>
            <w:hideMark/>
          </w:tcPr>
          <w:p w14:paraId="69EF549B"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0.75</w:t>
            </w:r>
          </w:p>
        </w:tc>
        <w:tc>
          <w:tcPr>
            <w:tcW w:w="1183" w:type="dxa"/>
            <w:noWrap/>
            <w:hideMark/>
          </w:tcPr>
          <w:p w14:paraId="1D8DBD2A"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0.60</w:t>
            </w:r>
          </w:p>
        </w:tc>
        <w:tc>
          <w:tcPr>
            <w:tcW w:w="977" w:type="dxa"/>
            <w:noWrap/>
            <w:hideMark/>
          </w:tcPr>
          <w:p w14:paraId="619EBB96"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4</w:t>
            </w:r>
          </w:p>
        </w:tc>
      </w:tr>
      <w:tr w:rsidR="005044EC" w:rsidRPr="008B60E0" w14:paraId="7EF3D464" w14:textId="77777777" w:rsidTr="00CA3FDF">
        <w:trPr>
          <w:trHeight w:val="300"/>
          <w:jc w:val="center"/>
        </w:trPr>
        <w:tc>
          <w:tcPr>
            <w:cnfStyle w:val="001000000000" w:firstRow="0" w:lastRow="0" w:firstColumn="1" w:lastColumn="0" w:oddVBand="0" w:evenVBand="0" w:oddHBand="0" w:evenHBand="0" w:firstRowFirstColumn="0" w:firstRowLastColumn="0" w:lastRowFirstColumn="0" w:lastRowLastColumn="0"/>
            <w:tcW w:w="1083" w:type="dxa"/>
            <w:noWrap/>
            <w:vAlign w:val="center"/>
            <w:hideMark/>
          </w:tcPr>
          <w:p w14:paraId="1563A883"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04</w:t>
            </w:r>
          </w:p>
        </w:tc>
        <w:tc>
          <w:tcPr>
            <w:tcW w:w="1136" w:type="dxa"/>
            <w:noWrap/>
            <w:hideMark/>
          </w:tcPr>
          <w:p w14:paraId="2B446802"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0.60</w:t>
            </w:r>
          </w:p>
        </w:tc>
        <w:tc>
          <w:tcPr>
            <w:tcW w:w="960" w:type="dxa"/>
            <w:noWrap/>
            <w:hideMark/>
          </w:tcPr>
          <w:p w14:paraId="7A56D3F6"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1.00</w:t>
            </w:r>
          </w:p>
        </w:tc>
        <w:tc>
          <w:tcPr>
            <w:tcW w:w="1183" w:type="dxa"/>
            <w:noWrap/>
            <w:hideMark/>
          </w:tcPr>
          <w:p w14:paraId="700E9041"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0.75</w:t>
            </w:r>
          </w:p>
        </w:tc>
        <w:tc>
          <w:tcPr>
            <w:tcW w:w="977" w:type="dxa"/>
            <w:noWrap/>
            <w:hideMark/>
          </w:tcPr>
          <w:p w14:paraId="79C1129C"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3</w:t>
            </w:r>
          </w:p>
        </w:tc>
      </w:tr>
      <w:tr w:rsidR="005044EC" w:rsidRPr="008B60E0" w14:paraId="4B239E27" w14:textId="77777777" w:rsidTr="00CA3FD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83" w:type="dxa"/>
            <w:noWrap/>
            <w:vAlign w:val="center"/>
            <w:hideMark/>
          </w:tcPr>
          <w:p w14:paraId="6B280BEB"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05</w:t>
            </w:r>
          </w:p>
        </w:tc>
        <w:tc>
          <w:tcPr>
            <w:tcW w:w="1136" w:type="dxa"/>
            <w:noWrap/>
            <w:hideMark/>
          </w:tcPr>
          <w:p w14:paraId="7A5E1F7E"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0.43</w:t>
            </w:r>
          </w:p>
        </w:tc>
        <w:tc>
          <w:tcPr>
            <w:tcW w:w="960" w:type="dxa"/>
            <w:noWrap/>
            <w:hideMark/>
          </w:tcPr>
          <w:p w14:paraId="07EB1EFC"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0.75</w:t>
            </w:r>
          </w:p>
        </w:tc>
        <w:tc>
          <w:tcPr>
            <w:tcW w:w="1183" w:type="dxa"/>
            <w:noWrap/>
            <w:hideMark/>
          </w:tcPr>
          <w:p w14:paraId="621066E9"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0.55</w:t>
            </w:r>
          </w:p>
        </w:tc>
        <w:tc>
          <w:tcPr>
            <w:tcW w:w="977" w:type="dxa"/>
            <w:noWrap/>
            <w:hideMark/>
          </w:tcPr>
          <w:p w14:paraId="2A48EFC8"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4</w:t>
            </w:r>
          </w:p>
        </w:tc>
      </w:tr>
      <w:tr w:rsidR="005044EC" w:rsidRPr="008B60E0" w14:paraId="09CED284" w14:textId="77777777" w:rsidTr="00CA3FDF">
        <w:trPr>
          <w:trHeight w:val="300"/>
          <w:jc w:val="center"/>
        </w:trPr>
        <w:tc>
          <w:tcPr>
            <w:cnfStyle w:val="001000000000" w:firstRow="0" w:lastRow="0" w:firstColumn="1" w:lastColumn="0" w:oddVBand="0" w:evenVBand="0" w:oddHBand="0" w:evenHBand="0" w:firstRowFirstColumn="0" w:firstRowLastColumn="0" w:lastRowFirstColumn="0" w:lastRowLastColumn="0"/>
            <w:tcW w:w="1083" w:type="dxa"/>
            <w:noWrap/>
            <w:vAlign w:val="center"/>
            <w:hideMark/>
          </w:tcPr>
          <w:p w14:paraId="3077177C"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06</w:t>
            </w:r>
          </w:p>
        </w:tc>
        <w:tc>
          <w:tcPr>
            <w:tcW w:w="1136" w:type="dxa"/>
            <w:noWrap/>
            <w:hideMark/>
          </w:tcPr>
          <w:p w14:paraId="63CCB74D"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0.50</w:t>
            </w:r>
          </w:p>
        </w:tc>
        <w:tc>
          <w:tcPr>
            <w:tcW w:w="960" w:type="dxa"/>
            <w:noWrap/>
            <w:hideMark/>
          </w:tcPr>
          <w:p w14:paraId="3FA0FB36"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0.75</w:t>
            </w:r>
          </w:p>
        </w:tc>
        <w:tc>
          <w:tcPr>
            <w:tcW w:w="1183" w:type="dxa"/>
            <w:noWrap/>
            <w:hideMark/>
          </w:tcPr>
          <w:p w14:paraId="1DD21239"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0.60</w:t>
            </w:r>
          </w:p>
        </w:tc>
        <w:tc>
          <w:tcPr>
            <w:tcW w:w="977" w:type="dxa"/>
            <w:noWrap/>
            <w:hideMark/>
          </w:tcPr>
          <w:p w14:paraId="1F11D2C0"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4</w:t>
            </w:r>
          </w:p>
        </w:tc>
      </w:tr>
      <w:tr w:rsidR="005044EC" w:rsidRPr="008B60E0" w14:paraId="594E586B" w14:textId="77777777" w:rsidTr="00CA3FD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83" w:type="dxa"/>
            <w:noWrap/>
            <w:vAlign w:val="center"/>
            <w:hideMark/>
          </w:tcPr>
          <w:p w14:paraId="5E6EBF5C"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07</w:t>
            </w:r>
          </w:p>
        </w:tc>
        <w:tc>
          <w:tcPr>
            <w:tcW w:w="1136" w:type="dxa"/>
            <w:noWrap/>
            <w:hideMark/>
          </w:tcPr>
          <w:p w14:paraId="59B0091B"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0.69</w:t>
            </w:r>
          </w:p>
        </w:tc>
        <w:tc>
          <w:tcPr>
            <w:tcW w:w="960" w:type="dxa"/>
            <w:noWrap/>
            <w:hideMark/>
          </w:tcPr>
          <w:p w14:paraId="515A4519"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0.82</w:t>
            </w:r>
          </w:p>
        </w:tc>
        <w:tc>
          <w:tcPr>
            <w:tcW w:w="1183" w:type="dxa"/>
            <w:noWrap/>
            <w:hideMark/>
          </w:tcPr>
          <w:p w14:paraId="0F19A654"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0.75</w:t>
            </w:r>
          </w:p>
        </w:tc>
        <w:tc>
          <w:tcPr>
            <w:tcW w:w="977" w:type="dxa"/>
            <w:noWrap/>
            <w:hideMark/>
          </w:tcPr>
          <w:p w14:paraId="660E9A9D"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11</w:t>
            </w:r>
          </w:p>
        </w:tc>
      </w:tr>
      <w:tr w:rsidR="005044EC" w:rsidRPr="008B60E0" w14:paraId="2A2EAB8D" w14:textId="77777777" w:rsidTr="00CA3FDF">
        <w:trPr>
          <w:trHeight w:val="300"/>
          <w:jc w:val="center"/>
        </w:trPr>
        <w:tc>
          <w:tcPr>
            <w:cnfStyle w:val="001000000000" w:firstRow="0" w:lastRow="0" w:firstColumn="1" w:lastColumn="0" w:oddVBand="0" w:evenVBand="0" w:oddHBand="0" w:evenHBand="0" w:firstRowFirstColumn="0" w:firstRowLastColumn="0" w:lastRowFirstColumn="0" w:lastRowLastColumn="0"/>
            <w:tcW w:w="1083" w:type="dxa"/>
            <w:noWrap/>
            <w:vAlign w:val="center"/>
            <w:hideMark/>
          </w:tcPr>
          <w:p w14:paraId="2DA2E37A"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09</w:t>
            </w:r>
          </w:p>
        </w:tc>
        <w:tc>
          <w:tcPr>
            <w:tcW w:w="1136" w:type="dxa"/>
            <w:noWrap/>
            <w:hideMark/>
          </w:tcPr>
          <w:p w14:paraId="5CFD9AA8"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0.77</w:t>
            </w:r>
          </w:p>
        </w:tc>
        <w:tc>
          <w:tcPr>
            <w:tcW w:w="960" w:type="dxa"/>
            <w:noWrap/>
            <w:hideMark/>
          </w:tcPr>
          <w:p w14:paraId="082308FC"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0.68</w:t>
            </w:r>
          </w:p>
        </w:tc>
        <w:tc>
          <w:tcPr>
            <w:tcW w:w="1183" w:type="dxa"/>
            <w:noWrap/>
            <w:hideMark/>
          </w:tcPr>
          <w:p w14:paraId="431C58E1"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0.72</w:t>
            </w:r>
          </w:p>
        </w:tc>
        <w:tc>
          <w:tcPr>
            <w:tcW w:w="977" w:type="dxa"/>
            <w:noWrap/>
            <w:hideMark/>
          </w:tcPr>
          <w:p w14:paraId="318A8575"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19</w:t>
            </w:r>
          </w:p>
        </w:tc>
      </w:tr>
      <w:tr w:rsidR="005044EC" w:rsidRPr="008B60E0" w14:paraId="0863FBC8" w14:textId="77777777" w:rsidTr="00CA3FD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83" w:type="dxa"/>
            <w:noWrap/>
            <w:vAlign w:val="center"/>
            <w:hideMark/>
          </w:tcPr>
          <w:p w14:paraId="5B781617"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10</w:t>
            </w:r>
          </w:p>
        </w:tc>
        <w:tc>
          <w:tcPr>
            <w:tcW w:w="1136" w:type="dxa"/>
            <w:noWrap/>
            <w:hideMark/>
          </w:tcPr>
          <w:p w14:paraId="28F45057"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0.80</w:t>
            </w:r>
          </w:p>
        </w:tc>
        <w:tc>
          <w:tcPr>
            <w:tcW w:w="960" w:type="dxa"/>
            <w:noWrap/>
            <w:hideMark/>
          </w:tcPr>
          <w:p w14:paraId="3FBAE73B"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1.00</w:t>
            </w:r>
          </w:p>
        </w:tc>
        <w:tc>
          <w:tcPr>
            <w:tcW w:w="1183" w:type="dxa"/>
            <w:noWrap/>
            <w:hideMark/>
          </w:tcPr>
          <w:p w14:paraId="0045A32C"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0.89</w:t>
            </w:r>
          </w:p>
        </w:tc>
        <w:tc>
          <w:tcPr>
            <w:tcW w:w="977" w:type="dxa"/>
            <w:noWrap/>
            <w:hideMark/>
          </w:tcPr>
          <w:p w14:paraId="0A916F35"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4</w:t>
            </w:r>
          </w:p>
        </w:tc>
      </w:tr>
      <w:tr w:rsidR="005044EC" w:rsidRPr="008B60E0" w14:paraId="47BB0B70" w14:textId="77777777" w:rsidTr="00CA3FDF">
        <w:trPr>
          <w:trHeight w:val="300"/>
          <w:jc w:val="center"/>
        </w:trPr>
        <w:tc>
          <w:tcPr>
            <w:cnfStyle w:val="001000000000" w:firstRow="0" w:lastRow="0" w:firstColumn="1" w:lastColumn="0" w:oddVBand="0" w:evenVBand="0" w:oddHBand="0" w:evenHBand="0" w:firstRowFirstColumn="0" w:firstRowLastColumn="0" w:lastRowFirstColumn="0" w:lastRowLastColumn="0"/>
            <w:tcW w:w="1083" w:type="dxa"/>
            <w:noWrap/>
            <w:vAlign w:val="center"/>
            <w:hideMark/>
          </w:tcPr>
          <w:p w14:paraId="7EBED9FF"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13-14</w:t>
            </w:r>
          </w:p>
        </w:tc>
        <w:tc>
          <w:tcPr>
            <w:tcW w:w="1136" w:type="dxa"/>
            <w:noWrap/>
            <w:hideMark/>
          </w:tcPr>
          <w:p w14:paraId="7ABDFEFA"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0.93</w:t>
            </w:r>
          </w:p>
        </w:tc>
        <w:tc>
          <w:tcPr>
            <w:tcW w:w="960" w:type="dxa"/>
            <w:noWrap/>
            <w:hideMark/>
          </w:tcPr>
          <w:p w14:paraId="65EBB2FB"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0.81</w:t>
            </w:r>
          </w:p>
        </w:tc>
        <w:tc>
          <w:tcPr>
            <w:tcW w:w="1183" w:type="dxa"/>
            <w:noWrap/>
            <w:hideMark/>
          </w:tcPr>
          <w:p w14:paraId="1E3E3242"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0.87</w:t>
            </w:r>
          </w:p>
        </w:tc>
        <w:tc>
          <w:tcPr>
            <w:tcW w:w="977" w:type="dxa"/>
            <w:noWrap/>
            <w:hideMark/>
          </w:tcPr>
          <w:p w14:paraId="531AD71B"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79</w:t>
            </w:r>
          </w:p>
        </w:tc>
      </w:tr>
      <w:tr w:rsidR="005044EC" w:rsidRPr="008B60E0" w14:paraId="6919D44B" w14:textId="77777777" w:rsidTr="00CA3FD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83" w:type="dxa"/>
            <w:tcBorders>
              <w:bottom w:val="single" w:sz="4" w:space="0" w:color="auto"/>
            </w:tcBorders>
            <w:noWrap/>
            <w:vAlign w:val="center"/>
            <w:hideMark/>
          </w:tcPr>
          <w:p w14:paraId="6DB29F5A"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16-17</w:t>
            </w:r>
          </w:p>
        </w:tc>
        <w:tc>
          <w:tcPr>
            <w:tcW w:w="1136" w:type="dxa"/>
            <w:tcBorders>
              <w:bottom w:val="single" w:sz="4" w:space="0" w:color="auto"/>
            </w:tcBorders>
            <w:noWrap/>
            <w:hideMark/>
          </w:tcPr>
          <w:p w14:paraId="78982D76"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0.81</w:t>
            </w:r>
          </w:p>
        </w:tc>
        <w:tc>
          <w:tcPr>
            <w:tcW w:w="960" w:type="dxa"/>
            <w:tcBorders>
              <w:bottom w:val="single" w:sz="4" w:space="0" w:color="auto"/>
            </w:tcBorders>
            <w:noWrap/>
            <w:hideMark/>
          </w:tcPr>
          <w:p w14:paraId="01150C1F"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0.77</w:t>
            </w:r>
          </w:p>
        </w:tc>
        <w:tc>
          <w:tcPr>
            <w:tcW w:w="1183" w:type="dxa"/>
            <w:tcBorders>
              <w:bottom w:val="single" w:sz="4" w:space="0" w:color="auto"/>
            </w:tcBorders>
            <w:noWrap/>
            <w:hideMark/>
          </w:tcPr>
          <w:p w14:paraId="1F7EA54E"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0.79</w:t>
            </w:r>
          </w:p>
        </w:tc>
        <w:tc>
          <w:tcPr>
            <w:tcW w:w="977" w:type="dxa"/>
            <w:tcBorders>
              <w:bottom w:val="single" w:sz="4" w:space="0" w:color="auto"/>
            </w:tcBorders>
            <w:noWrap/>
            <w:hideMark/>
          </w:tcPr>
          <w:p w14:paraId="589862F9" w14:textId="77777777" w:rsidR="005044EC" w:rsidRPr="008B60E0" w:rsidRDefault="005044EC" w:rsidP="00CA3FD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17</w:t>
            </w:r>
          </w:p>
        </w:tc>
      </w:tr>
      <w:tr w:rsidR="005044EC" w:rsidRPr="008B60E0" w14:paraId="34525619" w14:textId="77777777" w:rsidTr="00CA3FDF">
        <w:trPr>
          <w:trHeight w:val="300"/>
          <w:jc w:val="center"/>
        </w:trPr>
        <w:tc>
          <w:tcPr>
            <w:cnfStyle w:val="001000000000" w:firstRow="0" w:lastRow="0" w:firstColumn="1" w:lastColumn="0" w:oddVBand="0" w:evenVBand="0" w:oddHBand="0" w:evenHBand="0" w:firstRowFirstColumn="0" w:firstRowLastColumn="0" w:lastRowFirstColumn="0" w:lastRowLastColumn="0"/>
            <w:tcW w:w="1083" w:type="dxa"/>
            <w:tcBorders>
              <w:top w:val="single" w:sz="4" w:space="0" w:color="auto"/>
            </w:tcBorders>
            <w:noWrap/>
            <w:vAlign w:val="center"/>
            <w:hideMark/>
          </w:tcPr>
          <w:p w14:paraId="1EF21DB6" w14:textId="77777777" w:rsidR="005044EC" w:rsidRPr="008B60E0" w:rsidRDefault="005044EC" w:rsidP="00CA3FDF">
            <w:pPr>
              <w:jc w:val="center"/>
              <w:rPr>
                <w:rFonts w:ascii="Times New Roman" w:eastAsia="Times New Roman" w:hAnsi="Times New Roman" w:cs="Times New Roman"/>
              </w:rPr>
            </w:pPr>
            <w:r w:rsidRPr="008B60E0">
              <w:rPr>
                <w:rFonts w:ascii="Times New Roman" w:eastAsia="Times New Roman" w:hAnsi="Times New Roman" w:cs="Times New Roman"/>
              </w:rPr>
              <w:t>weighted</w:t>
            </w:r>
          </w:p>
        </w:tc>
        <w:tc>
          <w:tcPr>
            <w:tcW w:w="1136" w:type="dxa"/>
            <w:tcBorders>
              <w:top w:val="single" w:sz="4" w:space="0" w:color="auto"/>
            </w:tcBorders>
            <w:noWrap/>
            <w:hideMark/>
          </w:tcPr>
          <w:p w14:paraId="496A8823"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0.82</w:t>
            </w:r>
          </w:p>
        </w:tc>
        <w:tc>
          <w:tcPr>
            <w:tcW w:w="960" w:type="dxa"/>
            <w:tcBorders>
              <w:top w:val="single" w:sz="4" w:space="0" w:color="auto"/>
            </w:tcBorders>
            <w:noWrap/>
            <w:hideMark/>
          </w:tcPr>
          <w:p w14:paraId="16F58953"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0.80</w:t>
            </w:r>
          </w:p>
        </w:tc>
        <w:tc>
          <w:tcPr>
            <w:tcW w:w="1183" w:type="dxa"/>
            <w:tcBorders>
              <w:top w:val="single" w:sz="4" w:space="0" w:color="auto"/>
            </w:tcBorders>
            <w:noWrap/>
            <w:hideMark/>
          </w:tcPr>
          <w:p w14:paraId="64A1EA20"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B60E0">
              <w:rPr>
                <w:rFonts w:ascii="Times New Roman" w:hAnsi="Times New Roman" w:cs="Times New Roman"/>
              </w:rPr>
              <w:t>0.80</w:t>
            </w:r>
          </w:p>
        </w:tc>
        <w:tc>
          <w:tcPr>
            <w:tcW w:w="977" w:type="dxa"/>
            <w:tcBorders>
              <w:top w:val="single" w:sz="4" w:space="0" w:color="auto"/>
            </w:tcBorders>
            <w:noWrap/>
            <w:hideMark/>
          </w:tcPr>
          <w:p w14:paraId="329FB793" w14:textId="77777777" w:rsidR="005044EC" w:rsidRPr="008B60E0" w:rsidRDefault="005044EC" w:rsidP="00CA3FD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bl>
    <w:p w14:paraId="55BDD2CD" w14:textId="77777777" w:rsidR="005044EC" w:rsidRPr="008B60E0" w:rsidRDefault="005044EC" w:rsidP="005044EC">
      <w:pPr>
        <w:rPr>
          <w:rFonts w:ascii="Times New Roman" w:hAnsi="Times New Roman"/>
        </w:rPr>
      </w:pPr>
    </w:p>
    <w:p w14:paraId="6E4CD484" w14:textId="77777777" w:rsidR="005044EC" w:rsidRPr="008B60E0" w:rsidRDefault="005044EC" w:rsidP="005044EC">
      <w:pPr>
        <w:jc w:val="center"/>
        <w:rPr>
          <w:rFonts w:ascii="Times New Roman" w:hAnsi="Times New Roman"/>
          <w:caps/>
        </w:rPr>
      </w:pPr>
    </w:p>
    <w:p w14:paraId="1481C830" w14:textId="77777777" w:rsidR="005044EC" w:rsidRDefault="005044EC">
      <w:pPr>
        <w:spacing w:line="240" w:lineRule="auto"/>
        <w:rPr>
          <w:rFonts w:ascii="Times New Roman" w:hAnsi="Times New Roman"/>
          <w:b/>
          <w:caps/>
        </w:rPr>
      </w:pPr>
      <w:r>
        <w:rPr>
          <w:rFonts w:ascii="Times New Roman" w:hAnsi="Times New Roman"/>
          <w:b/>
          <w:caps/>
        </w:rPr>
        <w:br w:type="page"/>
      </w:r>
    </w:p>
    <w:p w14:paraId="51E99335" w14:textId="77777777" w:rsidR="005044EC" w:rsidRPr="006D5FAE" w:rsidRDefault="005044EC" w:rsidP="004F4884">
      <w:pPr>
        <w:pStyle w:val="Heading2"/>
      </w:pPr>
      <w:bookmarkStart w:id="167" w:name="_Toc26534606"/>
      <w:r w:rsidRPr="006D5FAE">
        <w:lastRenderedPageBreak/>
        <w:t>References</w:t>
      </w:r>
      <w:bookmarkEnd w:id="167"/>
    </w:p>
    <w:p w14:paraId="08C133D2" w14:textId="77777777" w:rsidR="005044EC" w:rsidRPr="005044EC" w:rsidRDefault="005044EC" w:rsidP="005044EC">
      <w:pPr>
        <w:pStyle w:val="SEGBodyText"/>
        <w:spacing w:before="0" w:beforeAutospacing="0" w:after="0" w:afterAutospacing="0" w:line="240" w:lineRule="auto"/>
        <w:ind w:left="720" w:hanging="720"/>
        <w:rPr>
          <w:rFonts w:asciiTheme="majorHAnsi" w:eastAsia="Times New Roman" w:hAnsiTheme="majorHAnsi" w:cstheme="majorHAnsi"/>
          <w:lang w:bidi="en-US"/>
        </w:rPr>
      </w:pPr>
      <w:r w:rsidRPr="005044EC">
        <w:rPr>
          <w:rFonts w:asciiTheme="majorHAnsi" w:eastAsia="Times New Roman" w:hAnsiTheme="majorHAnsi" w:cstheme="majorHAnsi"/>
          <w:lang w:bidi="en-US"/>
        </w:rPr>
        <w:t>Abadi, M., Barham, P., Chen, J., Chen, Z., Davis, A., Dean, J., Devin, M., Ghemawat, S., Irving, G., Isard, M., Kudlur, M., Levenberg, J., Monga, R., Moore, S., Murray, D.G., Steiner, B., Tucker, P., Vasudevan, V., Warden, P., Wicke, M., Yu, Y., Zheng, X., 2016. TensorFlow: A system for large-scale machine learning, in: 12th USENIX Symposium on Operating Systems Design and Implementation (OSDI 16). pp. 265–283.</w:t>
      </w:r>
    </w:p>
    <w:p w14:paraId="76EDB16A" w14:textId="77777777" w:rsidR="005044EC" w:rsidRPr="005044EC" w:rsidRDefault="005044EC" w:rsidP="005044EC">
      <w:pPr>
        <w:pStyle w:val="SEGBodyText"/>
        <w:spacing w:before="0" w:beforeAutospacing="0" w:after="0" w:afterAutospacing="0" w:line="240" w:lineRule="auto"/>
        <w:ind w:left="720" w:hanging="720"/>
        <w:rPr>
          <w:rFonts w:asciiTheme="majorHAnsi" w:eastAsia="Times New Roman" w:hAnsiTheme="majorHAnsi" w:cstheme="majorHAnsi"/>
          <w:lang w:bidi="en-US"/>
        </w:rPr>
      </w:pPr>
      <w:r w:rsidRPr="00691AC3">
        <w:rPr>
          <w:rFonts w:asciiTheme="majorHAnsi" w:eastAsia="Times New Roman" w:hAnsiTheme="majorHAnsi" w:cstheme="majorHAnsi"/>
          <w:lang w:val="de-DE" w:bidi="en-US"/>
        </w:rPr>
        <w:t xml:space="preserve">Allen, D.B., Pranter, M.J., 2016. </w:t>
      </w:r>
      <w:r w:rsidRPr="005044EC">
        <w:rPr>
          <w:rFonts w:asciiTheme="majorHAnsi" w:eastAsia="Times New Roman" w:hAnsiTheme="majorHAnsi" w:cstheme="majorHAnsi"/>
          <w:lang w:bidi="en-US"/>
        </w:rPr>
        <w:t>Geologically constrained electrofacies classification of fluvial deposits: An example from the Cretaceous Mesaverde Group, Uinta and Piceance Basins. Am. Assoc. Pet. Geol. Bull. 100, 1775–1801. https://doi.org/10.1306/05131614229</w:t>
      </w:r>
    </w:p>
    <w:p w14:paraId="17BC1D35" w14:textId="77777777" w:rsidR="005044EC" w:rsidRPr="005044EC" w:rsidRDefault="005044EC" w:rsidP="005044EC">
      <w:pPr>
        <w:pStyle w:val="SEGBodyText"/>
        <w:spacing w:before="0" w:beforeAutospacing="0" w:after="0" w:afterAutospacing="0" w:line="240" w:lineRule="auto"/>
        <w:ind w:left="720" w:hanging="720"/>
        <w:rPr>
          <w:rFonts w:asciiTheme="majorHAnsi" w:eastAsia="Times New Roman" w:hAnsiTheme="majorHAnsi" w:cstheme="majorHAnsi"/>
          <w:lang w:bidi="en-US"/>
        </w:rPr>
      </w:pPr>
      <w:r w:rsidRPr="005044EC">
        <w:rPr>
          <w:rFonts w:asciiTheme="majorHAnsi" w:eastAsia="Times New Roman" w:hAnsiTheme="majorHAnsi" w:cstheme="majorHAnsi"/>
          <w:lang w:bidi="en-US"/>
        </w:rPr>
        <w:t>Baldwin, J.L., Bateman, R.M., Wheatley, C.L., 1990. Application of a neural network to the problem of mineral identification from well logs, The Log Analyst. Society of Professional Well Log Analysts.</w:t>
      </w:r>
    </w:p>
    <w:p w14:paraId="26B92ABC" w14:textId="77777777" w:rsidR="005044EC" w:rsidRPr="005044EC" w:rsidRDefault="005044EC" w:rsidP="005044EC">
      <w:pPr>
        <w:pStyle w:val="SEGBodyText"/>
        <w:spacing w:before="0" w:beforeAutospacing="0" w:after="0" w:afterAutospacing="0" w:line="240" w:lineRule="auto"/>
        <w:ind w:left="720" w:hanging="720"/>
        <w:rPr>
          <w:rFonts w:asciiTheme="majorHAnsi" w:eastAsia="Times New Roman" w:hAnsiTheme="majorHAnsi" w:cstheme="majorHAnsi"/>
          <w:lang w:bidi="en-US"/>
        </w:rPr>
      </w:pPr>
      <w:r w:rsidRPr="005044EC">
        <w:rPr>
          <w:rFonts w:asciiTheme="majorHAnsi" w:eastAsia="Times New Roman" w:hAnsiTheme="majorHAnsi" w:cstheme="majorHAnsi"/>
          <w:lang w:bidi="en-US"/>
        </w:rPr>
        <w:t>Bestagini, P., Lipari, V., Tubaro, S., 2017. A machine learning approach to facies classification using well logs, in: SEG Technical Program Expanded Abstracts 2017. Society of Exploration Geophysicists, pp. 2137–2142. https://doi.org/10.1190/segam2017-17729805.1</w:t>
      </w:r>
    </w:p>
    <w:p w14:paraId="28A935C8" w14:textId="77777777" w:rsidR="005044EC" w:rsidRPr="005044EC" w:rsidRDefault="005044EC" w:rsidP="005044EC">
      <w:pPr>
        <w:pStyle w:val="SEGBodyText"/>
        <w:spacing w:before="0" w:beforeAutospacing="0" w:after="0" w:afterAutospacing="0" w:line="240" w:lineRule="auto"/>
        <w:ind w:left="720" w:hanging="720"/>
        <w:rPr>
          <w:rFonts w:asciiTheme="majorHAnsi" w:eastAsia="Times New Roman" w:hAnsiTheme="majorHAnsi" w:cstheme="majorHAnsi"/>
          <w:lang w:bidi="en-US"/>
        </w:rPr>
      </w:pPr>
      <w:r w:rsidRPr="005044EC">
        <w:rPr>
          <w:rFonts w:asciiTheme="majorHAnsi" w:eastAsia="Times New Roman" w:hAnsiTheme="majorHAnsi" w:cstheme="majorHAnsi"/>
          <w:lang w:bidi="en-US"/>
        </w:rPr>
        <w:t>Blagoderov, V., Kitching, I.J., Livermore, L., Simonsen, T.J., Smith, V.S., 2012. No specimen left behind: industrial scale digitization of natural history collections. Zookeys 133–46. https://doi.org/10.3897/zookeys.209.3178</w:t>
      </w:r>
    </w:p>
    <w:p w14:paraId="7E80F811" w14:textId="77777777" w:rsidR="005044EC" w:rsidRPr="005044EC" w:rsidRDefault="005044EC" w:rsidP="005044EC">
      <w:pPr>
        <w:pStyle w:val="SEGBodyText"/>
        <w:spacing w:before="0" w:beforeAutospacing="0" w:after="0" w:afterAutospacing="0" w:line="240" w:lineRule="auto"/>
        <w:ind w:left="720" w:hanging="720"/>
        <w:rPr>
          <w:rFonts w:asciiTheme="majorHAnsi" w:eastAsia="Times New Roman" w:hAnsiTheme="majorHAnsi" w:cstheme="majorHAnsi"/>
          <w:lang w:bidi="en-US"/>
        </w:rPr>
      </w:pPr>
      <w:r w:rsidRPr="005044EC">
        <w:rPr>
          <w:rFonts w:asciiTheme="majorHAnsi" w:eastAsia="Times New Roman" w:hAnsiTheme="majorHAnsi" w:cstheme="majorHAnsi"/>
          <w:lang w:bidi="en-US"/>
        </w:rPr>
        <w:t>Buda, M., Maki, A., Mazurowski, M.A., 2018. A systematic study of the class imbalance problem in convolutional neural networks. Neural Networks 106, 249–259. https://doi.org/10.1016/J.NEUNET.2018.07.011</w:t>
      </w:r>
    </w:p>
    <w:p w14:paraId="34B9B025" w14:textId="77777777" w:rsidR="005044EC" w:rsidRPr="005044EC" w:rsidRDefault="005044EC" w:rsidP="005044EC">
      <w:pPr>
        <w:pStyle w:val="SEGBodyText"/>
        <w:spacing w:before="0" w:beforeAutospacing="0" w:after="0" w:afterAutospacing="0" w:line="240" w:lineRule="auto"/>
        <w:ind w:left="720" w:hanging="720"/>
        <w:rPr>
          <w:rFonts w:asciiTheme="majorHAnsi" w:eastAsia="Times New Roman" w:hAnsiTheme="majorHAnsi" w:cstheme="majorHAnsi"/>
          <w:lang w:bidi="en-US"/>
        </w:rPr>
      </w:pPr>
      <w:r w:rsidRPr="005044EC">
        <w:rPr>
          <w:rFonts w:asciiTheme="majorHAnsi" w:eastAsia="Times New Roman" w:hAnsiTheme="majorHAnsi" w:cstheme="majorHAnsi"/>
          <w:lang w:bidi="en-US"/>
        </w:rPr>
        <w:t>Carranza-Rojas, J., Goeau, H., Bonnet, P., Mata-Montero, E., Joly, A., 2017. Going deeper in the automated identification of Herbarium specimens. BMC Evol. Biol. 17, 181. https://doi.org/10.1186/s12862-017-1014-z</w:t>
      </w:r>
    </w:p>
    <w:p w14:paraId="52A73A9B" w14:textId="77777777" w:rsidR="005044EC" w:rsidRPr="005044EC" w:rsidRDefault="005044EC" w:rsidP="005044EC">
      <w:pPr>
        <w:pStyle w:val="SEGBodyText"/>
        <w:spacing w:before="0" w:beforeAutospacing="0" w:after="0" w:afterAutospacing="0" w:line="240" w:lineRule="auto"/>
        <w:ind w:left="720" w:hanging="720"/>
        <w:rPr>
          <w:rFonts w:asciiTheme="majorHAnsi" w:eastAsia="Times New Roman" w:hAnsiTheme="majorHAnsi" w:cstheme="majorHAnsi"/>
          <w:lang w:bidi="en-US"/>
        </w:rPr>
      </w:pPr>
      <w:r w:rsidRPr="005044EC">
        <w:rPr>
          <w:rFonts w:asciiTheme="majorHAnsi" w:eastAsia="Times New Roman" w:hAnsiTheme="majorHAnsi" w:cstheme="majorHAnsi"/>
          <w:lang w:bidi="en-US"/>
        </w:rPr>
        <w:t>Chollet, F., others, 2015. Keras.</w:t>
      </w:r>
    </w:p>
    <w:p w14:paraId="74802ADD" w14:textId="77777777" w:rsidR="005044EC" w:rsidRPr="005044EC" w:rsidRDefault="005044EC" w:rsidP="005044EC">
      <w:pPr>
        <w:pStyle w:val="SEGBodyText"/>
        <w:spacing w:before="0" w:beforeAutospacing="0" w:after="0" w:afterAutospacing="0" w:line="240" w:lineRule="auto"/>
        <w:ind w:left="720" w:hanging="720"/>
        <w:rPr>
          <w:rFonts w:asciiTheme="majorHAnsi" w:eastAsia="Times New Roman" w:hAnsiTheme="majorHAnsi" w:cstheme="majorHAnsi"/>
          <w:lang w:bidi="en-US"/>
        </w:rPr>
      </w:pPr>
      <w:r w:rsidRPr="005044EC">
        <w:rPr>
          <w:rFonts w:asciiTheme="majorHAnsi" w:eastAsia="Times New Roman" w:hAnsiTheme="majorHAnsi" w:cstheme="majorHAnsi"/>
          <w:lang w:bidi="en-US"/>
        </w:rPr>
        <w:t>Daily, M., Medasani, S., Behringer, R., Trivedi, M., 2017. Self-Driving Cars. Computer (Long. Beach. Calif). 50, 18–23. https://doi.org/10.1109/MC.2017.4451204</w:t>
      </w:r>
    </w:p>
    <w:p w14:paraId="73F96953" w14:textId="77777777" w:rsidR="005044EC" w:rsidRPr="005044EC" w:rsidRDefault="005044EC" w:rsidP="005044EC">
      <w:pPr>
        <w:pStyle w:val="SEGBodyText"/>
        <w:spacing w:before="0" w:beforeAutospacing="0" w:after="0" w:afterAutospacing="0" w:line="240" w:lineRule="auto"/>
        <w:ind w:left="720" w:hanging="720"/>
        <w:rPr>
          <w:rFonts w:asciiTheme="majorHAnsi" w:eastAsia="Times New Roman" w:hAnsiTheme="majorHAnsi" w:cstheme="majorHAnsi"/>
          <w:lang w:bidi="en-US"/>
        </w:rPr>
      </w:pPr>
      <w:r w:rsidRPr="005044EC">
        <w:rPr>
          <w:rFonts w:asciiTheme="majorHAnsi" w:eastAsia="Times New Roman" w:hAnsiTheme="majorHAnsi" w:cstheme="majorHAnsi"/>
          <w:lang w:bidi="en-US"/>
        </w:rPr>
        <w:t>de Matos, M.C., Osorio, P.L., Johann, P.R., 2007. Unsupervised seismic facies analysis using wavelet transform and self-organizing maps. Geophysics 72, P9–P21. https://doi.org/10.1190/1.2392789</w:t>
      </w:r>
    </w:p>
    <w:p w14:paraId="424A9DE6" w14:textId="77777777" w:rsidR="005044EC" w:rsidRPr="00691AC3" w:rsidRDefault="005044EC" w:rsidP="005044EC">
      <w:pPr>
        <w:pStyle w:val="SEGBodyText"/>
        <w:spacing w:before="0" w:beforeAutospacing="0" w:after="0" w:afterAutospacing="0" w:line="240" w:lineRule="auto"/>
        <w:ind w:left="720" w:hanging="720"/>
        <w:rPr>
          <w:rFonts w:asciiTheme="majorHAnsi" w:eastAsia="Times New Roman" w:hAnsiTheme="majorHAnsi" w:cstheme="majorHAnsi"/>
          <w:lang w:val="de-DE" w:bidi="en-US"/>
        </w:rPr>
      </w:pPr>
      <w:r w:rsidRPr="005044EC">
        <w:rPr>
          <w:rFonts w:asciiTheme="majorHAnsi" w:eastAsia="Times New Roman" w:hAnsiTheme="majorHAnsi" w:cstheme="majorHAnsi"/>
          <w:lang w:bidi="en-US"/>
        </w:rPr>
        <w:t xml:space="preserve">de Matos, M.C., Yenugu, M. (Moe), Angelo, S.M., Marfurt, K.J., 2011. Integrated seismic texture segmentation and cluster analysis applied to channel delineation and chert reservoir characterization. </w:t>
      </w:r>
      <w:r w:rsidRPr="00691AC3">
        <w:rPr>
          <w:rFonts w:asciiTheme="majorHAnsi" w:eastAsia="Times New Roman" w:hAnsiTheme="majorHAnsi" w:cstheme="majorHAnsi"/>
          <w:lang w:val="de-DE" w:bidi="en-US"/>
        </w:rPr>
        <w:t>Geophysics 76, P11–P21. https://doi.org/10.1190/geo2010-0150.1</w:t>
      </w:r>
    </w:p>
    <w:p w14:paraId="43984710" w14:textId="77777777" w:rsidR="005044EC" w:rsidRPr="005044EC" w:rsidRDefault="005044EC" w:rsidP="005044EC">
      <w:pPr>
        <w:pStyle w:val="SEGBodyText"/>
        <w:spacing w:before="0" w:beforeAutospacing="0" w:after="0" w:afterAutospacing="0" w:line="240" w:lineRule="auto"/>
        <w:ind w:left="720" w:hanging="720"/>
        <w:rPr>
          <w:rFonts w:asciiTheme="majorHAnsi" w:eastAsia="Times New Roman" w:hAnsiTheme="majorHAnsi" w:cstheme="majorHAnsi"/>
          <w:lang w:bidi="en-US"/>
        </w:rPr>
      </w:pPr>
      <w:r w:rsidRPr="00691AC3">
        <w:rPr>
          <w:rFonts w:asciiTheme="majorHAnsi" w:eastAsia="Times New Roman" w:hAnsiTheme="majorHAnsi" w:cstheme="majorHAnsi"/>
          <w:lang w:val="de-DE" w:bidi="en-US"/>
        </w:rPr>
        <w:t xml:space="preserve">Deng, J., Dong, W., Socher, R., Li, L., Li, K., Fei-Fei, L., 2009. </w:t>
      </w:r>
      <w:r w:rsidRPr="005044EC">
        <w:rPr>
          <w:rFonts w:asciiTheme="majorHAnsi" w:eastAsia="Times New Roman" w:hAnsiTheme="majorHAnsi" w:cstheme="majorHAnsi"/>
          <w:lang w:bidi="en-US"/>
        </w:rPr>
        <w:t>ImageNet: A large-scale hierarchical image database, in: 2009 IEEE Conference on Computer Vision and Pattern Recognition. pp. 248–255. https://doi.org/10.1109/CVPR.2009.5206848</w:t>
      </w:r>
    </w:p>
    <w:p w14:paraId="43EB07BB" w14:textId="77777777" w:rsidR="005044EC" w:rsidRPr="005044EC" w:rsidRDefault="005044EC" w:rsidP="005044EC">
      <w:pPr>
        <w:pStyle w:val="SEGBodyText"/>
        <w:spacing w:before="0" w:beforeAutospacing="0" w:after="0" w:afterAutospacing="0" w:line="240" w:lineRule="auto"/>
        <w:ind w:left="720" w:hanging="720"/>
        <w:rPr>
          <w:rFonts w:asciiTheme="majorHAnsi" w:eastAsia="Times New Roman" w:hAnsiTheme="majorHAnsi" w:cstheme="majorHAnsi"/>
          <w:lang w:bidi="en-US"/>
        </w:rPr>
      </w:pPr>
      <w:r w:rsidRPr="005044EC">
        <w:rPr>
          <w:rFonts w:asciiTheme="majorHAnsi" w:eastAsia="Times New Roman" w:hAnsiTheme="majorHAnsi" w:cstheme="majorHAnsi"/>
          <w:lang w:bidi="en-US"/>
        </w:rPr>
        <w:t>Dumoulin, V., Visin, F., 2016. A guide to convolution arithmetic for deep learning. ArXiv e-prints.</w:t>
      </w:r>
    </w:p>
    <w:p w14:paraId="2A945F63" w14:textId="77777777" w:rsidR="005044EC" w:rsidRPr="005044EC" w:rsidRDefault="005044EC" w:rsidP="005044EC">
      <w:pPr>
        <w:pStyle w:val="SEGBodyText"/>
        <w:spacing w:before="0" w:beforeAutospacing="0" w:after="0" w:afterAutospacing="0" w:line="240" w:lineRule="auto"/>
        <w:ind w:left="720" w:hanging="720"/>
        <w:rPr>
          <w:rFonts w:asciiTheme="majorHAnsi" w:eastAsia="Times New Roman" w:hAnsiTheme="majorHAnsi" w:cstheme="majorHAnsi"/>
          <w:lang w:bidi="en-US"/>
        </w:rPr>
      </w:pPr>
      <w:r w:rsidRPr="005044EC">
        <w:rPr>
          <w:rFonts w:asciiTheme="majorHAnsi" w:eastAsia="Times New Roman" w:hAnsiTheme="majorHAnsi" w:cstheme="majorHAnsi"/>
          <w:lang w:bidi="en-US"/>
        </w:rPr>
        <w:t>Ellwood, E.R., Dunckel, B.A., Flemons, P., Guralnick, R., Nelson, G., Newman, G., Newman, S., Paul, D., Riccardi, G., Rios, N., Seltmann, K.C., Mast, A.R., 2015. Accelerating the Digitization of Biodiversity Research Specimens through Online Public Participation. Bioscience 65, 383–396. https://doi.org/10.1093/biosci/biv005</w:t>
      </w:r>
    </w:p>
    <w:p w14:paraId="191C1343" w14:textId="77777777" w:rsidR="005044EC" w:rsidRPr="005044EC" w:rsidRDefault="005044EC" w:rsidP="005044EC">
      <w:pPr>
        <w:pStyle w:val="SEGBodyText"/>
        <w:spacing w:before="0" w:beforeAutospacing="0" w:after="0" w:afterAutospacing="0" w:line="240" w:lineRule="auto"/>
        <w:ind w:left="720" w:hanging="720"/>
        <w:rPr>
          <w:rFonts w:asciiTheme="majorHAnsi" w:eastAsia="Times New Roman" w:hAnsiTheme="majorHAnsi" w:cstheme="majorHAnsi"/>
          <w:lang w:bidi="en-US"/>
        </w:rPr>
      </w:pPr>
      <w:r w:rsidRPr="005044EC">
        <w:rPr>
          <w:rFonts w:asciiTheme="majorHAnsi" w:eastAsia="Times New Roman" w:hAnsiTheme="majorHAnsi" w:cstheme="majorHAnsi"/>
          <w:lang w:bidi="en-US"/>
        </w:rPr>
        <w:lastRenderedPageBreak/>
        <w:t>Esteva, A., Kuprel, B., Novoa, R.A., Ko, J., Swetter, S.M., Blau, H.M., Thrun, S., 2017. Dermatologist-level classification of skin cancer with deep neural networks. Nature 542, 115–118. https://doi.org/10.1038/nature21056</w:t>
      </w:r>
    </w:p>
    <w:p w14:paraId="651BB0F4" w14:textId="77777777" w:rsidR="005044EC" w:rsidRPr="005044EC" w:rsidRDefault="005044EC" w:rsidP="005044EC">
      <w:pPr>
        <w:pStyle w:val="SEGBodyText"/>
        <w:spacing w:before="0" w:beforeAutospacing="0" w:after="0" w:afterAutospacing="0" w:line="240" w:lineRule="auto"/>
        <w:ind w:left="720" w:hanging="720"/>
        <w:rPr>
          <w:rFonts w:asciiTheme="majorHAnsi" w:eastAsia="Times New Roman" w:hAnsiTheme="majorHAnsi" w:cstheme="majorHAnsi"/>
          <w:lang w:bidi="en-US"/>
        </w:rPr>
      </w:pPr>
      <w:r w:rsidRPr="005044EC">
        <w:rPr>
          <w:rFonts w:asciiTheme="majorHAnsi" w:eastAsia="Times New Roman" w:hAnsiTheme="majorHAnsi" w:cstheme="majorHAnsi"/>
          <w:lang w:bidi="en-US"/>
        </w:rPr>
        <w:t>Everson, R.M., Fieldsend, J.E., 2006. Multi-class ROC analysis from a multi-objective optimisation perspective. Pattern Recognit. Lett. 27, 918–927. https://doi.org/10.1016/J.PATREC.2005.10.016</w:t>
      </w:r>
    </w:p>
    <w:p w14:paraId="726062A5" w14:textId="77777777" w:rsidR="005044EC" w:rsidRPr="005044EC" w:rsidRDefault="005044EC" w:rsidP="005044EC">
      <w:pPr>
        <w:pStyle w:val="SEGBodyText"/>
        <w:spacing w:before="0" w:beforeAutospacing="0" w:after="0" w:afterAutospacing="0" w:line="240" w:lineRule="auto"/>
        <w:ind w:left="720" w:hanging="720"/>
        <w:rPr>
          <w:rFonts w:asciiTheme="majorHAnsi" w:eastAsia="Times New Roman" w:hAnsiTheme="majorHAnsi" w:cstheme="majorHAnsi"/>
          <w:lang w:bidi="en-US"/>
        </w:rPr>
      </w:pPr>
      <w:r w:rsidRPr="005044EC">
        <w:rPr>
          <w:rFonts w:asciiTheme="majorHAnsi" w:eastAsia="Times New Roman" w:hAnsiTheme="majorHAnsi" w:cstheme="majorHAnsi"/>
          <w:lang w:bidi="en-US"/>
        </w:rPr>
        <w:t>Fawcett, T., 2006. An introduction to ROC analysis. Pattern Recognit. Lett. 27, 861–874. https://doi.org/10.1016/J.PATREC.2005.10.010</w:t>
      </w:r>
    </w:p>
    <w:p w14:paraId="76B54442" w14:textId="77777777" w:rsidR="005044EC" w:rsidRPr="00691AC3" w:rsidRDefault="005044EC" w:rsidP="005044EC">
      <w:pPr>
        <w:pStyle w:val="SEGBodyText"/>
        <w:spacing w:before="0" w:beforeAutospacing="0" w:after="0" w:afterAutospacing="0" w:line="240" w:lineRule="auto"/>
        <w:ind w:left="720" w:hanging="720"/>
        <w:rPr>
          <w:rFonts w:asciiTheme="majorHAnsi" w:eastAsia="Times New Roman" w:hAnsiTheme="majorHAnsi" w:cstheme="majorHAnsi"/>
          <w:lang w:val="de-DE" w:bidi="en-US"/>
        </w:rPr>
      </w:pPr>
      <w:r w:rsidRPr="005044EC">
        <w:rPr>
          <w:rFonts w:asciiTheme="majorHAnsi" w:eastAsia="Times New Roman" w:hAnsiTheme="majorHAnsi" w:cstheme="majorHAnsi"/>
          <w:lang w:bidi="en-US"/>
        </w:rPr>
        <w:t xml:space="preserve">Ferri, C., Hernández-Orallo, J., Salido, M.A., 2003. Volume under the ROC Surface for Multi-class Problems BT  - Machine Learning: ECML 2003, in: Lavrač, N., Gamberger, D., Blockeel, H., Todorovski, L. (Eds.), . </w:t>
      </w:r>
      <w:r w:rsidRPr="00691AC3">
        <w:rPr>
          <w:rFonts w:asciiTheme="majorHAnsi" w:eastAsia="Times New Roman" w:hAnsiTheme="majorHAnsi" w:cstheme="majorHAnsi"/>
          <w:lang w:val="de-DE" w:bidi="en-US"/>
        </w:rPr>
        <w:t>Springer Berlin Heidelberg, Berlin, Heidelberg, pp. 108–120.</w:t>
      </w:r>
    </w:p>
    <w:p w14:paraId="23087C9B" w14:textId="77777777" w:rsidR="005044EC" w:rsidRPr="005044EC" w:rsidRDefault="005044EC" w:rsidP="005044EC">
      <w:pPr>
        <w:pStyle w:val="SEGBodyText"/>
        <w:spacing w:before="0" w:beforeAutospacing="0" w:after="0" w:afterAutospacing="0" w:line="240" w:lineRule="auto"/>
        <w:ind w:left="720" w:hanging="720"/>
        <w:rPr>
          <w:rFonts w:asciiTheme="majorHAnsi" w:eastAsia="Times New Roman" w:hAnsiTheme="majorHAnsi" w:cstheme="majorHAnsi"/>
          <w:lang w:bidi="en-US"/>
        </w:rPr>
      </w:pPr>
      <w:r w:rsidRPr="00691AC3">
        <w:rPr>
          <w:rFonts w:asciiTheme="majorHAnsi" w:eastAsia="Times New Roman" w:hAnsiTheme="majorHAnsi" w:cstheme="majorHAnsi"/>
          <w:lang w:val="de-DE" w:bidi="en-US"/>
        </w:rPr>
        <w:t xml:space="preserve">Gardner, J.W., Pearce, T.C., Friel, S., Bartlett, P.N., Blair, N., 1994. </w:t>
      </w:r>
      <w:r w:rsidRPr="005044EC">
        <w:rPr>
          <w:rFonts w:asciiTheme="majorHAnsi" w:eastAsia="Times New Roman" w:hAnsiTheme="majorHAnsi" w:cstheme="majorHAnsi"/>
          <w:lang w:bidi="en-US"/>
        </w:rPr>
        <w:t>A multisensor system for beer flavour monitoring using an array of conducting polymers and predictive classifiers. Sensors Actuators B Chem. 18, 240–243. https://doi.org/10.1016/0925-4005(94)87089-6</w:t>
      </w:r>
    </w:p>
    <w:p w14:paraId="17A11E0D" w14:textId="77777777" w:rsidR="005044EC" w:rsidRPr="005044EC" w:rsidRDefault="005044EC" w:rsidP="005044EC">
      <w:pPr>
        <w:pStyle w:val="SEGBodyText"/>
        <w:spacing w:before="0" w:beforeAutospacing="0" w:after="0" w:afterAutospacing="0" w:line="240" w:lineRule="auto"/>
        <w:ind w:left="720" w:hanging="720"/>
        <w:rPr>
          <w:rFonts w:asciiTheme="majorHAnsi" w:eastAsia="Times New Roman" w:hAnsiTheme="majorHAnsi" w:cstheme="majorHAnsi"/>
          <w:lang w:bidi="en-US"/>
        </w:rPr>
      </w:pPr>
      <w:r w:rsidRPr="005044EC">
        <w:rPr>
          <w:rFonts w:asciiTheme="majorHAnsi" w:eastAsia="Times New Roman" w:hAnsiTheme="majorHAnsi" w:cstheme="majorHAnsi"/>
          <w:lang w:bidi="en-US"/>
        </w:rPr>
        <w:t>Gomez Villa, A., Salazar, A., Vargas, F., 2017. Towards automatic wild animal monitoring: Identification of animal species in camera-trap images using very deep convolutional neural networks. Ecol. Inform. 41, 24–32. https://doi.org/10.1016/J.ECOINF.2017.07.004</w:t>
      </w:r>
    </w:p>
    <w:p w14:paraId="1B0AA71A" w14:textId="77777777" w:rsidR="005044EC" w:rsidRPr="005044EC" w:rsidRDefault="005044EC" w:rsidP="005044EC">
      <w:pPr>
        <w:pStyle w:val="SEGBodyText"/>
        <w:spacing w:before="0" w:beforeAutospacing="0" w:after="0" w:afterAutospacing="0" w:line="240" w:lineRule="auto"/>
        <w:ind w:left="720" w:hanging="720"/>
        <w:rPr>
          <w:rFonts w:asciiTheme="majorHAnsi" w:eastAsia="Times New Roman" w:hAnsiTheme="majorHAnsi" w:cstheme="majorHAnsi"/>
          <w:lang w:bidi="en-US"/>
        </w:rPr>
      </w:pPr>
      <w:r w:rsidRPr="005044EC">
        <w:rPr>
          <w:rFonts w:asciiTheme="majorHAnsi" w:eastAsia="Times New Roman" w:hAnsiTheme="majorHAnsi" w:cstheme="majorHAnsi"/>
          <w:lang w:bidi="en-US"/>
        </w:rPr>
        <w:t>He, K., Zhang, X., Ren, S., Sun, J., 2016. Identity Mappings in Deep Residual Networks, in: Leibe, B., Matas, J., Sebe, N., Welling, M. (Eds.), Computer Vision -- ECCV 2016. Springer International Publishing, Cham, pp. 630–645.</w:t>
      </w:r>
    </w:p>
    <w:p w14:paraId="02B943C6" w14:textId="77777777" w:rsidR="005044EC" w:rsidRPr="005044EC" w:rsidRDefault="005044EC" w:rsidP="005044EC">
      <w:pPr>
        <w:pStyle w:val="SEGBodyText"/>
        <w:spacing w:before="0" w:beforeAutospacing="0" w:after="0" w:afterAutospacing="0" w:line="240" w:lineRule="auto"/>
        <w:ind w:left="720" w:hanging="720"/>
        <w:rPr>
          <w:rFonts w:asciiTheme="majorHAnsi" w:eastAsia="Times New Roman" w:hAnsiTheme="majorHAnsi" w:cstheme="majorHAnsi"/>
          <w:lang w:bidi="en-US"/>
        </w:rPr>
      </w:pPr>
      <w:r w:rsidRPr="005044EC">
        <w:rPr>
          <w:rFonts w:asciiTheme="majorHAnsi" w:eastAsia="Times New Roman" w:hAnsiTheme="majorHAnsi" w:cstheme="majorHAnsi"/>
          <w:lang w:bidi="en-US"/>
        </w:rPr>
        <w:t>Hunter, J.D., 2007. Matplotlib: A 2D graphics environment. Comput. Sci. Eng. 9, 90–95. https://doi.org/10.1109/MCSE.2007.55</w:t>
      </w:r>
    </w:p>
    <w:p w14:paraId="1869C6AB" w14:textId="77777777" w:rsidR="005044EC" w:rsidRPr="005044EC" w:rsidRDefault="005044EC" w:rsidP="005044EC">
      <w:pPr>
        <w:pStyle w:val="SEGBodyText"/>
        <w:spacing w:before="0" w:beforeAutospacing="0" w:after="0" w:afterAutospacing="0" w:line="240" w:lineRule="auto"/>
        <w:ind w:left="720" w:hanging="720"/>
        <w:rPr>
          <w:rFonts w:asciiTheme="majorHAnsi" w:eastAsia="Times New Roman" w:hAnsiTheme="majorHAnsi" w:cstheme="majorHAnsi"/>
          <w:lang w:bidi="en-US"/>
        </w:rPr>
      </w:pPr>
      <w:r w:rsidRPr="005044EC">
        <w:rPr>
          <w:rFonts w:asciiTheme="majorHAnsi" w:eastAsia="Times New Roman" w:hAnsiTheme="majorHAnsi" w:cstheme="majorHAnsi"/>
          <w:lang w:bidi="en-US"/>
        </w:rPr>
        <w:t>Japkowicz, N., Stephen, S., 2002. The Class Imbalance Problem: A Systematic Study. Intell. Data Anal. 6, 429–449.</w:t>
      </w:r>
    </w:p>
    <w:p w14:paraId="2CF74965" w14:textId="77777777" w:rsidR="005044EC" w:rsidRPr="005044EC" w:rsidRDefault="005044EC" w:rsidP="005044EC">
      <w:pPr>
        <w:pStyle w:val="SEGBodyText"/>
        <w:spacing w:before="0" w:beforeAutospacing="0" w:after="0" w:afterAutospacing="0" w:line="240" w:lineRule="auto"/>
        <w:ind w:left="720" w:hanging="720"/>
        <w:rPr>
          <w:rFonts w:asciiTheme="majorHAnsi" w:eastAsia="Times New Roman" w:hAnsiTheme="majorHAnsi" w:cstheme="majorHAnsi"/>
          <w:lang w:bidi="en-US"/>
        </w:rPr>
      </w:pPr>
      <w:r w:rsidRPr="005044EC">
        <w:rPr>
          <w:rFonts w:asciiTheme="majorHAnsi" w:eastAsia="Times New Roman" w:hAnsiTheme="majorHAnsi" w:cstheme="majorHAnsi"/>
          <w:lang w:bidi="en-US"/>
        </w:rPr>
        <w:t>Kortström, J., Uski, M., Tiira, T., 2016. Automatic classification of seismic events within a regional seismograph network. Comput. Geosci. 87, 22–30. https://doi.org/10.1016/J.CAGEO.2015.11.006</w:t>
      </w:r>
    </w:p>
    <w:p w14:paraId="25C765CF" w14:textId="77777777" w:rsidR="005044EC" w:rsidRPr="005044EC" w:rsidRDefault="005044EC" w:rsidP="005044EC">
      <w:pPr>
        <w:pStyle w:val="SEGBodyText"/>
        <w:spacing w:before="0" w:beforeAutospacing="0" w:after="0" w:afterAutospacing="0" w:line="240" w:lineRule="auto"/>
        <w:ind w:left="720" w:hanging="720"/>
        <w:rPr>
          <w:rFonts w:asciiTheme="majorHAnsi" w:eastAsia="Times New Roman" w:hAnsiTheme="majorHAnsi" w:cstheme="majorHAnsi"/>
          <w:lang w:bidi="en-US"/>
        </w:rPr>
      </w:pPr>
      <w:r w:rsidRPr="005044EC">
        <w:rPr>
          <w:rFonts w:asciiTheme="majorHAnsi" w:eastAsia="Times New Roman" w:hAnsiTheme="majorHAnsi" w:cstheme="majorHAnsi"/>
          <w:lang w:bidi="en-US"/>
        </w:rPr>
        <w:t>Krizhevsky, A., Sutskever, I., Hinton, G.E., 2012. ImageNet Classification with Deep Convolutional Neural Networks, in: Proceedings of the 25th International Conference on Neural Information Processing Systems - Volume 1, NIPS’12. Curran Associates Inc., USA, pp. 1097–1105.</w:t>
      </w:r>
    </w:p>
    <w:p w14:paraId="6D997FED" w14:textId="77777777" w:rsidR="005044EC" w:rsidRPr="005044EC" w:rsidRDefault="005044EC" w:rsidP="005044EC">
      <w:pPr>
        <w:pStyle w:val="SEGBodyText"/>
        <w:spacing w:before="0" w:beforeAutospacing="0" w:after="0" w:afterAutospacing="0" w:line="240" w:lineRule="auto"/>
        <w:ind w:left="720" w:hanging="720"/>
        <w:rPr>
          <w:rFonts w:asciiTheme="majorHAnsi" w:eastAsia="Times New Roman" w:hAnsiTheme="majorHAnsi" w:cstheme="majorHAnsi"/>
          <w:lang w:bidi="en-US"/>
        </w:rPr>
      </w:pPr>
      <w:r w:rsidRPr="005044EC">
        <w:rPr>
          <w:rFonts w:asciiTheme="majorHAnsi" w:eastAsia="Times New Roman" w:hAnsiTheme="majorHAnsi" w:cstheme="majorHAnsi"/>
          <w:lang w:bidi="en-US"/>
        </w:rPr>
        <w:t>LeCun, Y., Bengio, Y., Hinton, G., 2015. Deep learning. Nature 521, 436–444. https://doi.org/10.1038/nature14539</w:t>
      </w:r>
    </w:p>
    <w:p w14:paraId="34CD9D1C" w14:textId="77777777" w:rsidR="005044EC" w:rsidRPr="00691AC3" w:rsidRDefault="005044EC" w:rsidP="005044EC">
      <w:pPr>
        <w:pStyle w:val="SEGBodyText"/>
        <w:spacing w:before="0" w:beforeAutospacing="0" w:after="0" w:afterAutospacing="0" w:line="240" w:lineRule="auto"/>
        <w:ind w:left="720" w:hanging="720"/>
        <w:rPr>
          <w:rFonts w:asciiTheme="majorHAnsi" w:eastAsia="Times New Roman" w:hAnsiTheme="majorHAnsi" w:cstheme="majorHAnsi"/>
          <w:lang w:val="de-DE" w:bidi="en-US"/>
        </w:rPr>
      </w:pPr>
      <w:r w:rsidRPr="005044EC">
        <w:rPr>
          <w:rFonts w:asciiTheme="majorHAnsi" w:eastAsia="Times New Roman" w:hAnsiTheme="majorHAnsi" w:cstheme="majorHAnsi"/>
          <w:lang w:bidi="en-US"/>
        </w:rPr>
        <w:t xml:space="preserve">Norouzzadeh, M.S., Nguyen, A., Kosmala, M., Swanson, A., Palmer, M.S., Packer, C., Clune, J., 2018. Automatically identifying, counting, and describing wild animals in camera-trap images with deep learning. </w:t>
      </w:r>
      <w:r w:rsidRPr="00691AC3">
        <w:rPr>
          <w:rFonts w:asciiTheme="majorHAnsi" w:eastAsia="Times New Roman" w:hAnsiTheme="majorHAnsi" w:cstheme="majorHAnsi"/>
          <w:lang w:val="de-DE" w:bidi="en-US"/>
        </w:rPr>
        <w:t>Proc. Natl. Acad. Sci. U. S. A. 115, E5716–E5725. https://doi.org/10.1073/pnas.1719367115</w:t>
      </w:r>
    </w:p>
    <w:p w14:paraId="4F11184F" w14:textId="77777777" w:rsidR="005044EC" w:rsidRPr="005044EC" w:rsidRDefault="005044EC" w:rsidP="005044EC">
      <w:pPr>
        <w:pStyle w:val="SEGBodyText"/>
        <w:spacing w:before="0" w:beforeAutospacing="0" w:after="0" w:afterAutospacing="0" w:line="240" w:lineRule="auto"/>
        <w:ind w:left="720" w:hanging="720"/>
        <w:rPr>
          <w:rFonts w:asciiTheme="majorHAnsi" w:eastAsia="Times New Roman" w:hAnsiTheme="majorHAnsi" w:cstheme="majorHAnsi"/>
          <w:lang w:bidi="en-US"/>
        </w:rPr>
      </w:pPr>
      <w:r w:rsidRPr="005044EC">
        <w:rPr>
          <w:rFonts w:asciiTheme="majorHAnsi" w:eastAsia="Times New Roman" w:hAnsiTheme="majorHAnsi" w:cstheme="majorHAnsi"/>
          <w:lang w:bidi="en-US"/>
        </w:rPr>
        <w:t>Olah, C., Mordvintsev, A., Schubert, L., 2017. Feature Visualization. Distill. https://doi.org/10.23915/distill.00007</w:t>
      </w:r>
    </w:p>
    <w:p w14:paraId="5DDE6012" w14:textId="77777777" w:rsidR="005044EC" w:rsidRPr="005044EC" w:rsidRDefault="005044EC" w:rsidP="005044EC">
      <w:pPr>
        <w:pStyle w:val="SEGBodyText"/>
        <w:spacing w:before="0" w:beforeAutospacing="0" w:after="0" w:afterAutospacing="0" w:line="240" w:lineRule="auto"/>
        <w:ind w:left="720" w:hanging="720"/>
        <w:rPr>
          <w:rFonts w:asciiTheme="majorHAnsi" w:eastAsia="Times New Roman" w:hAnsiTheme="majorHAnsi" w:cstheme="majorHAnsi"/>
          <w:lang w:bidi="en-US"/>
        </w:rPr>
      </w:pPr>
      <w:r w:rsidRPr="005044EC">
        <w:rPr>
          <w:rFonts w:asciiTheme="majorHAnsi" w:eastAsia="Times New Roman" w:hAnsiTheme="majorHAnsi" w:cstheme="majorHAnsi"/>
          <w:lang w:bidi="en-US"/>
        </w:rPr>
        <w:t>Olah, C., Satyanarayan, A., Johnson, I., Carter, S., Schubert, L., Ye, K., Mordvintsev, A., 2018. The Building Blocks of Interpretability. Distill. https://doi.org/10.23915/distill.00010</w:t>
      </w:r>
    </w:p>
    <w:p w14:paraId="3718766B" w14:textId="77777777" w:rsidR="005044EC" w:rsidRPr="005044EC" w:rsidRDefault="005044EC" w:rsidP="005044EC">
      <w:pPr>
        <w:pStyle w:val="SEGBodyText"/>
        <w:spacing w:before="0" w:beforeAutospacing="0" w:after="0" w:afterAutospacing="0" w:line="240" w:lineRule="auto"/>
        <w:ind w:left="720" w:hanging="720"/>
        <w:rPr>
          <w:rFonts w:asciiTheme="majorHAnsi" w:eastAsia="Times New Roman" w:hAnsiTheme="majorHAnsi" w:cstheme="majorHAnsi"/>
          <w:lang w:bidi="en-US"/>
        </w:rPr>
      </w:pPr>
      <w:r w:rsidRPr="005044EC">
        <w:rPr>
          <w:rFonts w:asciiTheme="majorHAnsi" w:eastAsia="Times New Roman" w:hAnsiTheme="majorHAnsi" w:cstheme="majorHAnsi"/>
          <w:lang w:bidi="en-US"/>
        </w:rPr>
        <w:t>Oquab, M., Bottou, L., Laptev, I., Sivic, J., 2014. Learning and Transferring Mid-level Image Representations Using Convolutional Neural Networks, in: 2014 IEEE Conference on Computer Vision and Pattern Recognition. IEEE, pp. 1717–1724. https://doi.org/10.1109/CVPR.2014.222</w:t>
      </w:r>
    </w:p>
    <w:p w14:paraId="4083C595" w14:textId="77777777" w:rsidR="005044EC" w:rsidRPr="005044EC" w:rsidRDefault="005044EC" w:rsidP="005044EC">
      <w:pPr>
        <w:pStyle w:val="SEGBodyText"/>
        <w:spacing w:before="0" w:beforeAutospacing="0" w:after="0" w:afterAutospacing="0" w:line="240" w:lineRule="auto"/>
        <w:ind w:left="720" w:hanging="720"/>
        <w:rPr>
          <w:rFonts w:asciiTheme="majorHAnsi" w:eastAsia="Times New Roman" w:hAnsiTheme="majorHAnsi" w:cstheme="majorHAnsi"/>
          <w:lang w:bidi="en-US"/>
        </w:rPr>
      </w:pPr>
      <w:r w:rsidRPr="005044EC">
        <w:rPr>
          <w:rFonts w:asciiTheme="majorHAnsi" w:eastAsia="Times New Roman" w:hAnsiTheme="majorHAnsi" w:cstheme="majorHAnsi"/>
          <w:lang w:bidi="en-US"/>
        </w:rPr>
        <w:lastRenderedPageBreak/>
        <w:t>Pan, S.J., Yang, Q., 2010. A Survey on Transfer Learning. IEEE Trans. Knowl. Data Eng. 22, 1345–1359. https://doi.org/10.1109/TKDE.2009.191</w:t>
      </w:r>
    </w:p>
    <w:p w14:paraId="1A3FAF63" w14:textId="77777777" w:rsidR="005044EC" w:rsidRPr="00691AC3" w:rsidRDefault="005044EC" w:rsidP="005044EC">
      <w:pPr>
        <w:pStyle w:val="SEGBodyText"/>
        <w:spacing w:before="0" w:beforeAutospacing="0" w:after="0" w:afterAutospacing="0" w:line="240" w:lineRule="auto"/>
        <w:ind w:left="720" w:hanging="720"/>
        <w:rPr>
          <w:rFonts w:asciiTheme="majorHAnsi" w:eastAsia="Times New Roman" w:hAnsiTheme="majorHAnsi" w:cstheme="majorHAnsi"/>
          <w:lang w:val="de-DE" w:bidi="en-US"/>
        </w:rPr>
      </w:pPr>
      <w:r w:rsidRPr="005044EC">
        <w:rPr>
          <w:rFonts w:asciiTheme="majorHAnsi" w:eastAsia="Times New Roman" w:hAnsiTheme="majorHAnsi" w:cstheme="majorHAnsi"/>
          <w:lang w:bidi="en-US"/>
        </w:rPr>
        <w:t xml:space="preserve">Perol, T., Gharbi, M., Denolle, M., 2018. Convolutional neural network for earthquake detection and location. </w:t>
      </w:r>
      <w:r w:rsidRPr="00691AC3">
        <w:rPr>
          <w:rFonts w:asciiTheme="majorHAnsi" w:eastAsia="Times New Roman" w:hAnsiTheme="majorHAnsi" w:cstheme="majorHAnsi"/>
          <w:lang w:val="de-DE" w:bidi="en-US"/>
        </w:rPr>
        <w:t>Sci. Adv. 4, e1700578. https://doi.org/10.1126/sciadv.1700578</w:t>
      </w:r>
    </w:p>
    <w:p w14:paraId="18381CAB" w14:textId="77777777" w:rsidR="005044EC" w:rsidRPr="00691AC3" w:rsidRDefault="005044EC" w:rsidP="005044EC">
      <w:pPr>
        <w:pStyle w:val="SEGBodyText"/>
        <w:spacing w:before="0" w:beforeAutospacing="0" w:after="0" w:afterAutospacing="0" w:line="240" w:lineRule="auto"/>
        <w:ind w:left="720" w:hanging="720"/>
        <w:rPr>
          <w:rFonts w:asciiTheme="majorHAnsi" w:eastAsia="Times New Roman" w:hAnsiTheme="majorHAnsi" w:cstheme="majorHAnsi"/>
          <w:lang w:val="de-DE" w:bidi="en-US"/>
        </w:rPr>
      </w:pPr>
      <w:r w:rsidRPr="00691AC3">
        <w:rPr>
          <w:rFonts w:asciiTheme="majorHAnsi" w:eastAsia="Times New Roman" w:hAnsiTheme="majorHAnsi" w:cstheme="majorHAnsi"/>
          <w:lang w:val="de-DE" w:bidi="en-US"/>
        </w:rPr>
        <w:t xml:space="preserve">Qi, J., Lin, T., Zhao, T., Li, F., Marfurt, K., 2016. </w:t>
      </w:r>
      <w:r w:rsidRPr="005044EC">
        <w:rPr>
          <w:rFonts w:asciiTheme="majorHAnsi" w:eastAsia="Times New Roman" w:hAnsiTheme="majorHAnsi" w:cstheme="majorHAnsi"/>
          <w:lang w:bidi="en-US"/>
        </w:rPr>
        <w:t xml:space="preserve">Semisupervised multiattribute seismic facies analysis. </w:t>
      </w:r>
      <w:r w:rsidRPr="00691AC3">
        <w:rPr>
          <w:rFonts w:asciiTheme="majorHAnsi" w:eastAsia="Times New Roman" w:hAnsiTheme="majorHAnsi" w:cstheme="majorHAnsi"/>
          <w:lang w:val="de-DE" w:bidi="en-US"/>
        </w:rPr>
        <w:t>Interpretation 4, SB91–SB106. https://doi.org/10.1190/INT-2015-0098.1</w:t>
      </w:r>
    </w:p>
    <w:p w14:paraId="3BB08C56" w14:textId="77777777" w:rsidR="005044EC" w:rsidRPr="005044EC" w:rsidRDefault="005044EC" w:rsidP="005044EC">
      <w:pPr>
        <w:pStyle w:val="SEGBodyText"/>
        <w:spacing w:before="0" w:beforeAutospacing="0" w:after="0" w:afterAutospacing="0" w:line="240" w:lineRule="auto"/>
        <w:ind w:left="720" w:hanging="720"/>
        <w:rPr>
          <w:rFonts w:asciiTheme="majorHAnsi" w:eastAsia="Times New Roman" w:hAnsiTheme="majorHAnsi" w:cstheme="majorHAnsi"/>
          <w:lang w:bidi="en-US"/>
        </w:rPr>
      </w:pPr>
      <w:r w:rsidRPr="00691AC3">
        <w:rPr>
          <w:rFonts w:asciiTheme="majorHAnsi" w:eastAsia="Times New Roman" w:hAnsiTheme="majorHAnsi" w:cstheme="majorHAnsi"/>
          <w:lang w:val="de-DE" w:bidi="en-US"/>
        </w:rPr>
        <w:t xml:space="preserve">Qian, F., Yin, M., Liu, X.-Y., Wang, Y.-J., Lu, C., Hu, G.-M., 2018. </w:t>
      </w:r>
      <w:r w:rsidRPr="005044EC">
        <w:rPr>
          <w:rFonts w:asciiTheme="majorHAnsi" w:eastAsia="Times New Roman" w:hAnsiTheme="majorHAnsi" w:cstheme="majorHAnsi"/>
          <w:lang w:bidi="en-US"/>
        </w:rPr>
        <w:t>Unsupervised seismic facies analysis via deep convolutional autoencoders. Geophysics 83, A39–A43. https://doi.org/10.1190/geo2017-0524.1</w:t>
      </w:r>
    </w:p>
    <w:p w14:paraId="7F048C44" w14:textId="77777777" w:rsidR="005044EC" w:rsidRPr="00691AC3" w:rsidRDefault="005044EC" w:rsidP="005044EC">
      <w:pPr>
        <w:pStyle w:val="SEGBodyText"/>
        <w:spacing w:before="0" w:beforeAutospacing="0" w:after="0" w:afterAutospacing="0" w:line="240" w:lineRule="auto"/>
        <w:ind w:left="720" w:hanging="720"/>
        <w:rPr>
          <w:rFonts w:asciiTheme="majorHAnsi" w:eastAsia="Times New Roman" w:hAnsiTheme="majorHAnsi" w:cstheme="majorHAnsi"/>
          <w:lang w:val="de-DE" w:bidi="en-US"/>
        </w:rPr>
      </w:pPr>
      <w:r w:rsidRPr="005044EC">
        <w:rPr>
          <w:rFonts w:asciiTheme="majorHAnsi" w:eastAsia="Times New Roman" w:hAnsiTheme="majorHAnsi" w:cstheme="majorHAnsi"/>
          <w:lang w:bidi="en-US"/>
        </w:rPr>
        <w:t xml:space="preserve">Roy, A., Romero-Peláez, A.S., Kwiatkowski, T.J., Marfurt, K.J., 2014. Generative topographic mapping for seismic facies estimation of a carbonate wash, Veracruz Basin, southern Mexico. </w:t>
      </w:r>
      <w:r w:rsidRPr="00691AC3">
        <w:rPr>
          <w:rFonts w:asciiTheme="majorHAnsi" w:eastAsia="Times New Roman" w:hAnsiTheme="majorHAnsi" w:cstheme="majorHAnsi"/>
          <w:lang w:val="de-DE" w:bidi="en-US"/>
        </w:rPr>
        <w:t>Interpretation 2, SA31–SA47. https://doi.org/10.1190/INT-2013-0077.1</w:t>
      </w:r>
    </w:p>
    <w:p w14:paraId="6C86026A" w14:textId="77777777" w:rsidR="005044EC" w:rsidRPr="005044EC" w:rsidRDefault="005044EC" w:rsidP="005044EC">
      <w:pPr>
        <w:pStyle w:val="SEGBodyText"/>
        <w:spacing w:before="0" w:beforeAutospacing="0" w:after="0" w:afterAutospacing="0" w:line="240" w:lineRule="auto"/>
        <w:ind w:left="720" w:hanging="720"/>
        <w:rPr>
          <w:rFonts w:asciiTheme="majorHAnsi" w:eastAsia="Times New Roman" w:hAnsiTheme="majorHAnsi" w:cstheme="majorHAnsi"/>
          <w:lang w:bidi="en-US"/>
        </w:rPr>
      </w:pPr>
      <w:r w:rsidRPr="00691AC3">
        <w:rPr>
          <w:rFonts w:asciiTheme="majorHAnsi" w:eastAsia="Times New Roman" w:hAnsiTheme="majorHAnsi" w:cstheme="majorHAnsi"/>
          <w:lang w:val="de-DE" w:bidi="en-US"/>
        </w:rPr>
        <w:t xml:space="preserve">Russakovsky, O., Deng, J., Su, H., Krause, J., Satheesh, S., Ma, S., Huang, Z., Karpathy, A., Khosla, A., Bernstein, M., Berg, A.C., Fei-Fei, L., 2015. </w:t>
      </w:r>
      <w:r w:rsidRPr="005044EC">
        <w:rPr>
          <w:rFonts w:asciiTheme="majorHAnsi" w:eastAsia="Times New Roman" w:hAnsiTheme="majorHAnsi" w:cstheme="majorHAnsi"/>
          <w:lang w:bidi="en-US"/>
        </w:rPr>
        <w:t>ImageNet Large Scale Visual Recognition Challenge. Int. J. Comput. Vis. 115, 211–252. https://doi.org/10.1007/s11263-015-0816-y</w:t>
      </w:r>
    </w:p>
    <w:p w14:paraId="6C178422" w14:textId="77777777" w:rsidR="005044EC" w:rsidRPr="005044EC" w:rsidRDefault="005044EC" w:rsidP="005044EC">
      <w:pPr>
        <w:pStyle w:val="SEGBodyText"/>
        <w:spacing w:before="0" w:beforeAutospacing="0" w:after="0" w:afterAutospacing="0" w:line="240" w:lineRule="auto"/>
        <w:ind w:left="720" w:hanging="720"/>
        <w:rPr>
          <w:rFonts w:asciiTheme="majorHAnsi" w:eastAsia="Times New Roman" w:hAnsiTheme="majorHAnsi" w:cstheme="majorHAnsi"/>
          <w:lang w:bidi="en-US"/>
        </w:rPr>
      </w:pPr>
      <w:r w:rsidRPr="005044EC">
        <w:rPr>
          <w:rFonts w:asciiTheme="majorHAnsi" w:eastAsia="Times New Roman" w:hAnsiTheme="majorHAnsi" w:cstheme="majorHAnsi"/>
          <w:lang w:bidi="en-US"/>
        </w:rPr>
        <w:t>Sandler, M., Howard, A., Zhu, M., Zhmoginov, A., Chen, L.-C., 2018. MobileNetV2: Inverted Residuals and Linear Bottlenecks. ArXiv e-prints.</w:t>
      </w:r>
    </w:p>
    <w:p w14:paraId="5D34EE48" w14:textId="77777777" w:rsidR="005044EC" w:rsidRPr="005044EC" w:rsidRDefault="005044EC" w:rsidP="005044EC">
      <w:pPr>
        <w:pStyle w:val="SEGBodyText"/>
        <w:spacing w:before="0" w:beforeAutospacing="0" w:after="0" w:afterAutospacing="0" w:line="240" w:lineRule="auto"/>
        <w:ind w:left="720" w:hanging="720"/>
        <w:rPr>
          <w:rFonts w:asciiTheme="majorHAnsi" w:eastAsia="Times New Roman" w:hAnsiTheme="majorHAnsi" w:cstheme="majorHAnsi"/>
          <w:lang w:bidi="en-US"/>
        </w:rPr>
      </w:pPr>
      <w:r w:rsidRPr="005044EC">
        <w:rPr>
          <w:rFonts w:asciiTheme="majorHAnsi" w:eastAsia="Times New Roman" w:hAnsiTheme="majorHAnsi" w:cstheme="majorHAnsi"/>
          <w:lang w:bidi="en-US"/>
        </w:rPr>
        <w:t>Sener, O., Savarese, S., 2018. Active Learning for Convolutional Neural Networks: A Core-Set Approach, in: International Conference on Learning Representations.</w:t>
      </w:r>
    </w:p>
    <w:p w14:paraId="52A62994" w14:textId="77777777" w:rsidR="005044EC" w:rsidRPr="005044EC" w:rsidRDefault="005044EC" w:rsidP="005044EC">
      <w:pPr>
        <w:pStyle w:val="SEGBodyText"/>
        <w:spacing w:before="0" w:beforeAutospacing="0" w:after="0" w:afterAutospacing="0" w:line="240" w:lineRule="auto"/>
        <w:ind w:left="720" w:hanging="720"/>
        <w:rPr>
          <w:rFonts w:asciiTheme="majorHAnsi" w:eastAsia="Times New Roman" w:hAnsiTheme="majorHAnsi" w:cstheme="majorHAnsi"/>
          <w:lang w:bidi="en-US"/>
        </w:rPr>
      </w:pPr>
      <w:r w:rsidRPr="005044EC">
        <w:rPr>
          <w:rFonts w:asciiTheme="majorHAnsi" w:eastAsia="Times New Roman" w:hAnsiTheme="majorHAnsi" w:cstheme="majorHAnsi"/>
          <w:lang w:bidi="en-US"/>
        </w:rPr>
        <w:t>Settles, B., 2012. Active Learning. Synth. Lect. Artif. Intell. Mach. Learn. 6, 1–114. https://doi.org/10.2200/S00429ED1V01Y201207AIM018</w:t>
      </w:r>
    </w:p>
    <w:p w14:paraId="4B960269" w14:textId="77777777" w:rsidR="005044EC" w:rsidRPr="005044EC" w:rsidRDefault="005044EC" w:rsidP="005044EC">
      <w:pPr>
        <w:pStyle w:val="SEGBodyText"/>
        <w:spacing w:before="0" w:beforeAutospacing="0" w:after="0" w:afterAutospacing="0" w:line="240" w:lineRule="auto"/>
        <w:ind w:left="720" w:hanging="720"/>
        <w:rPr>
          <w:rFonts w:asciiTheme="majorHAnsi" w:eastAsia="Times New Roman" w:hAnsiTheme="majorHAnsi" w:cstheme="majorHAnsi"/>
          <w:lang w:bidi="en-US"/>
        </w:rPr>
      </w:pPr>
      <w:r w:rsidRPr="005044EC">
        <w:rPr>
          <w:rFonts w:asciiTheme="majorHAnsi" w:eastAsia="Times New Roman" w:hAnsiTheme="majorHAnsi" w:cstheme="majorHAnsi"/>
          <w:lang w:bidi="en-US"/>
        </w:rPr>
        <w:t>Simonyan, K., Zisserman, A., 2014. Very Deep Convolutional Networks for Large-Scale Image Recognition. ArXiv e–prints.</w:t>
      </w:r>
    </w:p>
    <w:p w14:paraId="54E74258" w14:textId="77777777" w:rsidR="005044EC" w:rsidRPr="005044EC" w:rsidRDefault="005044EC" w:rsidP="005044EC">
      <w:pPr>
        <w:pStyle w:val="SEGBodyText"/>
        <w:spacing w:before="0" w:beforeAutospacing="0" w:after="0" w:afterAutospacing="0" w:line="240" w:lineRule="auto"/>
        <w:ind w:left="720" w:hanging="720"/>
        <w:rPr>
          <w:rFonts w:asciiTheme="majorHAnsi" w:eastAsia="Times New Roman" w:hAnsiTheme="majorHAnsi" w:cstheme="majorHAnsi"/>
          <w:lang w:bidi="en-US"/>
        </w:rPr>
      </w:pPr>
      <w:r w:rsidRPr="005044EC">
        <w:rPr>
          <w:rFonts w:asciiTheme="majorHAnsi" w:eastAsia="Times New Roman" w:hAnsiTheme="majorHAnsi" w:cstheme="majorHAnsi"/>
          <w:lang w:bidi="en-US"/>
        </w:rPr>
        <w:t>Sinha, S., Wen, Y., Pires de Lima, R.A., Marfurt, K., 2018. Statistical controls on induced seismicity. Unconventional Resources Technology Conference. https://doi.org/10.15530/urtec-2018-2897507-MS</w:t>
      </w:r>
    </w:p>
    <w:p w14:paraId="46E91FC2" w14:textId="77777777" w:rsidR="005044EC" w:rsidRPr="005044EC" w:rsidRDefault="005044EC" w:rsidP="005044EC">
      <w:pPr>
        <w:pStyle w:val="SEGBodyText"/>
        <w:spacing w:before="0" w:beforeAutospacing="0" w:after="0" w:afterAutospacing="0" w:line="240" w:lineRule="auto"/>
        <w:ind w:left="720" w:hanging="720"/>
        <w:rPr>
          <w:rFonts w:asciiTheme="majorHAnsi" w:eastAsia="Times New Roman" w:hAnsiTheme="majorHAnsi" w:cstheme="majorHAnsi"/>
          <w:lang w:bidi="en-US"/>
        </w:rPr>
      </w:pPr>
      <w:r w:rsidRPr="005044EC">
        <w:rPr>
          <w:rFonts w:asciiTheme="majorHAnsi" w:eastAsia="Times New Roman" w:hAnsiTheme="majorHAnsi" w:cstheme="majorHAnsi"/>
          <w:lang w:bidi="en-US"/>
        </w:rPr>
        <w:t>Suriamin, F., Pranter, M.J., 2018. Stratigraphic and lithofacies control on pore characteristics of Mississippian limestone and chert reservoirs of north-central Oklahoma. Interpretation 1–66. https://doi.org/10.1190/int-2017-0204.1</w:t>
      </w:r>
    </w:p>
    <w:p w14:paraId="78741DA1" w14:textId="77777777" w:rsidR="005044EC" w:rsidRPr="005044EC" w:rsidRDefault="005044EC" w:rsidP="005044EC">
      <w:pPr>
        <w:pStyle w:val="SEGBodyText"/>
        <w:spacing w:before="0" w:beforeAutospacing="0" w:after="0" w:afterAutospacing="0" w:line="240" w:lineRule="auto"/>
        <w:ind w:left="720" w:hanging="720"/>
        <w:rPr>
          <w:rFonts w:asciiTheme="majorHAnsi" w:eastAsia="Times New Roman" w:hAnsiTheme="majorHAnsi" w:cstheme="majorHAnsi"/>
          <w:lang w:bidi="en-US"/>
        </w:rPr>
      </w:pPr>
      <w:r w:rsidRPr="005044EC">
        <w:rPr>
          <w:rFonts w:asciiTheme="majorHAnsi" w:eastAsia="Times New Roman" w:hAnsiTheme="majorHAnsi" w:cstheme="majorHAnsi"/>
          <w:lang w:bidi="en-US"/>
        </w:rPr>
        <w:t>Szegedy, C., Liu, W., Jia, Y., Sermanet, P., Reed, S.E., Anguelov, D., Erhan, D., Vanhoucke, V., Rabinovich, A., 2014. Going Deeper with Convolutions. CoRR abs/1409.4.</w:t>
      </w:r>
    </w:p>
    <w:p w14:paraId="19A1A69F" w14:textId="77777777" w:rsidR="005044EC" w:rsidRPr="005044EC" w:rsidRDefault="005044EC" w:rsidP="005044EC">
      <w:pPr>
        <w:pStyle w:val="SEGBodyText"/>
        <w:spacing w:before="0" w:beforeAutospacing="0" w:after="0" w:afterAutospacing="0" w:line="240" w:lineRule="auto"/>
        <w:ind w:left="720" w:hanging="720"/>
        <w:rPr>
          <w:rFonts w:asciiTheme="majorHAnsi" w:eastAsia="Times New Roman" w:hAnsiTheme="majorHAnsi" w:cstheme="majorHAnsi"/>
          <w:lang w:bidi="en-US"/>
        </w:rPr>
      </w:pPr>
      <w:r w:rsidRPr="005044EC">
        <w:rPr>
          <w:rFonts w:asciiTheme="majorHAnsi" w:eastAsia="Times New Roman" w:hAnsiTheme="majorHAnsi" w:cstheme="majorHAnsi"/>
          <w:lang w:bidi="en-US"/>
        </w:rPr>
        <w:t>Szegedy, C., Vanhoucke, V., Ioffe, S., Shlens, J., Wojna, Z., 2015. Rethinking the Inception Architecture for Computer Vision. CoRR abs/1512.0.</w:t>
      </w:r>
    </w:p>
    <w:p w14:paraId="6981E26C" w14:textId="77777777" w:rsidR="005044EC" w:rsidRPr="005044EC" w:rsidRDefault="005044EC" w:rsidP="005044EC">
      <w:pPr>
        <w:pStyle w:val="SEGBodyText"/>
        <w:spacing w:before="0" w:beforeAutospacing="0" w:after="0" w:afterAutospacing="0" w:line="240" w:lineRule="auto"/>
        <w:ind w:left="720" w:hanging="720"/>
        <w:rPr>
          <w:rFonts w:asciiTheme="majorHAnsi" w:eastAsia="Times New Roman" w:hAnsiTheme="majorHAnsi" w:cstheme="majorHAnsi"/>
          <w:lang w:bidi="en-US"/>
        </w:rPr>
      </w:pPr>
      <w:r w:rsidRPr="005044EC">
        <w:rPr>
          <w:rFonts w:asciiTheme="majorHAnsi" w:eastAsia="Times New Roman" w:hAnsiTheme="majorHAnsi" w:cstheme="majorHAnsi"/>
          <w:lang w:bidi="en-US"/>
        </w:rPr>
        <w:t>Tajbakhsh, N., Shin, J.Y., Gurudu, S.R., Hurst, R.T., Kendall, C.B., Gotway, M.B., Liang, J., 2016. Convolutional Neural Networks for Medical Image Analysis: Full Training or Fine Tuning? IEEE Trans. Med. Imaging 35, 1299–1312. https://doi.org/10.1109/TMI.2016.2535302</w:t>
      </w:r>
    </w:p>
    <w:p w14:paraId="36D84012" w14:textId="77777777" w:rsidR="005044EC" w:rsidRPr="005044EC" w:rsidRDefault="005044EC" w:rsidP="005044EC">
      <w:pPr>
        <w:pStyle w:val="SEGBodyText"/>
        <w:spacing w:before="0" w:beforeAutospacing="0" w:after="0" w:afterAutospacing="0" w:line="240" w:lineRule="auto"/>
        <w:ind w:left="720" w:hanging="720"/>
        <w:rPr>
          <w:rFonts w:asciiTheme="majorHAnsi" w:eastAsia="Times New Roman" w:hAnsiTheme="majorHAnsi" w:cstheme="majorHAnsi"/>
          <w:lang w:bidi="en-US"/>
        </w:rPr>
      </w:pPr>
      <w:r w:rsidRPr="005044EC">
        <w:rPr>
          <w:rFonts w:asciiTheme="majorHAnsi" w:eastAsia="Times New Roman" w:hAnsiTheme="majorHAnsi" w:cstheme="majorHAnsi"/>
          <w:lang w:bidi="en-US"/>
        </w:rPr>
        <w:t>TensorFlow Hub [WWW Document], 2018. URL https://tfhub.dev/ (accessed 11.26.18).</w:t>
      </w:r>
    </w:p>
    <w:p w14:paraId="211ECF87" w14:textId="77777777" w:rsidR="005044EC" w:rsidRPr="005044EC" w:rsidRDefault="005044EC" w:rsidP="005044EC">
      <w:pPr>
        <w:pStyle w:val="SEGBodyText"/>
        <w:spacing w:before="0" w:beforeAutospacing="0" w:after="0" w:afterAutospacing="0" w:line="240" w:lineRule="auto"/>
        <w:ind w:left="720" w:hanging="720"/>
        <w:rPr>
          <w:rFonts w:asciiTheme="majorHAnsi" w:eastAsia="Times New Roman" w:hAnsiTheme="majorHAnsi" w:cstheme="majorHAnsi"/>
          <w:lang w:bidi="en-US"/>
        </w:rPr>
      </w:pPr>
      <w:r w:rsidRPr="005044EC">
        <w:rPr>
          <w:rFonts w:asciiTheme="majorHAnsi" w:eastAsia="Times New Roman" w:hAnsiTheme="majorHAnsi" w:cstheme="majorHAnsi"/>
          <w:lang w:bidi="en-US"/>
        </w:rPr>
        <w:t>Wu, Y., Lin, Y., Zhou, Z., Bolton, D.C., Liu, J., Johnson, P., 2018. DeepDetect: A Cascaded Region-Based Densely Connected Network for Seismic Event Detection. IEEE Trans. Geosci. Remote Sens. 1–14. https://doi.org/10.1109/TGRS.2018.2852302</w:t>
      </w:r>
    </w:p>
    <w:p w14:paraId="360C317B" w14:textId="77777777" w:rsidR="005044EC" w:rsidRPr="005044EC" w:rsidRDefault="005044EC" w:rsidP="005044EC">
      <w:pPr>
        <w:pStyle w:val="SEGBodyText"/>
        <w:spacing w:before="0" w:beforeAutospacing="0" w:after="0" w:afterAutospacing="0" w:line="240" w:lineRule="auto"/>
        <w:ind w:left="720" w:hanging="720"/>
        <w:rPr>
          <w:rFonts w:asciiTheme="majorHAnsi" w:eastAsia="Times New Roman" w:hAnsiTheme="majorHAnsi" w:cstheme="majorHAnsi"/>
          <w:lang w:bidi="en-US"/>
        </w:rPr>
      </w:pPr>
      <w:r w:rsidRPr="005044EC">
        <w:rPr>
          <w:rFonts w:asciiTheme="majorHAnsi" w:eastAsia="Times New Roman" w:hAnsiTheme="majorHAnsi" w:cstheme="majorHAnsi"/>
          <w:lang w:bidi="en-US"/>
        </w:rPr>
        <w:t>Yosinski, J., Clune, J., Bengio, Y., Lipson, H., 2014. How transferable are features in deep neural networks? Adv. Neural Inf. Process. Syst. 27, 3320–3328.</w:t>
      </w:r>
    </w:p>
    <w:p w14:paraId="0CD30172" w14:textId="77777777" w:rsidR="005044EC" w:rsidRPr="005044EC" w:rsidRDefault="005044EC" w:rsidP="005044EC">
      <w:pPr>
        <w:pStyle w:val="SEGBodyText"/>
        <w:spacing w:before="0" w:beforeAutospacing="0" w:after="0" w:afterAutospacing="0" w:line="240" w:lineRule="auto"/>
        <w:ind w:left="720" w:hanging="720"/>
        <w:rPr>
          <w:rFonts w:asciiTheme="majorHAnsi" w:eastAsia="Times New Roman" w:hAnsiTheme="majorHAnsi" w:cstheme="majorHAnsi"/>
          <w:lang w:bidi="en-US"/>
        </w:rPr>
      </w:pPr>
      <w:r w:rsidRPr="005044EC">
        <w:rPr>
          <w:rFonts w:asciiTheme="majorHAnsi" w:eastAsia="Times New Roman" w:hAnsiTheme="majorHAnsi" w:cstheme="majorHAnsi"/>
          <w:lang w:bidi="en-US"/>
        </w:rPr>
        <w:lastRenderedPageBreak/>
        <w:t>Zhang, G., Wang, Z., Li, H., Sun, Y., Zhang, Q., Chen, W., 2018. Permeability prediction of isolated channel sands using machine learning. J. Appl. Geophys. 159, 605–615. https://doi.org/10.1016/J.JAPPGEO.2018.09.011</w:t>
      </w:r>
    </w:p>
    <w:p w14:paraId="15EB2A04" w14:textId="77777777" w:rsidR="005044EC" w:rsidRPr="005044EC" w:rsidRDefault="005044EC" w:rsidP="005044EC">
      <w:pPr>
        <w:pStyle w:val="SEGBodyText"/>
        <w:spacing w:before="0" w:beforeAutospacing="0" w:after="0" w:afterAutospacing="0" w:line="240" w:lineRule="auto"/>
        <w:ind w:left="720" w:hanging="720"/>
        <w:rPr>
          <w:rFonts w:asciiTheme="majorHAnsi" w:eastAsia="Times New Roman" w:hAnsiTheme="majorHAnsi" w:cstheme="majorHAnsi"/>
          <w:lang w:bidi="en-US"/>
        </w:rPr>
      </w:pPr>
      <w:r w:rsidRPr="005044EC">
        <w:rPr>
          <w:rFonts w:asciiTheme="majorHAnsi" w:eastAsia="Times New Roman" w:hAnsiTheme="majorHAnsi" w:cstheme="majorHAnsi"/>
          <w:lang w:bidi="en-US"/>
        </w:rPr>
        <w:t>Zhang, Y., Salisch, H.A., McPherson, J.G., 1999. Application of neural networks to identify lithofacies from well logs. Explor. Geophys. 30, 45. https://doi.org/10.1071/EG999045</w:t>
      </w:r>
    </w:p>
    <w:p w14:paraId="79B78662" w14:textId="77777777" w:rsidR="005044EC" w:rsidRPr="00691AC3" w:rsidRDefault="005044EC" w:rsidP="005044EC">
      <w:pPr>
        <w:pStyle w:val="SEGBodyText"/>
        <w:spacing w:before="0" w:beforeAutospacing="0" w:after="0" w:afterAutospacing="0" w:line="240" w:lineRule="auto"/>
        <w:ind w:left="720" w:hanging="720"/>
        <w:rPr>
          <w:rFonts w:asciiTheme="majorHAnsi" w:eastAsia="Times New Roman" w:hAnsiTheme="majorHAnsi" w:cstheme="majorHAnsi"/>
          <w:lang w:val="de-DE" w:bidi="en-US"/>
        </w:rPr>
      </w:pPr>
      <w:r w:rsidRPr="005044EC">
        <w:rPr>
          <w:rFonts w:asciiTheme="majorHAnsi" w:eastAsia="Times New Roman" w:hAnsiTheme="majorHAnsi" w:cstheme="majorHAnsi"/>
          <w:lang w:bidi="en-US"/>
        </w:rPr>
        <w:t xml:space="preserve">Zhao, T., Li, F., Marfurt, K.J., 2017. Constraining self-organizing map facies analysis with stratigraphy: An approach to increase the credibility in automatic seismic facies classification. </w:t>
      </w:r>
      <w:r w:rsidRPr="00691AC3">
        <w:rPr>
          <w:rFonts w:asciiTheme="majorHAnsi" w:eastAsia="Times New Roman" w:hAnsiTheme="majorHAnsi" w:cstheme="majorHAnsi"/>
          <w:lang w:val="de-DE" w:bidi="en-US"/>
        </w:rPr>
        <w:t>Interpretation 5, T163–T171. https://doi.org/10.1190/INT-2016-0132.1</w:t>
      </w:r>
    </w:p>
    <w:p w14:paraId="10AB60E1" w14:textId="77777777" w:rsidR="005044EC" w:rsidRPr="00691AC3" w:rsidRDefault="005044EC" w:rsidP="005044EC">
      <w:pPr>
        <w:pStyle w:val="SEGBodyText"/>
        <w:spacing w:before="0" w:beforeAutospacing="0" w:after="0" w:afterAutospacing="0" w:line="240" w:lineRule="auto"/>
        <w:ind w:left="720" w:hanging="720"/>
        <w:rPr>
          <w:rFonts w:asciiTheme="majorHAnsi" w:eastAsia="Times New Roman" w:hAnsiTheme="majorHAnsi" w:cstheme="majorHAnsi"/>
          <w:lang w:val="de-DE" w:bidi="en-US"/>
        </w:rPr>
      </w:pPr>
      <w:r w:rsidRPr="00691AC3">
        <w:rPr>
          <w:rFonts w:asciiTheme="majorHAnsi" w:eastAsia="Times New Roman" w:hAnsiTheme="majorHAnsi" w:cstheme="majorHAnsi"/>
          <w:lang w:val="de-DE" w:bidi="en-US"/>
        </w:rPr>
        <w:t xml:space="preserve">Zhao, T., Zhang, J., Li, F., Marfurt, K.J., 2016. </w:t>
      </w:r>
      <w:r w:rsidRPr="005044EC">
        <w:rPr>
          <w:rFonts w:asciiTheme="majorHAnsi" w:eastAsia="Times New Roman" w:hAnsiTheme="majorHAnsi" w:cstheme="majorHAnsi"/>
          <w:lang w:bidi="en-US"/>
        </w:rPr>
        <w:t xml:space="preserve">Characterizing a turbidite system in Canterbury Basin, New Zealand, using seismic attributes and distance-preserving self-organizing maps. </w:t>
      </w:r>
      <w:r w:rsidRPr="00691AC3">
        <w:rPr>
          <w:rFonts w:asciiTheme="majorHAnsi" w:eastAsia="Times New Roman" w:hAnsiTheme="majorHAnsi" w:cstheme="majorHAnsi"/>
          <w:lang w:val="de-DE" w:bidi="en-US"/>
        </w:rPr>
        <w:t>Interpretation 4, SB79–SB89. https://doi.org/10.1190/INT-2015-0094.1</w:t>
      </w:r>
    </w:p>
    <w:p w14:paraId="19B05435" w14:textId="77777777" w:rsidR="005044EC" w:rsidRPr="005044EC" w:rsidRDefault="005044EC" w:rsidP="005044EC">
      <w:pPr>
        <w:pStyle w:val="SEGBodyText"/>
        <w:spacing w:before="0" w:beforeAutospacing="0" w:after="0" w:afterAutospacing="0" w:line="240" w:lineRule="auto"/>
        <w:ind w:left="720" w:hanging="720"/>
        <w:rPr>
          <w:rFonts w:asciiTheme="majorHAnsi" w:eastAsia="Times New Roman" w:hAnsiTheme="majorHAnsi" w:cstheme="majorHAnsi"/>
          <w:lang w:bidi="en-US"/>
        </w:rPr>
      </w:pPr>
      <w:r w:rsidRPr="00691AC3">
        <w:rPr>
          <w:rFonts w:asciiTheme="majorHAnsi" w:eastAsia="Times New Roman" w:hAnsiTheme="majorHAnsi" w:cstheme="majorHAnsi"/>
          <w:lang w:val="de-DE" w:bidi="en-US"/>
        </w:rPr>
        <w:t xml:space="preserve">Zoph, B., Le, Q. V, 2016. </w:t>
      </w:r>
      <w:r w:rsidRPr="005044EC">
        <w:rPr>
          <w:rFonts w:asciiTheme="majorHAnsi" w:eastAsia="Times New Roman" w:hAnsiTheme="majorHAnsi" w:cstheme="majorHAnsi"/>
          <w:lang w:bidi="en-US"/>
        </w:rPr>
        <w:t>Neural Architecture Search with Reinforcement Learning. CoRR abs/1611.0.</w:t>
      </w:r>
    </w:p>
    <w:p w14:paraId="1C9B3F23" w14:textId="77777777" w:rsidR="005044EC" w:rsidRPr="005044EC" w:rsidRDefault="005044EC" w:rsidP="005044EC">
      <w:pPr>
        <w:pStyle w:val="SEGBodyText"/>
        <w:spacing w:before="0" w:beforeAutospacing="0" w:after="0" w:afterAutospacing="0" w:line="240" w:lineRule="auto"/>
        <w:ind w:left="720" w:hanging="720"/>
        <w:rPr>
          <w:rFonts w:asciiTheme="majorHAnsi" w:eastAsia="Times New Roman" w:hAnsiTheme="majorHAnsi" w:cstheme="majorHAnsi"/>
          <w:lang w:bidi="en-US"/>
        </w:rPr>
      </w:pPr>
      <w:r w:rsidRPr="005044EC">
        <w:rPr>
          <w:rFonts w:asciiTheme="majorHAnsi" w:eastAsia="Times New Roman" w:hAnsiTheme="majorHAnsi" w:cstheme="majorHAnsi"/>
          <w:lang w:bidi="en-US"/>
        </w:rPr>
        <w:t>Zoph, B., Vasudevan, V., Shlens, J., Le, Q. V, 2017. Learning Transferable Architectures for Scalable Image Recognition. CoRR abs/1707.0.</w:t>
      </w:r>
    </w:p>
    <w:p w14:paraId="0AD1D8F1" w14:textId="77777777" w:rsidR="00E13ED9" w:rsidRDefault="00E13ED9">
      <w:pPr>
        <w:spacing w:line="240" w:lineRule="auto"/>
        <w:rPr>
          <w:rFonts w:ascii="Times New Roman" w:eastAsiaTheme="minorEastAsia" w:hAnsi="Times New Roman"/>
          <w:lang w:bidi="ar-SA"/>
        </w:rPr>
      </w:pPr>
      <w:r>
        <w:rPr>
          <w:rFonts w:ascii="Times New Roman" w:eastAsiaTheme="minorEastAsia" w:hAnsi="Times New Roman"/>
          <w:lang w:bidi="ar-SA"/>
        </w:rPr>
        <w:br w:type="page"/>
      </w:r>
    </w:p>
    <w:p w14:paraId="2F7C4402" w14:textId="77777777" w:rsidR="00E13ED9" w:rsidRDefault="00E13ED9" w:rsidP="00E13ED9">
      <w:pPr>
        <w:pStyle w:val="Chapter"/>
      </w:pPr>
      <w:bookmarkStart w:id="168" w:name="_Toc26534607"/>
      <w:r w:rsidRPr="000F56FF">
        <w:lastRenderedPageBreak/>
        <w:t xml:space="preserve">Chapter </w:t>
      </w:r>
      <w:r>
        <w:t>4</w:t>
      </w:r>
      <w:r w:rsidRPr="000F56FF">
        <w:t xml:space="preserve">: </w:t>
      </w:r>
      <w:r w:rsidR="00463EE9" w:rsidRPr="00463EE9">
        <w:t>Convolutional neural networks as an aid to biostratigraphy: A test on Late Paleozoic microfossils</w:t>
      </w:r>
      <w:bookmarkEnd w:id="168"/>
    </w:p>
    <w:p w14:paraId="4D49CBE1" w14:textId="77777777" w:rsidR="00E13ED9" w:rsidRPr="00463EE9" w:rsidRDefault="00E13ED9" w:rsidP="00E13ED9">
      <w:r w:rsidRPr="005C205C">
        <w:t>Rafael Pires de Lima</w:t>
      </w:r>
      <w:r w:rsidRPr="005C205C">
        <w:rPr>
          <w:vertAlign w:val="superscript"/>
        </w:rPr>
        <w:t>1,2</w:t>
      </w:r>
      <w:r w:rsidRPr="005C205C">
        <w:t xml:space="preserve">, </w:t>
      </w:r>
      <w:r w:rsidR="00463EE9">
        <w:t>Katie F. Welch</w:t>
      </w:r>
      <w:r w:rsidRPr="005C205C">
        <w:rPr>
          <w:vertAlign w:val="superscript"/>
        </w:rPr>
        <w:t>1</w:t>
      </w:r>
      <w:r w:rsidRPr="005C205C">
        <w:t xml:space="preserve">, </w:t>
      </w:r>
      <w:r w:rsidR="00463EE9">
        <w:t>James E. Barrick</w:t>
      </w:r>
      <w:r w:rsidR="00463EE9">
        <w:rPr>
          <w:vertAlign w:val="superscript"/>
        </w:rPr>
        <w:t>3</w:t>
      </w:r>
      <w:r w:rsidRPr="005C205C">
        <w:t xml:space="preserve">, </w:t>
      </w:r>
      <w:r w:rsidR="00463EE9">
        <w:t xml:space="preserve">Kurt </w:t>
      </w:r>
      <w:r>
        <w:t xml:space="preserve">J. </w:t>
      </w:r>
      <w:r w:rsidR="00463EE9">
        <w:t>Marfurt</w:t>
      </w:r>
      <w:r>
        <w:rPr>
          <w:vertAlign w:val="superscript"/>
        </w:rPr>
        <w:t>1</w:t>
      </w:r>
      <w:r w:rsidR="00463EE9">
        <w:t xml:space="preserve">, </w:t>
      </w:r>
      <w:r w:rsidR="00EE1E3C">
        <w:t>Gerilyn S. Soreghan</w:t>
      </w:r>
      <w:r w:rsidR="00EE1E3C">
        <w:rPr>
          <w:vertAlign w:val="superscript"/>
        </w:rPr>
        <w:t>1</w:t>
      </w:r>
      <w:r w:rsidR="00EE1E3C" w:rsidRPr="005C205C">
        <w:t xml:space="preserve">, </w:t>
      </w:r>
      <w:r w:rsidR="00EE1E3C">
        <w:t>Roger Burkhalter</w:t>
      </w:r>
      <w:r w:rsidR="00EE1E3C">
        <w:rPr>
          <w:vertAlign w:val="superscript"/>
        </w:rPr>
        <w:t>4</w:t>
      </w:r>
      <w:r w:rsidR="00EE1E3C" w:rsidRPr="005C205C">
        <w:t xml:space="preserve">, </w:t>
      </w:r>
      <w:r w:rsidR="00EE1E3C">
        <w:t>Murphy Cassel</w:t>
      </w:r>
      <w:r w:rsidR="00EE1E3C">
        <w:rPr>
          <w:vertAlign w:val="superscript"/>
        </w:rPr>
        <w:t>5</w:t>
      </w:r>
    </w:p>
    <w:p w14:paraId="231F57B3" w14:textId="77777777" w:rsidR="00E13ED9" w:rsidRDefault="00E13ED9" w:rsidP="00E13ED9">
      <w:r w:rsidRPr="005C205C">
        <w:rPr>
          <w:vertAlign w:val="superscript"/>
        </w:rPr>
        <w:t>1</w:t>
      </w:r>
      <w:r w:rsidRPr="005C205C">
        <w:t>School of Geology and Geophysics, The University of Oklahoma, 100 East Boyd Street, RM 710, Norman, Oklahoma, 73019, USA</w:t>
      </w:r>
    </w:p>
    <w:p w14:paraId="04742328" w14:textId="77777777" w:rsidR="00E13ED9" w:rsidRDefault="00E13ED9" w:rsidP="00E13ED9">
      <w:r w:rsidRPr="005C205C">
        <w:rPr>
          <w:vertAlign w:val="superscript"/>
        </w:rPr>
        <w:t>2</w:t>
      </w:r>
      <w:r w:rsidRPr="005C205C">
        <w:t>The Geological Survey of Brazil – CPRM, 55 Rua Costa, São Paulo, São Paulo, Brazil</w:t>
      </w:r>
    </w:p>
    <w:p w14:paraId="767560B0" w14:textId="77777777" w:rsidR="00E13ED9" w:rsidRDefault="00E13ED9" w:rsidP="00E13ED9">
      <w:r w:rsidRPr="005C205C">
        <w:rPr>
          <w:vertAlign w:val="superscript"/>
        </w:rPr>
        <w:t>3</w:t>
      </w:r>
      <w:r w:rsidR="00EE1E3C" w:rsidRPr="00EE1E3C">
        <w:t>Department of Geosciences, Mail Stop 1053, Texas Tech University, Lubbock, Texas, 79409, USA</w:t>
      </w:r>
    </w:p>
    <w:p w14:paraId="100B31C2" w14:textId="77777777" w:rsidR="00EE1E3C" w:rsidRDefault="00EE1E3C" w:rsidP="00EE1E3C">
      <w:r>
        <w:rPr>
          <w:vertAlign w:val="superscript"/>
        </w:rPr>
        <w:t>4</w:t>
      </w:r>
      <w:r w:rsidRPr="00EE1E3C">
        <w:t>Sam Nobel Museum, The University of Oklahoma, 2401 Chautauqua Ave., Norman, Oklahoma, 73072, USA</w:t>
      </w:r>
    </w:p>
    <w:p w14:paraId="18808FA8" w14:textId="77777777" w:rsidR="00EE1E3C" w:rsidRDefault="00EE1E3C" w:rsidP="00EE1E3C">
      <w:r>
        <w:rPr>
          <w:vertAlign w:val="superscript"/>
        </w:rPr>
        <w:t>5</w:t>
      </w:r>
      <w:r w:rsidRPr="00EE1E3C">
        <w:t>Halliburton, 14206 Maranta Estates court, Cypress, Texas, 77429, USA</w:t>
      </w:r>
    </w:p>
    <w:p w14:paraId="1713F201" w14:textId="77777777" w:rsidR="00EE1E3C" w:rsidRDefault="00EE1E3C" w:rsidP="00E13ED9"/>
    <w:p w14:paraId="7337DF43" w14:textId="48815ACA" w:rsidR="00E13ED9" w:rsidRDefault="00E13ED9" w:rsidP="004F4884">
      <w:pPr>
        <w:pStyle w:val="Heading2"/>
      </w:pPr>
      <w:bookmarkStart w:id="169" w:name="_Toc26534608"/>
      <w:r>
        <w:t>Preface</w:t>
      </w:r>
      <w:bookmarkEnd w:id="169"/>
    </w:p>
    <w:p w14:paraId="417CF172" w14:textId="77777777" w:rsidR="004713B9" w:rsidRDefault="00E13ED9" w:rsidP="005A6984">
      <w:r>
        <w:t xml:space="preserve">This chapter </w:t>
      </w:r>
      <w:r w:rsidR="005A6984">
        <w:t xml:space="preserve">was reworked and </w:t>
      </w:r>
      <w:r w:rsidR="00AE6F78">
        <w:t xml:space="preserve">is presented here as and it was when </w:t>
      </w:r>
      <w:r w:rsidR="005A6984">
        <w:t xml:space="preserve">resubmitted for publication in a sedimentary geology journal. </w:t>
      </w:r>
      <w:r w:rsidR="00AE6F78">
        <w:t xml:space="preserve">This study was originated by a questioning from Dr. Lynn Soreghan during Murphy Cassel’s Master’s Thesis defense about fossil attributes. High quality thin-sections of Fusulinid specimens are hard to obtain and can provide invaluable information </w:t>
      </w:r>
      <w:r w:rsidR="004713B9">
        <w:t xml:space="preserve">that can be used for dating through biostratigraphy as well as </w:t>
      </w:r>
      <w:r w:rsidR="004713B9" w:rsidRPr="004713B9">
        <w:t>paleoenvironmental conditions</w:t>
      </w:r>
      <w:r w:rsidR="004713B9">
        <w:t xml:space="preserve">, yet access to experts to experts can lead to an overlook of such microfossils. The results presented in this chapter show that convolutional neural networks can be used to classify Fusulinid thin-sections. </w:t>
      </w:r>
    </w:p>
    <w:p w14:paraId="71476FAA" w14:textId="77777777" w:rsidR="004713B9" w:rsidRDefault="004713B9">
      <w:pPr>
        <w:spacing w:line="240" w:lineRule="auto"/>
      </w:pPr>
      <w:r>
        <w:br w:type="page"/>
      </w:r>
    </w:p>
    <w:p w14:paraId="5C93B103" w14:textId="77777777" w:rsidR="004713B9" w:rsidRPr="00E84541" w:rsidRDefault="004713B9" w:rsidP="004F4884">
      <w:pPr>
        <w:pStyle w:val="Heading2"/>
      </w:pPr>
      <w:bookmarkStart w:id="170" w:name="_Toc26534609"/>
      <w:r>
        <w:lastRenderedPageBreak/>
        <w:t>Abstract</w:t>
      </w:r>
      <w:bookmarkEnd w:id="170"/>
    </w:p>
    <w:p w14:paraId="28FA9B6E" w14:textId="77777777" w:rsidR="004713B9" w:rsidRPr="00E84541" w:rsidRDefault="0053410A" w:rsidP="004713B9">
      <w:pPr>
        <w:pStyle w:val="Abstract"/>
        <w:spacing w:line="480" w:lineRule="auto"/>
      </w:pPr>
      <w:r w:rsidRPr="0053410A">
        <w:t>Accurate taxonomic classification of microfossils in thin-sections is an important biostratigraphic procedure. As paleontological expertise is often restricted to specific taxonomic groups and experts are not present in all institutions, geoscience researchers often suffer from lack of quick access to critical taxonomic knowledge for biostratigraphic analyses. Moreover, diminishing emphasis on education and training in systematics poses a major challenge for the future of biostratigraphy and on associated endeavors reliant on systematics. Here we present a machine learning approach to classify and organize fusulinids—microscopic index fossils for the Late Paleozoic. The technique we employ has the potential to use such important taxonomic knowledge in models that can be applied to recognize and categorize fossil specimens. Our results demonstrate that, given adequate images and training, convolutional neural network models can correctly identify fusulinids with high levels of accuracy. Continued efforts in digitization of biological and paleontological collections at numerous museums and adoption of machine learning by paleontologists can enable the development of highly accurate and easy-to-use classification tools and, thus, facilitate biostratigraphic analyses by non-experts as well as allow for cross-validation of disparate collections around the world.</w:t>
      </w:r>
      <w:r w:rsidR="004713B9" w:rsidRPr="00E84541">
        <w:t xml:space="preserve"> </w:t>
      </w:r>
    </w:p>
    <w:p w14:paraId="31298E8C" w14:textId="77777777" w:rsidR="004713B9" w:rsidRPr="00E84541" w:rsidRDefault="004713B9" w:rsidP="004F4884">
      <w:pPr>
        <w:pStyle w:val="Heading2"/>
      </w:pPr>
      <w:bookmarkStart w:id="171" w:name="_Toc26534610"/>
      <w:r>
        <w:t>Plain Language Summary</w:t>
      </w:r>
      <w:bookmarkEnd w:id="171"/>
    </w:p>
    <w:p w14:paraId="224E648E" w14:textId="77777777" w:rsidR="004713B9" w:rsidRPr="0053410A" w:rsidRDefault="0053410A" w:rsidP="0053410A">
      <w:pPr>
        <w:pStyle w:val="Abstract"/>
        <w:spacing w:line="480" w:lineRule="auto"/>
      </w:pPr>
      <w:r w:rsidRPr="0053410A">
        <w:t>This research focuses on the applications of convolutional neural networks (CNN) as a means to facilitate fossil classification. CNN is an artificial neural network architecture commonly used for image classification tasks. By using test-case thin-sections of fusulinids we found that CNN can categorize images of fossilized specimens with a high level of accuracy.  We present one of the few applications of CNN using bisected fossil specimens identified specifically through 2D thin-sections to perform genus and species identification.</w:t>
      </w:r>
    </w:p>
    <w:p w14:paraId="3474714E" w14:textId="77777777" w:rsidR="004713B9" w:rsidRPr="00E84541" w:rsidRDefault="004713B9" w:rsidP="004F4884">
      <w:pPr>
        <w:pStyle w:val="Heading2"/>
      </w:pPr>
      <w:r w:rsidRPr="00E84541">
        <w:br w:type="page"/>
      </w:r>
      <w:bookmarkStart w:id="172" w:name="_Toc26534611"/>
      <w:r>
        <w:lastRenderedPageBreak/>
        <w:t>Introduction</w:t>
      </w:r>
      <w:bookmarkEnd w:id="172"/>
    </w:p>
    <w:p w14:paraId="722B8F61" w14:textId="571ACF24" w:rsidR="0053410A" w:rsidRPr="00E84541" w:rsidRDefault="0053410A" w:rsidP="0053410A">
      <w:pPr>
        <w:ind w:firstLine="720"/>
      </w:pPr>
      <w:r w:rsidRPr="00E84541">
        <w:t>Biostratigraphy is a critical approach for dating and correlating sedimentary successions, particularly given the common absence of material appropriate for radioisotopic dating of sedimentary strata.  Biostratigraphy hinges on detailed analysis of extracted fossils, or thin-sections of fossils</w:t>
      </w:r>
      <w:r>
        <w:t>,</w:t>
      </w:r>
      <w:r w:rsidRPr="00E84541">
        <w:t xml:space="preserve"> to identify specimens to the genus and species levels. In addition to their utility for dating, fossil assemblages shed light on paleoenvironmental conditions; foraminiferal assemblages, for example, can yield information critical for reconstructing histories of paleoclimatic and </w:t>
      </w:r>
      <w:r w:rsidR="000E191D" w:rsidRPr="00E84541">
        <w:t>palaeoceanographic</w:t>
      </w:r>
      <w:r w:rsidRPr="00E84541">
        <w:t xml:space="preserve"> conditions </w:t>
      </w:r>
      <w:r w:rsidRPr="00E84541">
        <w:rPr>
          <w:rStyle w:val="FootnoteReference"/>
        </w:rPr>
        <w:fldChar w:fldCharType="begin" w:fldLock="1"/>
      </w:r>
      <w:r w:rsidRPr="00E84541">
        <w:instrText>ADDIN CSL_CITATION {"citationItems":[{"id":"ITEM-1","itemData":{"DOI":"10.2307/3515075","ISSN":"08831351","abstract":"Foraminifera commonly dominate ocean-floor eukaryotic communities. They also are the most abundant benthic organisms to be preserved in the post-Paleozoic deep-sea fossil record. Living faunas contain numerous delicate, soft-bodied agglutinated forms which have virtually no fossilization potential, whereas fossil faunas usually consist of calcareous and more robust agglutinated taxa. Recent observations have emphasized the important, often active role that foraminifera play in the dynamics and structuring of deep-sea benthic ecosystems. Foraminiferal abundances are closely linked to levels of organic matter input, and to dissolved oxygen concentrations in the near-bottom water which, in part, are related inversely to the magnitude of organic fluxes. Food and oxygen requirements also control the microhabitat preferences of species, which are reflected in their test morphology. Thus, the abundance of modern species, species assemblages, and test morphotypes can be related to regional organic carbon inputs and oxygen concentrations. Specific assemblages are often associated with particular kinds of input (for example, phytodetrital pulses) or with low-oxygen settings. These biological observations have applications in paleoceanography. Quaternary and Neogene faunas contain many extant species, preserving an environmental signal that can be interpreted by analogy with modern assemblages. In older sediments, which contain few extant species, morphotype analysis provides a useful approach. Autecological observations on living calcareous species also provide the basis for interpreting the stable carbon isotope record. Further research and collaborative interactions between biologists and geologists should help to improve understanding of the paleoceanographic record.","author":[{"dropping-particle":"","family":"Gooday","given":"Andrew J.","non-dropping-particle":"","parse-names":false,"suffix":""}],"container-title":"PALAIOS","id":"ITEM-1","issue":"1","issued":{"date-parts":[["1994","2"]]},"page":"14","publisher":"SEPM Society for Sedimentary Geology","title":"The Biology of Deep-Sea Foraminifera: A Review of Some Advances and Their Applications in Paleoceanography","type":"article-journal","volume":"9"},"uris":["http://www.mendeley.com/documents/?uuid=20986224-c82f-3685-9449-8e4743501a88"]},{"id":"ITEM-2","itemData":{"DOI":"10.1016/S0377-8398(02)00117-2","ISSN":"0377-8398","abstract":"The response of the Earth’s biota to global change is of fundamental interest to paleontologists, but patterns of change in paleontologic data are also of interest to a wider spectrum of Earth scientists in that those patterns are of great significance in constraining hypotheses that attempt to explain physical changes in the Earth’s environment. The Cretaceous–Tertiary (K–T) boundary is a case in point. Some paleontologists have criticized the bolide impact hypothesis, not because they deny the impact but because the proposed effects of that impact do not always conform to the available paleontological data. Benthic foraminifera are of particular interest in this context because it has been suggested for over 20 years that shallow-water benthic foraminifera were affected more severely than deep-water benthic foraminifera by events at the K–T boundary. This observation adds to the fact of planktonic foraminiferal extinction and indicates that K–T boundary environmental effects were largely restricted to shallow waters. In this paper I review all published works on smaller benthic foraminifera at the K–T boundary and conclude the following. (1) Shallow-water benthic foraminifera were not more severely affected than deeper dwelling species. True extinction, as opposed to local extinction and/or mass mortality, is generally quite low no matter what the water depth. (2) The data are not sufficient in quality, quantity and geographic range to conclude that there is a latitudinal pattern of extinction. (3) In general, biotic changes (such as they are) begin before the boundary in shallow and intermediate depth waters and at the boundary in deep water. Disagreements about the placement of the boundary and the presence, absence and duration of hiatuses hinder more precise conclusions. (4) There appears to be preferential survivorship of epifaunal species into the early Danian with a short interval dominated by infaunal taxa in the earliest Danian. This pattern can best be explained by short-lived input of increased amounts of organic matter at the boundary followed by a sudden collapse of primary productivity and, hence, major reduction or cessation of organic flux to the seafloor. In summary, based on the current dataset, smaller benthic foraminifera, no matter whether they lived in shallow or deep waters, high or low latitudes, or infaunal or epifaunal microhabitats, survived the environmental events across the K–T boundary quite well. Mass extinction does no…","author":[{"dropping-particle":"","family":"Culver","given":"Stephen J","non-dropping-particle":"","parse-names":false,"suffix":""}],"container-title":"Marine Micropaleontology","id":"ITEM-2","issue":"3-4","issued":{"date-parts":[["2003","3","1"]]},"page":"177-226","publisher":"Elsevier","title":"Benthic foraminifera across the Cretaceous–Tertiary (K–T) boundary: a review","type":"article-journal","volume":"47"},"uris":["http://www.mendeley.com/documents/?uuid=da848ba3-e42a-3de8-b71b-9d29eff811e6"]},{"id":"ITEM-3","itemData":{"DOI":"https://doi.org/10.1016/S1572-5480(07)01011-1","ISSN":"1572-5480","abstract":"Publisher Summary\nThis chapter focuses on the planktonic foraminifera as tracers of past oceanic environments. Paleoceanography has always been closely connected with the study of planktonic foraminifera. The prolific production and excellent preservation of foraminiferal fossils in oceanic sediments has produced probably the best fossil record on Earth, providing unparalleled archives of morphological change, faunal variations, and habitat characteristics. Planktonic foraminifera are the most common source of paleoceanographic proxies, be it through the properties of their fossil assemblages or as a substrate for extraction of geochemical signals. The steady rain of foraminiferal shells is responsible for the deposition of a large portion of deep-sea biogenic carbonate. Stable isotopic signals extracted from planktonic foraminifera soon became a standard tool for the recognition of glacial cycles and eventually facilitated the recognition of orbital pacing of the ice-ages. The chemical composition of foraminiferal calcite proved to be a fertile ground for the development of proxies. The chapter highlights the most common and most promising foraminiferal proxies and puts them in the context of modern biological knowledge.","author":[{"dropping-particle":"","family":"Kucera","given":"Michal","non-dropping-particle":"","parse-names":false,"suffix":""}],"collection-title":"Developments in Marine Geology","container-title":"Proxies in Late Cenozoic Paleoceanography","editor":[{"dropping-particle":"","family":"Hillaire–Marcel","given":"Claude","non-dropping-particle":"","parse-names":false,"suffix":""},{"dropping-particle":"De","family":"Vernal","given":"Anne","non-dropping-particle":"","parse-names":false,"suffix":""}],"id":"ITEM-3","issued":{"date-parts":[["2007"]]},"page":"213-262","publisher":"Elsevier","title":"Chapter Six Planktonic Foraminifera as Tracers of Past Oceanic Environments","type":"chapter","volume":"1"},"uris":["http://www.mendeley.com/documents/?uuid=116e4844-fea8-4c75-93cc-37f0c87e3a77"]},{"id":"ITEM-4","itemData":{"DOI":"10.1016/J.GSF.2015.03.005","ISSN":"1674-9871","abstract":"The Asmari Formation is a predominantly carbonate lithostratigraphic unit that outcrops in the Zagros Basin. Micropaleontological studies of the Asmari Formation in the Dehdasht area led to the identification of 51 species of foraminifera taxa. Among the foraminifera, Nummulites cf. vascus, Operculin sp., Operculina complanata, Eulepidina dilatata, Eulepidina elephantine, Ditrupa sp., Miogypsina sp., Elphidium sp. 14, and Borelis melo curdica are the most important. The Lepidocyclina-Operculina-Ditrupa assemblage zone represents the Rupelian–Chattian age. The Aquitanian age is also defined by co-occurrence of Miogypsina sp. and Elphidium sp. 14, and finally, the first occurrence of Borelis melo curdica represents the Burdigalian. Based on faunal assemblages, the following paleoenvironmental settings are determined for the deposition of the study section: (1) the deep, offshore settings in the aphotic zone dominated by pelagic and small benthic foraminifera; (2) the low energy, turbid and low light parts of the oligophotic zone characterized by large and flat lepidocyclinids (Eulepidina) and Nummulitidae; (3) the low turbidity, deeper part of the inner ramp dominated by Miogypsinoides, Neorotalia, Lepidocyclina, Operculina and Archias; (4) the shallow, marginal marine environment exposed to salinity fluctuations (short-term salinity fluctuations or fully marine conditions) dominated by small benthic Foraminifera (Ammonia and Elphidium); (5) highly translucent, shallowest part of the inner ramp dominated by representatives of Borelis, Meandropsina and Peneroplis. The biotic assemblages represent warm tropical waters with oligotrophic to slightly mesotrophic conditions.","author":[{"dropping-particle":"","family":"Roozpeykar","given":"Asghar","non-dropping-particle":"","parse-names":false,"suffix":""},{"dropping-particle":"","family":"Moghaddam","given":"Iraj Maghfouri","non-dropping-particle":"","parse-names":false,"suffix":""}],"container-title":"Geoscience Frontiers","id":"ITEM-4","issue":"1","issued":{"date-parts":[["2016","1","1"]]},"page":"125-140","publisher":"Elsevier","title":"Benthic foraminifera as biostratigraphical and paleoecological indicators: An example from Oligo-Miocene deposits in the SW of Zagros basin, Iran","type":"article-journal","volume":"7"},"uris":["http://www.mendeley.com/documents/?uuid=525e98b4-86cf-3f00-8229-8c19d326e168"]}],"mendeley":{"formattedCitation":"(Gooday 1994; Culver 2003; Kucera 2007; Roozpeykar and Moghaddam 2016)","manualFormatting":"(e.g., Gooday, 1994; Culver, 2003; Kucera, 2007; Roozpeykar and Moghaddam, 2016)","plainTextFormattedCitation":"(Gooday 1994; Culver 2003; Kucera 2007; Roozpeykar and Moghaddam 2016)","previouslyFormattedCitation":"(Gooday 1994; Culver 2003; Kucera 2007; Roozpeykar and Moghaddam 2016)"},"properties":{"noteIndex":0},"schema":"https://github.com/citation-style-language/schema/raw/master/csl-citation.json"}</w:instrText>
      </w:r>
      <w:r w:rsidRPr="00E84541">
        <w:rPr>
          <w:rStyle w:val="FootnoteReference"/>
        </w:rPr>
        <w:fldChar w:fldCharType="separate"/>
      </w:r>
      <w:r w:rsidRPr="00E84541">
        <w:rPr>
          <w:noProof/>
        </w:rPr>
        <w:t>(e.g., Gooday, 1994; Culver, 2003; Kucera, 2007; Roozpeykar and Moghaddam, 2016)</w:t>
      </w:r>
      <w:r w:rsidRPr="00E84541">
        <w:rPr>
          <w:rStyle w:val="FootnoteReference"/>
        </w:rPr>
        <w:fldChar w:fldCharType="end"/>
      </w:r>
      <w:r w:rsidRPr="00E84541">
        <w:t xml:space="preserve">. Commonly, biostratigraphy relies on species-level identification of well-established microfossil groups such as foraminifera, conodonts, and palynomorphs. The complex morphology of fossil organisms has required the use of specialists for reliable and correct systematics, especially for </w:t>
      </w:r>
      <w:r>
        <w:t>the generation of</w:t>
      </w:r>
      <w:r w:rsidRPr="00E84541">
        <w:t xml:space="preserve"> detailed and accurate biostratigraphic correlation. Unfortunately, education and training in the identification of fossil taxa is diminishing, greatly crippling future capacity in this area </w:t>
      </w:r>
      <w:r w:rsidRPr="00E84541">
        <w:rPr>
          <w:rStyle w:val="FootnoteReference"/>
        </w:rPr>
        <w:fldChar w:fldCharType="begin" w:fldLock="1"/>
      </w:r>
      <w:r w:rsidRPr="00E84541">
        <w:instrText>ADDIN CSL_CITATION {"citationItems":[{"id":"ITEM-1","itemData":{"author":[{"dropping-particle":"","family":"Farley","given":"Martin B.","non-dropping-particle":"","parse-names":false,"suffix":""},{"dropping-particle":"","family":"Armentrout","given":"John M.","non-dropping-particle":"","parse-names":false,"suffix":""}],"container-title":"Geotimes","id":"ITEM-1","issued":{"date-parts":[["2000","10"]]},"page":"14-17","title":"Fossils in the Oil Patch","type":"article-magazine"},"uris":["http://www.mendeley.com/documents/?uuid=1a457f40-9cab-4b00-97bc-8f6683824046"]},{"id":"ITEM-2","itemData":{"author":[{"dropping-particle":"","family":"Farley","given":"Martin B.","non-dropping-particle":"","parse-names":false,"suffix":""},{"dropping-particle":"","family":"Armentrout","given":"John M.","non-dropping-particle":"","parse-names":false,"suffix":""}],"container-title":"Offshore","id":"ITEM-2","issued":{"date-parts":[["2002","1"]]},"page":"94-95","title":"Tools, Biostratigraphy becoming lost art in rush to find new exploration","type":"article-magazine"},"uris":["http://www.mendeley.com/documents/?uuid=8a45c52e-159d-4b63-92dd-cff9b0bc3b2b"]}],"mendeley":{"formattedCitation":"(Farley and Armentrout 2000, 2002)","plainTextFormattedCitation":"(Farley and Armentrout 2000, 2002)","previouslyFormattedCitation":"(Farley and Armentrout 2000, 2002)"},"properties":{"noteIndex":0},"schema":"https://github.com/citation-style-language/schema/raw/master/csl-citation.json"}</w:instrText>
      </w:r>
      <w:r w:rsidRPr="00E84541">
        <w:rPr>
          <w:rStyle w:val="FootnoteReference"/>
        </w:rPr>
        <w:fldChar w:fldCharType="separate"/>
      </w:r>
      <w:r w:rsidRPr="00E84541">
        <w:rPr>
          <w:noProof/>
        </w:rPr>
        <w:t>(Farley and Armentrout</w:t>
      </w:r>
      <w:r>
        <w:rPr>
          <w:noProof/>
        </w:rPr>
        <w:t>,</w:t>
      </w:r>
      <w:r w:rsidRPr="00E84541">
        <w:rPr>
          <w:noProof/>
        </w:rPr>
        <w:t xml:space="preserve"> 2000, 2002)</w:t>
      </w:r>
      <w:r w:rsidRPr="00E84541">
        <w:rPr>
          <w:rStyle w:val="FootnoteReference"/>
        </w:rPr>
        <w:fldChar w:fldCharType="end"/>
      </w:r>
      <w:r w:rsidRPr="00E84541">
        <w:t xml:space="preserve">. </w:t>
      </w:r>
    </w:p>
    <w:p w14:paraId="0C287879" w14:textId="77777777" w:rsidR="0053410A" w:rsidRPr="00E84541" w:rsidRDefault="0053410A" w:rsidP="0053410A">
      <w:pPr>
        <w:ind w:firstLine="720"/>
      </w:pPr>
      <w:r w:rsidRPr="00E84541">
        <w:t>Although the largest investment of resources</w:t>
      </w:r>
      <w:r>
        <w:t xml:space="preserve">, </w:t>
      </w:r>
      <w:r w:rsidRPr="00E84541">
        <w:t>both time and financial</w:t>
      </w:r>
      <w:r>
        <w:t>,</w:t>
      </w:r>
      <w:r w:rsidRPr="00E84541">
        <w:t xml:space="preserve"> for biostratigraphic studies may be for data acquisition and sample preparation, not every institution has the necessary expert to make accurate species-level identification for biostratigraphic analyses. Both old and new paleontological collections </w:t>
      </w:r>
      <w:r>
        <w:t>of</w:t>
      </w:r>
      <w:r w:rsidRPr="00E84541">
        <w:t xml:space="preserve"> significant biostratigraphic value may be </w:t>
      </w:r>
      <w:r>
        <w:t xml:space="preserve">overlooked or </w:t>
      </w:r>
      <w:r w:rsidRPr="00E84541">
        <w:t xml:space="preserve">ignored because no one is available to perform the necessary taxonomic identifications. Because of this paucity of experts, a procedure is needed that can help facilitate the access of existing taxonomic knowledge to a broader audience. If a tool with reliable accuracy can be used </w:t>
      </w:r>
      <w:r w:rsidRPr="00E84541">
        <w:lastRenderedPageBreak/>
        <w:t>to identify different taxonomic groups, a wider range of geoscientists</w:t>
      </w:r>
      <w:r>
        <w:t xml:space="preserve"> </w:t>
      </w:r>
      <w:r w:rsidRPr="00E84541">
        <w:t>can rely on years of accumulated, but difficult-to-access</w:t>
      </w:r>
      <w:r>
        <w:t>,</w:t>
      </w:r>
      <w:r w:rsidRPr="00E84541">
        <w:t xml:space="preserve"> paleontological knowledge. </w:t>
      </w:r>
    </w:p>
    <w:p w14:paraId="07A273BB" w14:textId="77777777" w:rsidR="0053410A" w:rsidRPr="00E84541" w:rsidRDefault="0053410A" w:rsidP="0053410A">
      <w:pPr>
        <w:ind w:firstLine="720"/>
      </w:pPr>
      <w:r w:rsidRPr="00E84541">
        <w:t xml:space="preserve">The ongoing revolution in big data and </w:t>
      </w:r>
      <w:r>
        <w:t xml:space="preserve">statistical analysis </w:t>
      </w:r>
      <w:r w:rsidRPr="00E84541">
        <w:t xml:space="preserve">is enabling the possibility of </w:t>
      </w:r>
      <w:r>
        <w:t xml:space="preserve">accelerating and standardizing </w:t>
      </w:r>
      <w:r w:rsidRPr="00E84541">
        <w:t xml:space="preserve">fossil characterization and identification with machine learning techniques. In deep learning, </w:t>
      </w:r>
      <w:r>
        <w:t>machine learning</w:t>
      </w:r>
      <w:r w:rsidRPr="00E84541">
        <w:t xml:space="preserve"> models consist</w:t>
      </w:r>
      <w:r>
        <w:t>ing</w:t>
      </w:r>
      <w:r w:rsidRPr="00E84541">
        <w:t xml:space="preserve"> of </w:t>
      </w:r>
      <w:r>
        <w:t xml:space="preserve">more than one artificial neural network </w:t>
      </w:r>
      <w:r w:rsidRPr="00E84541">
        <w:t>layer</w:t>
      </w:r>
      <w:r>
        <w:t xml:space="preserve">, have the ability to </w:t>
      </w:r>
      <w:r w:rsidRPr="00E84541">
        <w:t xml:space="preserve">learn representations of data with different levels of abstraction </w:t>
      </w:r>
      <w:r w:rsidRPr="00E84541">
        <w:rPr>
          <w:rStyle w:val="FootnoteReference"/>
        </w:rPr>
        <w:fldChar w:fldCharType="begin" w:fldLock="1"/>
      </w:r>
      <w:r w:rsidRPr="00E84541">
        <w:instrText>ADDIN CSL_CITATION {"citationItems":[{"id":"ITEM-1","itemData":{"DOI":"10.1038/nature14539","ISSN":"0028-0836","abstract":"Deep learning","author":[{"dropping-particle":"","family":"LeCun","given":"Yann","non-dropping-particle":"","parse-names":false,"suffix":""},{"dropping-particle":"","family":"Bengio","given":"Yoshua","non-dropping-particle":"","parse-names":false,"suffix":""},{"dropping-particle":"","family":"Hinton","given":"Geoffrey","non-dropping-particle":"","parse-names":false,"suffix":""}],"container-title":"Nature","id":"ITEM-1","issue":"7553","issued":{"date-parts":[["2015","5","28"]]},"page":"436-444","publisher":"Nature Publishing Group","title":"Deep learning","type":"article-journal","volume":"521"},"uris":["http://www.mendeley.com/documents/?uuid=0649e55b-84c4-3d3a-a37b-adcdaa740493"]}],"mendeley":{"formattedCitation":"(LeCun et al. 2015)","plainTextFormattedCitation":"(LeCun et al. 2015)","previouslyFormattedCitation":"(LeCun et al. 2015)"},"properties":{"noteIndex":0},"schema":"https://github.com/citation-style-language/schema/raw/master/csl-citation.json"}</w:instrText>
      </w:r>
      <w:r w:rsidRPr="00E84541">
        <w:rPr>
          <w:rStyle w:val="FootnoteReference"/>
        </w:rPr>
        <w:fldChar w:fldCharType="separate"/>
      </w:r>
      <w:r w:rsidRPr="00E84541">
        <w:rPr>
          <w:bCs/>
          <w:noProof/>
        </w:rPr>
        <w:t>(LeCun et al. 2015)</w:t>
      </w:r>
      <w:r w:rsidRPr="00E84541">
        <w:rPr>
          <w:rStyle w:val="FootnoteReference"/>
        </w:rPr>
        <w:fldChar w:fldCharType="end"/>
      </w:r>
      <w:r w:rsidRPr="00E84541">
        <w:t>. Recent advances in the architecture of deep</w:t>
      </w:r>
      <w:r>
        <w:t xml:space="preserve"> </w:t>
      </w:r>
      <w:r w:rsidRPr="00E84541">
        <w:t xml:space="preserve">learning convolutional neural networks (CNN) have greatly improved the fields of image classification and computer vision. </w:t>
      </w:r>
      <w:r w:rsidRPr="00E84541">
        <w:rPr>
          <w:noProof/>
        </w:rPr>
        <w:t>LeCun et al. (2015) provided details on deep learning and show</w:t>
      </w:r>
      <w:r>
        <w:rPr>
          <w:noProof/>
        </w:rPr>
        <w:t>ed</w:t>
      </w:r>
      <w:r w:rsidRPr="00E84541">
        <w:rPr>
          <w:noProof/>
        </w:rPr>
        <w:t xml:space="preserve"> some of the breakthoughs achieved by </w:t>
      </w:r>
      <w:r>
        <w:rPr>
          <w:noProof/>
        </w:rPr>
        <w:t xml:space="preserve">such </w:t>
      </w:r>
      <w:r w:rsidRPr="00E84541">
        <w:rPr>
          <w:noProof/>
        </w:rPr>
        <w:t xml:space="preserve">technology. </w:t>
      </w:r>
      <w:r w:rsidRPr="00E84541">
        <w:rPr>
          <w:rStyle w:val="FootnoteReference"/>
          <w:noProof/>
        </w:rPr>
        <w:fldChar w:fldCharType="begin" w:fldLock="1"/>
      </w:r>
      <w:r w:rsidRPr="00E84541">
        <w:rPr>
          <w:noProof/>
        </w:rPr>
        <w:instrText>ADDIN CSL_CITATION {"citationItems":[{"id":"ITEM-1","itemData":{"author":[{"dropping-particle":"","family":"Dumoulin","given":"V","non-dropping-particle":"","parse-names":false,"suffix":""},{"dropping-particle":"","family":"Visin","given":"F","non-dropping-particle":"","parse-names":false,"suffix":""}],"container-title":"ArXiv e-prints","id":"ITEM-1","issued":{"date-parts":[["2016","3"]]},"title":"A guide to convolution arithmetic for deep learning","type":"article-journal"},"uris":["http://www.mendeley.com/documents/?uuid=ca964fad-8eae-4ccf-aa36-0a3d2463c2ff"]}],"mendeley":{"formattedCitation":"(Dumoulin and Visin 2016)","manualFormatting":"Dumoulin and Visin (2016)","plainTextFormattedCitation":"(Dumoulin and Visin 2016)","previouslyFormattedCitation":"(Dumoulin and Visin 2016)"},"properties":{"noteIndex":0},"schema":"https://github.com/citation-style-language/schema/raw/master/csl-citation.json"}</w:instrText>
      </w:r>
      <w:r w:rsidRPr="00E84541">
        <w:rPr>
          <w:rStyle w:val="FootnoteReference"/>
          <w:noProof/>
        </w:rPr>
        <w:fldChar w:fldCharType="separate"/>
      </w:r>
      <w:r w:rsidRPr="00E84541">
        <w:rPr>
          <w:noProof/>
        </w:rPr>
        <w:t>Dumoulin and Visin (2016)</w:t>
      </w:r>
      <w:r w:rsidRPr="00E84541">
        <w:rPr>
          <w:rStyle w:val="FootnoteReference"/>
          <w:noProof/>
        </w:rPr>
        <w:fldChar w:fldCharType="end"/>
      </w:r>
      <w:r w:rsidRPr="00E84541">
        <w:rPr>
          <w:noProof/>
        </w:rPr>
        <w:t xml:space="preserve"> showed details on convolutions and arithmetic for deep learning procedures. </w:t>
      </w:r>
      <w:r w:rsidRPr="00E84541">
        <w:t xml:space="preserve">We provide in the Appendix 1 the </w:t>
      </w:r>
      <w:r>
        <w:t xml:space="preserve">very basics of artificial neural networks </w:t>
      </w:r>
      <w:r w:rsidRPr="00E84541">
        <w:t>and CNN</w:t>
      </w:r>
      <w:r>
        <w:t>s</w:t>
      </w:r>
      <w:r w:rsidRPr="00E84541">
        <w:t xml:space="preserve">. Our material is built on images and examples </w:t>
      </w:r>
      <w:r>
        <w:t xml:space="preserve">to provide </w:t>
      </w:r>
      <w:r w:rsidRPr="00E84541">
        <w:t xml:space="preserve">the reader with </w:t>
      </w:r>
      <w:r>
        <w:t>an intuitive understanding of</w:t>
      </w:r>
      <w:r w:rsidRPr="00E84541">
        <w:t xml:space="preserve"> the mechanics of deep learning and CNNs without delving into </w:t>
      </w:r>
      <w:r>
        <w:t xml:space="preserve">the </w:t>
      </w:r>
      <w:r w:rsidRPr="00E84541">
        <w:t xml:space="preserve">details </w:t>
      </w:r>
      <w:r>
        <w:t xml:space="preserve">of the mathematical </w:t>
      </w:r>
      <w:r w:rsidRPr="00E84541">
        <w:t xml:space="preserve">computations. </w:t>
      </w:r>
    </w:p>
    <w:p w14:paraId="7E3E8221" w14:textId="77777777" w:rsidR="0053410A" w:rsidRPr="00E84541" w:rsidRDefault="0053410A" w:rsidP="0053410A">
      <w:pPr>
        <w:ind w:firstLine="720"/>
      </w:pPr>
      <w:r w:rsidRPr="00E84541">
        <w:t xml:space="preserve">CNN </w:t>
      </w:r>
      <w:r>
        <w:t xml:space="preserve">models </w:t>
      </w:r>
      <w:r w:rsidRPr="00E84541">
        <w:t xml:space="preserve">increase the levels of accuracy in numerous </w:t>
      </w:r>
      <w:r>
        <w:t>image classification tasks</w:t>
      </w:r>
      <w:r w:rsidRPr="00E84541">
        <w:t xml:space="preserve">. For example, current CNN models can differentiate not only the image of a leopard from that of a mite or a container ship (objects with significantly different characteristics), but can differentiate images of leopards from their biological cousins –jaguars, cheetahs and snow leopards (objects with very similar characteristics; e.g. </w:t>
      </w:r>
      <w:r w:rsidRPr="00E84541">
        <w:rPr>
          <w:noProof/>
        </w:rPr>
        <w:t>Krizhevsky et al., 2012</w:t>
      </w:r>
      <w:r w:rsidRPr="00E84541">
        <w:t xml:space="preserve">). </w:t>
      </w:r>
      <w:r w:rsidRPr="00E84541">
        <w:rPr>
          <w:rStyle w:val="FootnoteReference"/>
        </w:rPr>
        <w:fldChar w:fldCharType="begin" w:fldLock="1"/>
      </w:r>
      <w:r w:rsidRPr="00E84541">
        <w:instrText>ADDIN CSL_CITATION {"citationItems":[{"id":"ITEM-1","itemData":{"abstract":"Convolutional networks are at the core of most state-of-the-art computer vision solutions for a wide variety of tasks. Since 2014 very deep convolutional networks started to become mainstream, yielding substantial gains in various benchmarks. Although increased model size and computational cost tend to translate to immediate quality gains for most tasks (as long as enough labeled data is provided for training), computational efficiency and low parameter count are still enabling factors for various use cases such as mobile vision and big-data scenarios. Here we explore ways to scale up networks in ways that aim at utilizing the added computation as efficiently as possible by suitably factorized convolutions and aggressive regularization. We benchmark our methods on the ILSVRC 2012 classification challenge validation set demonstrate substantial gains over the state of the art: 21.2% top-1 and 5.6% top-5 error for single frame evaluation using a network with a computational cost of 5 billion multiply-adds per inference and with using less than 25 million parameters. With an ensemble of 4 models and multi-crop evaluation, we report 3.5% top-5 error on the validation set (3.6% error on the test set) and 17.3% top-1 error on the validation set.","author":[{"dropping-particle":"","family":"Szegedy","given":"Christian","non-dropping-particle":"","parse-names":false,"suffix":""},{"dropping-particle":"","family":"Vanhoucke","given":"Vincent","non-dropping-particle":"","parse-names":false,"suffix":""},{"dropping-particle":"","family":"Ioffe","given":"Sergey","non-dropping-particle":"","parse-names":false,"suffix":""},{"dropping-particle":"","family":"Shlens","given":"Jonathon","non-dropping-particle":"","parse-names":false,"suffix":""},{"dropping-particle":"","family":"Wojna","given":"Zbigniew","non-dropping-particle":"","parse-names":false,"suffix":""}],"container-title":"CoRR","id":"ITEM-1","issued":{"date-parts":[["2015","12","1"]]},"title":"Rethinking the Inception Architecture for Computer Vision","type":"article-journal","volume":"abs/1512.0"},"uris":["http://www.mendeley.com/documents/?uuid=25784f6b-8556-3850-b942-4b92eefba7a6"]}],"mendeley":{"formattedCitation":"(Szegedy et al. 2015)","manualFormatting":"Szegedy et al.","plainTextFormattedCitation":"(Szegedy et al. 2015)","previouslyFormattedCitation":"(Szegedy et al. 2015)"},"properties":{"noteIndex":0},"schema":"https://github.com/citation-style-language/schema/raw/master/csl-citation.json"}</w:instrText>
      </w:r>
      <w:r w:rsidRPr="00E84541">
        <w:rPr>
          <w:rStyle w:val="FootnoteReference"/>
        </w:rPr>
        <w:fldChar w:fldCharType="separate"/>
      </w:r>
      <w:r w:rsidRPr="00E84541">
        <w:rPr>
          <w:noProof/>
        </w:rPr>
        <w:t>Szegedy et al.</w:t>
      </w:r>
      <w:r w:rsidRPr="00E84541">
        <w:rPr>
          <w:rStyle w:val="FootnoteReference"/>
        </w:rPr>
        <w:fldChar w:fldCharType="end"/>
      </w:r>
      <w:r w:rsidRPr="00E84541">
        <w:t xml:space="preserve">’s (2015) </w:t>
      </w:r>
      <w:r>
        <w:t xml:space="preserve">Inception V3 </w:t>
      </w:r>
      <w:r w:rsidRPr="00E84541">
        <w:t>CNN architecture reached a 3.5% top-5 error (frequency in which the model cannot predict the correct class as one of the top five most probable guesses) and 17.3% top-1 error in the classification of the ImageNet Large-Scale Visual Recognition Challenge</w:t>
      </w:r>
      <w:r>
        <w:t xml:space="preserve"> </w:t>
      </w:r>
      <w:r w:rsidRPr="00E84541">
        <w:rPr>
          <w:rStyle w:val="FootnoteReference"/>
        </w:rPr>
        <w:fldChar w:fldCharType="begin" w:fldLock="1"/>
      </w:r>
      <w:r w:rsidRPr="00E84541">
        <w:instrText>ADDIN CSL_CITATION {"citationItems":[{"id":"ITEM-1","itemData":{"DOI":"10.1007/s11263-015-0816-y","ISSN":"0920-5691","author":[{"dropping-particle":"","family":"Russakovsky","given":"Olga","non-dropping-particle":"","parse-names":false,"suffix":""},{"dropping-particle":"","family":"Deng","given":"Jia","non-dropping-particle":"","parse-names":false,"suffix":""},{"dropping-particle":"","family":"Su","given":"Hao","non-dropping-particle":"","parse-names":false,"suffix":""},{"dropping-particle":"","family":"Krause","given":"Jonathan","non-dropping-particle":"","parse-names":false,"suffix":""},{"dropping-particle":"","family":"Satheesh","given":"Sanjeev","non-dropping-particle":"","parse-names":false,"suffix":""},{"dropping-particle":"","family":"Ma","given":"Sean","non-dropping-particle":"","parse-names":false,"suffix":""},{"dropping-particle":"","family":"Huang","given":"Zhiheng","non-dropping-particle":"","parse-names":false,"suffix":""},{"dropping-particle":"","family":"Karpathy","given":"Andrej","non-dropping-particle":"","parse-names":false,"suffix":""},{"dropping-particle":"","family":"Khosla","given":"Aditya","non-dropping-particle":"","parse-names":false,"suffix":""},{"dropping-particle":"","family":"Bernstein","given":"Michael","non-dropping-particle":"","parse-names":false,"suffix":""},{"dropping-particle":"","family":"Berg","given":"Alexander C.","non-dropping-particle":"","parse-names":false,"suffix":""},{"dropping-particle":"","family":"Fei-Fei","given":"Li","non-dropping-particle":"","parse-names":false,"suffix":""}],"container-title":"International Journal of Computer Vision","id":"ITEM-1","issue":"3","issued":{"date-parts":[["2015","12","11"]]},"page":"211-252","publisher":"Springer US","title":"ImageNet Large Scale Visual Recognition Challenge","type":"article-journal","volume":"115"},"uris":["http://www.mendeley.com/documents/?uuid=2c3988eb-b27d-3475-963d-67d67b346a31"]}],"mendeley":{"formattedCitation":"(Russakovsky et al. 2015)","plainTextFormattedCitation":"(Russakovsky et al. 2015)","previouslyFormattedCitation":"(Russakovsky et al. 2015)"},"properties":{"noteIndex":0},"schema":"https://github.com/citation-style-language/schema/raw/master/csl-citation.json"}</w:instrText>
      </w:r>
      <w:r w:rsidRPr="00E84541">
        <w:rPr>
          <w:rStyle w:val="FootnoteReference"/>
        </w:rPr>
        <w:fldChar w:fldCharType="separate"/>
      </w:r>
      <w:r w:rsidRPr="00E84541">
        <w:rPr>
          <w:bCs/>
          <w:noProof/>
        </w:rPr>
        <w:t xml:space="preserve">(Russakovsky et al. </w:t>
      </w:r>
      <w:r w:rsidRPr="00E84541">
        <w:rPr>
          <w:bCs/>
          <w:noProof/>
        </w:rPr>
        <w:lastRenderedPageBreak/>
        <w:t>2015)</w:t>
      </w:r>
      <w:r w:rsidRPr="00E84541">
        <w:rPr>
          <w:rStyle w:val="FootnoteReference"/>
        </w:rPr>
        <w:fldChar w:fldCharType="end"/>
      </w:r>
      <w:r>
        <w:t xml:space="preserve">. The training data for the </w:t>
      </w:r>
      <w:r w:rsidRPr="00BC4A2E">
        <w:t>ImageNet Large Scale Visual Recognition Challenge</w:t>
      </w:r>
      <w:r>
        <w:t xml:space="preserve"> (ILSVRC), is a </w:t>
      </w:r>
      <w:r w:rsidRPr="00BC4A2E">
        <w:t xml:space="preserve">subset of ImageNet containing the 1000 </w:t>
      </w:r>
      <w:r w:rsidRPr="00E84541">
        <w:t xml:space="preserve">mixed-object categories </w:t>
      </w:r>
      <w:r w:rsidRPr="00BC4A2E">
        <w:t>and 1.2 million images</w:t>
      </w:r>
      <w:r w:rsidRPr="00E84541">
        <w:t xml:space="preserve">. </w:t>
      </w:r>
    </w:p>
    <w:p w14:paraId="3F132AD8" w14:textId="77777777" w:rsidR="0053410A" w:rsidRPr="00E84541" w:rsidRDefault="0053410A" w:rsidP="0053410A">
      <w:pPr>
        <w:ind w:firstLine="720"/>
        <w:rPr>
          <w:rFonts w:eastAsia="Calibri"/>
        </w:rPr>
      </w:pPr>
      <w:r w:rsidRPr="00E84541">
        <w:t xml:space="preserve">A currently underutilized application of machine learning is fossil identification - a key component of biostratigraphy. </w:t>
      </w:r>
      <w:r w:rsidRPr="00E84541">
        <w:rPr>
          <w:rStyle w:val="FootnoteReference"/>
        </w:rPr>
        <w:fldChar w:fldCharType="begin" w:fldLock="1"/>
      </w:r>
      <w:r w:rsidRPr="00E84541">
        <w:instrText>ADDIN CSL_CITATION {"citationItems":[{"id":"ITEM-1","itemData":{"DOI":"10.1016/J.MARMICRO.2009.03.005","ISSN":"0377-8398","abstract":"Over the past two decades, several investigators have worked on computerized systems to accelerate the identification of foraminiferal tests (forams). Leading examples have focused on fully-automatic identification using neural networks and supervised learning. This paper introduces an alternative semi-automatic or computer-aided approach. Such an approach reduces the workload associated with foram identification without the challenges of training set collection and fully-automatic recognition. The proposed method begins by photographing a collection of specimens sprinkled on a microscopy slide. Segmented images are then mapped into a canonical space where position, rotation, and scale are normalized. Specimens are clustered based on image similarity in the canonical space. A specialist then identifies the clusters by inspecting representative templates. Experimental results show that the identification effort can be reduced by 35%, yet the accuracy remains comparable to when every specimen is individually identified. Further reduction of effort was prevented by the significant variability of illumination direction in the canonical images. These results encourage further work on a computer-aided approach to foram identification.","author":[{"dropping-particle":"","family":"Ranaweera","given":"Kamal","non-dropping-particle":"","parse-names":false,"suffix":""},{"dropping-particle":"","family":"Harrison","given":"Adam P.","non-dropping-particle":"","parse-names":false,"suffix":""},{"dropping-particle":"","family":"Bains","given":"Santo","non-dropping-particle":"","parse-names":false,"suffix":""},{"dropping-particle":"","family":"Joseph","given":"Dileepan","non-dropping-particle":"","parse-names":false,"suffix":""}],"container-title":"Marine Micropaleontology","id":"ITEM-1","issue":"1-2","issued":{"date-parts":[["2009","6","1"]]},"page":"66-75","publisher":"Elsevier","title":"Feasibility of computer-aided identification of foraminiferal tests","type":"article-journal","volume":"72"},"uris":["http://www.mendeley.com/documents/?uuid=b72c49e9-8418-3b2e-9797-3c817ea75d5a"]}],"mendeley":{"formattedCitation":"(Ranaweera et al. 2009)","manualFormatting":"Ranaweera et al. (2009)","plainTextFormattedCitation":"(Ranaweera et al. 2009)","previouslyFormattedCitation":"(Ranaweera et al. 2009)"},"properties":{"noteIndex":0},"schema":"https://github.com/citation-style-language/schema/raw/master/csl-citation.json"}</w:instrText>
      </w:r>
      <w:r w:rsidRPr="00E84541">
        <w:rPr>
          <w:rStyle w:val="FootnoteReference"/>
        </w:rPr>
        <w:fldChar w:fldCharType="separate"/>
      </w:r>
      <w:r w:rsidRPr="00E84541">
        <w:rPr>
          <w:noProof/>
        </w:rPr>
        <w:t>Ranaweera et al. (2009)</w:t>
      </w:r>
      <w:r w:rsidRPr="00E84541">
        <w:rPr>
          <w:rStyle w:val="FootnoteReference"/>
        </w:rPr>
        <w:fldChar w:fldCharType="end"/>
      </w:r>
      <w:r w:rsidRPr="00E84541">
        <w:t xml:space="preserve"> used a computer-aided approach in which they applied clustering techniques followed by expert labeling for identification of foraminifers. Recently work has been done with the objective to generate a foraminiferal identification pipeline that uses CNN and other machine learning methods and compares such results to classifications performed by human experts (Zhong </w:t>
      </w:r>
      <w:r w:rsidRPr="00E84541">
        <w:rPr>
          <w:noProof/>
        </w:rPr>
        <w:t>et al., 2017)</w:t>
      </w:r>
      <w:r w:rsidRPr="00E84541">
        <w:t xml:space="preserve">. </w:t>
      </w:r>
      <w:r w:rsidRPr="00E84541">
        <w:fldChar w:fldCharType="begin" w:fldLock="1"/>
      </w:r>
      <w:r>
        <w:instrText>ADDIN CSL_CITATION {"citationItems":[{"id":"ITEM-1","itemData":{"DOI":"10.1109/CVPRW.2016.165","ISBN":"978-1-5090-1437-8","author":[{"dropping-particle":"","family":"Kong","given":"Shu","non-dropping-particle":"","parse-names":false,"suffix":""},{"dropping-particle":"","family":"Punyasena","given":"Surangi","non-dropping-particle":"","parse-names":false,"suffix":""},{"dropping-particle":"","family":"Fowlkes","given":"Charless","non-dropping-particle":"","parse-names":false,"suffix":""}],"container-title":"2016 IEEE Conference on Computer Vision and Pattern Recognition Workshops (CVPRW)","id":"ITEM-1","issued":{"date-parts":[["2016","6"]]},"page":"1305-1314","publisher":"IEEE","title":"Spatially Aware Dictionary Learning and Coding for Fossil Pollen Identification","type":"paper-conference"},"uris":["http://www.mendeley.com/documents/?uuid=f1d273b9-5832-3fb6-97fb-e078917238ac"]}],"mendeley":{"formattedCitation":"(Kong et al. 2016)","manualFormatting":"Kong et al. (2016)","plainTextFormattedCitation":"(Kong et al. 2016)","previouslyFormattedCitation":"(Kong et al. 2016)"},"properties":{"noteIndex":0},"schema":"https://github.com/citation-style-language/schema/raw/master/csl-citation.json"}</w:instrText>
      </w:r>
      <w:r w:rsidRPr="00E84541">
        <w:fldChar w:fldCharType="separate"/>
      </w:r>
      <w:r w:rsidRPr="00E84541">
        <w:rPr>
          <w:noProof/>
        </w:rPr>
        <w:t>Kong et al. (2016)</w:t>
      </w:r>
      <w:r w:rsidRPr="00E84541">
        <w:fldChar w:fldCharType="end"/>
      </w:r>
      <w:r w:rsidRPr="00E84541">
        <w:t xml:space="preserve"> show a novel technique that can be used for fossil pollen identification, by our understanding, the first application of CNN image classification techniques applied to fossil specimens. </w:t>
      </w:r>
      <w:r w:rsidRPr="00E84541">
        <w:fldChar w:fldCharType="begin" w:fldLock="1"/>
      </w:r>
      <w:r w:rsidRPr="00E84541">
        <w:instrText>ADDIN CSL_CITATION {"citationItems":[{"id":"ITEM-1","itemData":{"DOI":"10.1109/CVPRW.2016.165","ISBN":"978-1-5090-1437-8","author":[{"dropping-particle":"","family":"Kong","given":"Shu","non-dropping-particle":"","parse-names":false,"suffix":""},{"dropping-particle":"","family":"Punyasena","given":"Surangi","non-dropping-particle":"","parse-names":false,"suffix":""},{"dropping-particle":"","family":"Fowlkes","given":"Charless","non-dropping-particle":"","parse-names":false,"suffix":""}],"container-title":"2016 IEEE Conference on Computer Vision and Pattern Recognition Workshops (CVPRW)","id":"ITEM-1","issued":{"date-parts":[["2016","6"]]},"page":"1305-1314","publisher":"IEEE","title":"Spatially Aware Dictionary Learning and Coding for Fossil Pollen Identification","type":"paper-conference"},"uris":["http://www.mendeley.com/documents/?uuid=f1d273b9-5832-3fb6-97fb-e078917238ac"]}],"mendeley":{"formattedCitation":"(Kong et al. 2016)","manualFormatting":"Kong et al. (2016)","plainTextFormattedCitation":"(Kong et al. 2016)","previouslyFormattedCitation":"(Kong et al. 2016)"},"properties":{"noteIndex":0},"schema":"https://github.com/citation-style-language/schema/raw/master/csl-citation.json"}</w:instrText>
      </w:r>
      <w:r w:rsidRPr="00E84541">
        <w:fldChar w:fldCharType="separate"/>
      </w:r>
      <w:r w:rsidRPr="00E84541">
        <w:rPr>
          <w:noProof/>
        </w:rPr>
        <w:t>Kong et al. (2016)</w:t>
      </w:r>
      <w:r w:rsidRPr="00E84541">
        <w:fldChar w:fldCharType="end"/>
      </w:r>
      <w:r w:rsidRPr="00E84541">
        <w:t xml:space="preserve"> select patches of </w:t>
      </w:r>
      <w:r>
        <w:t xml:space="preserve">fossil </w:t>
      </w:r>
      <w:r w:rsidRPr="00E84541">
        <w:t xml:space="preserve">pollen grains in microscopy images and use a pretrained CNN model to extract features for pollen species identification. Pollen researchers have been working on automated identification for a long time and are currently experimenting with CNN models as well </w:t>
      </w:r>
      <w:r w:rsidRPr="00E84541">
        <w:fldChar w:fldCharType="begin" w:fldLock="1"/>
      </w:r>
      <w:r w:rsidRPr="00E84541">
        <w:instrText>ADDIN CSL_CITATION {"citationItems":[{"id":"ITEM-1","itemData":{"DOI":"10.1371/journal.pone.0201807","ISSN":"1932-6203","abstract":"In palynology, the visual classification of pollen grains from different species is a hard task which is usually tackled by human operators using microscopes. Its complete automatization would save a high quantity of resources and provide valuable improvements especially for allergy-related information systems, but also for other application fields as paleoclimate reconstruction, quality control of honey based products, collection of evidences in criminal investigations or fabric dating and tracking. This paper presents three state-of-the-art deep learning classification methods applied to the recently published POLEN23E image dataset. The three methods make use of convolutional neural networks: the first one is strictly based on the idea of transfer learning, the second one is based on feature extraction and the third one represents a hybrid approach, combining transfer learning and feature extraction. The results from the three methods are indeed very good, reaching over 97% correct classification rates in images not previously seen by the models, where other authors reported around 70.","author":[{"dropping-particle":"","family":"Sevillano","given":"Víctor","non-dropping-particle":"","parse-names":false,"suffix":""},{"dropping-particle":"","family":"Aznarte","given":"José L.","non-dropping-particle":"","parse-names":false,"suffix":""}],"container-title":"PLOS ONE","editor":[{"dropping-particle":"","family":"Rutherford","given":"Suzannah","non-dropping-particle":"","parse-names":false,"suffix":""}],"id":"ITEM-1","issue":"9","issued":{"date-parts":[["2018","9","14"]]},"page":"e0201807","publisher":"Public Library of Science","title":"Improving classification of pollen grain images of the POLEN23E dataset through three different applications of deep learning convolutional neural networks","type":"article-journal","volume":"13"},"uris":["http://www.mendeley.com/documents/?uuid=bc05e0c9-e9db-3b13-8822-5bb1fa57095b"]}],"mendeley":{"formattedCitation":"(Sevillano and Aznarte 2018)","manualFormatting":"(e.g. Sevillano and Aznarte 2018)","plainTextFormattedCitation":"(Sevillano and Aznarte 2018)","previouslyFormattedCitation":"(Sevillano and Aznarte 2018)"},"properties":{"noteIndex":0},"schema":"https://github.com/citation-style-language/schema/raw/master/csl-citation.json"}</w:instrText>
      </w:r>
      <w:r w:rsidRPr="00E84541">
        <w:fldChar w:fldCharType="separate"/>
      </w:r>
      <w:r w:rsidRPr="00E84541">
        <w:rPr>
          <w:noProof/>
        </w:rPr>
        <w:t>(e.g. Sevillano and Aznarte 2018)</w:t>
      </w:r>
      <w:r w:rsidRPr="00E84541">
        <w:fldChar w:fldCharType="end"/>
      </w:r>
      <w:r w:rsidRPr="00E84541">
        <w:t>.</w:t>
      </w:r>
      <w:r w:rsidRPr="00E84541">
        <w:rPr>
          <w:rFonts w:eastAsia="Calibri"/>
        </w:rPr>
        <w:t xml:space="preserve"> Given the current proliferation of efforts to digitize biological specimens</w:t>
      </w:r>
      <w:r>
        <w:rPr>
          <w:rFonts w:eastAsia="Calibri"/>
        </w:rPr>
        <w:t xml:space="preserve">, </w:t>
      </w:r>
      <w:r w:rsidRPr="00E84541">
        <w:rPr>
          <w:rFonts w:eastAsia="Calibri"/>
        </w:rPr>
        <w:t>both modern and fossil</w:t>
      </w:r>
      <w:r>
        <w:rPr>
          <w:rFonts w:eastAsia="Calibri"/>
        </w:rPr>
        <w:t xml:space="preserve">, </w:t>
      </w:r>
      <w:r w:rsidRPr="00E84541">
        <w:rPr>
          <w:rFonts w:eastAsia="Calibri"/>
        </w:rPr>
        <w:t xml:space="preserve"> </w:t>
      </w:r>
      <w:r w:rsidRPr="00E84541">
        <w:rPr>
          <w:rStyle w:val="FootnoteReference"/>
          <w:rFonts w:eastAsia="Calibri"/>
        </w:rPr>
        <w:fldChar w:fldCharType="begin" w:fldLock="1"/>
      </w:r>
      <w:r>
        <w:rPr>
          <w:rFonts w:eastAsia="Calibri"/>
        </w:rPr>
        <w:instrText>ADDIN CSL_CITATION {"citationItems":[{"id":"ITEM-1","itemData":{"DOI":"10.3897/zookeys.209.3178","ISSN":"1313-2970","PMID":"22859884","abstract":"Traditional approaches for digitizing natural history collections, which include both imaging and metadata capture, are both labour- and time-intensive. Mass-digitization can only be completed if the resource-intensive steps, such as specimen selection and databasing of associated information, are minimized. Digitization of larger collections should employ an \"industrial\" approach, using the principles of automation and crowd sourcing, with minimal initial metadata collection including a mandatory persistent identifier. A new workflow for the mass-digitization of natural history museum collections based on these principles, and using SatScan® tray scanning system, is described.","author":[{"dropping-particle":"","family":"Blagoderov","given":"Vladimir","non-dropping-particle":"","parse-names":false,"suffix":""},{"dropping-particle":"","family":"Kitching","given":"Ian J","non-dropping-particle":"","parse-names":false,"suffix":""},{"dropping-particle":"","family":"Livermore","given":"Laurence","non-dropping-particle":"","parse-names":false,"suffix":""},{"dropping-particle":"","family":"Simonsen","given":"Thomas J","non-dropping-particle":"","parse-names":false,"suffix":""},{"dropping-particle":"","family":"Smith","given":"Vincent S","non-dropping-particle":"","parse-names":false,"suffix":""}],"container-title":"ZooKeys","id":"ITEM-1","issue":"209","issued":{"date-parts":[["2012"]]},"page":"133-46","publisher":"Pensoft Publishers","title":"No specimen left behind: industrial scale digitization of natural history collections","type":"article-journal"},"uris":["http://www.mendeley.com/documents/?uuid=f7e5851f-90e8-338e-98dc-840e38bac542"]},{"id":"ITEM-2","itemData":{"DOI":"10.1093/biosci/biv005","ISSN":"1525-3244","author":[{"dropping-particle":"","family":"Ellwood","given":"Elizabeth R.","non-dropping-particle":"","parse-names":false,"suffix":""},{"dropping-particle":"","family":"Dunckel","given":"Betty A.","non-dropping-particle":"","parse-names":false,"suffix":""},{"dropping-particle":"","family":"Flemons","given":"Paul","non-dropping-particle":"","parse-names":false,"suffix":""},{"dropping-particle":"","family":"Guralnick","given":"Robert","non-dropping-particle":"","parse-names":false,"suffix":""},{"dropping-particle":"","family":"Nelson","given":"Gil","non-dropping-particle":"","parse-names":false,"suffix":""},{"dropping-particle":"","family":"Newman","given":"Greg","non-dropping-particle":"","parse-names":false,"suffix":""},{"dropping-particle":"","family":"Newman","given":"Sarah","non-dropping-particle":"","parse-names":false,"suffix":""},{"dropping-particle":"","family":"Paul","given":"Deborah","non-dropping-particle":"","parse-names":false,"suffix":""},{"dropping-particle":"","family":"Riccardi","given":"Greg","non-dropping-particle":"","parse-names":false,"suffix":""},{"dropping-particle":"","family":"Rios","given":"Nelson","non-dropping-particle":"","parse-names":false,"suffix":""},{"dropping-particle":"","family":"Seltmann","given":"Katja C.","non-dropping-particle":"","parse-names":false,"suffix":""},{"dropping-particle":"","family":"Mast","given":"Austin R.","non-dropping-particle":"","parse-names":false,"suffix":""}],"container-title":"BioScience","id":"ITEM-2","issue":"4","issued":{"date-parts":[["2015","4","1"]]},"page":"383-396","publisher":"Oxford University Press","title":"Accelerating the Digitization of Biodiversity Research Specimens through Online Public Participation","type":"article-journal","volume":"65"},"uris":["http://www.mendeley.com/documents/?uuid=cdd2501d-71ce-3d49-868c-335c4011f43c"]}],"mendeley":{"formattedCitation":"(Blagoderov et al. 2012; Ellwood et al. 2015)","manualFormatting":"(e.g. Blagoderov et al. 2012; Ellwood et al. 2015)","plainTextFormattedCitation":"(Blagoderov et al. 2012; Ellwood et al. 2015)","previouslyFormattedCitation":"(Blagoderov et al. 2012; Ellwood et al. 2015)"},"properties":{"noteIndex":0},"schema":"https://github.com/citation-style-language/schema/raw/master/csl-citation.json"}</w:instrText>
      </w:r>
      <w:r w:rsidRPr="00E84541">
        <w:rPr>
          <w:rStyle w:val="FootnoteReference"/>
          <w:rFonts w:eastAsia="Calibri"/>
        </w:rPr>
        <w:fldChar w:fldCharType="separate"/>
      </w:r>
      <w:r w:rsidRPr="00E84541">
        <w:rPr>
          <w:rFonts w:eastAsia="Calibri"/>
          <w:bCs/>
          <w:noProof/>
        </w:rPr>
        <w:t>(</w:t>
      </w:r>
      <w:r>
        <w:rPr>
          <w:rFonts w:eastAsia="Calibri"/>
          <w:bCs/>
          <w:noProof/>
        </w:rPr>
        <w:t xml:space="preserve">e.g. </w:t>
      </w:r>
      <w:r w:rsidRPr="00E84541">
        <w:rPr>
          <w:rFonts w:eastAsia="Calibri"/>
          <w:bCs/>
          <w:noProof/>
        </w:rPr>
        <w:t>Blagoderov et al. 2012; Ellwood et al. 2015)</w:t>
      </w:r>
      <w:r w:rsidRPr="00E84541">
        <w:rPr>
          <w:rStyle w:val="FootnoteReference"/>
          <w:rFonts w:eastAsia="Calibri"/>
        </w:rPr>
        <w:fldChar w:fldCharType="end"/>
      </w:r>
      <w:r w:rsidRPr="00E84541">
        <w:rPr>
          <w:rFonts w:eastAsia="Calibri"/>
        </w:rPr>
        <w:t xml:space="preserve">, successful application of CNN methods could greatly facilitate research that relies upon fossil identification and biostratigraphy. </w:t>
      </w:r>
    </w:p>
    <w:p w14:paraId="5D5F67E0" w14:textId="77777777" w:rsidR="0053410A" w:rsidRDefault="0053410A" w:rsidP="0053410A">
      <w:pPr>
        <w:ind w:firstLine="720"/>
        <w:rPr>
          <w:rFonts w:eastAsia="Calibri"/>
        </w:rPr>
      </w:pPr>
      <w:r w:rsidRPr="00E84541">
        <w:rPr>
          <w:rFonts w:eastAsia="Calibri"/>
        </w:rPr>
        <w:t xml:space="preserve">We provide, to our knowledge, a novel attempt to conduct automated fossil classification using CNN models, and the first attempt on a fossil group (late Paleozoic fusulinids) identified specifically through 2D thin-section analysis. This methodology does not depend on specialized bench work and can be applied to existing photomicrographs in legacy collections –indirectly capturing the knowledge of the researchers that performed the classification or labeling of these collections. Our test case analyses provide proof-of-concept verification as highly accurate </w:t>
      </w:r>
      <w:r w:rsidRPr="00E84541">
        <w:rPr>
          <w:rFonts w:eastAsia="Calibri"/>
        </w:rPr>
        <w:lastRenderedPageBreak/>
        <w:t xml:space="preserve">results were obtained with significantly smaller domain-specific training data when compared to traditional CNN applications. Although researchers are working with CNN models to perform image recognition using </w:t>
      </w:r>
      <w:r>
        <w:rPr>
          <w:rFonts w:eastAsia="Calibri"/>
        </w:rPr>
        <w:t xml:space="preserve">only a </w:t>
      </w:r>
      <w:r w:rsidRPr="00E84541">
        <w:rPr>
          <w:rFonts w:eastAsia="Calibri"/>
        </w:rPr>
        <w:t xml:space="preserve">few examples, sometimes a single example per class is used for training </w:t>
      </w:r>
      <w:r w:rsidRPr="00E84541">
        <w:rPr>
          <w:rFonts w:eastAsia="Calibri"/>
        </w:rPr>
        <w:fldChar w:fldCharType="begin" w:fldLock="1"/>
      </w:r>
      <w:r w:rsidRPr="00E84541">
        <w:rPr>
          <w:rFonts w:eastAsia="Calibri"/>
        </w:rPr>
        <w:instrText>ADDIN CSL_CITATION {"citationItems":[{"id":"ITEM-1","itemData":{"DOI":"10.1126/science.aab3050","ISSN":"1095-9203","PMID":"26659050","abstract":"People learning new concepts can often generalize successfully from just a single example, yet machine learning algorithms typically require tens or hundreds of examples to perform with similar accuracy. People can also use learned concepts in richer ways than conventional algorithms-for action, imagination, and explanation. We present a computational model that captures these human learning abilities for a large class of simple visual concepts: handwritten characters from the world's alphabets. The model represents concepts as simple programs that best explain observed examples under a Bayesian criterion. On a challenging one-shot classification task, the model achieves human-level performance while outperforming recent deep learning approaches. We also present several \"visual Turing tests\" probing the model's creative generalization abilities, which in many cases are indistinguishable from human behavior.","author":[{"dropping-particle":"","family":"Lake","given":"Brenden M","non-dropping-particle":"","parse-names":false,"suffix":""},{"dropping-particle":"","family":"Salakhutdinov","given":"Ruslan","non-dropping-particle":"","parse-names":false,"suffix":""},{"dropping-particle":"","family":"Tenenbaum","given":"Joshua B","non-dropping-particle":"","parse-names":false,"suffix":""}],"container-title":"Science (New York, N.Y.)","id":"ITEM-1","issue":"6266","issued":{"date-parts":[["2015","12","11"]]},"page":"1332-8","publisher":"American Association for the Advancement of Science","title":"Human-level concept learning through probabilistic program induction.","type":"article-journal","volume":"350"},"uris":["http://www.mendeley.com/documents/?uuid=aae8eb2d-3a23-3ae7-8a01-e775fd5bdf16"]},{"id":"ITEM-2","itemData":{"author":[{"dropping-particle":"","family":"Koch","given":"Gregory R","non-dropping-particle":"","parse-names":false,"suffix":""}],"id":"ITEM-2","issued":{"date-parts":[["2015"]]},"title":"Siamese Neural Networks for One-Shot Image Recognition","type":"paper-conference"},"uris":["http://www.mendeley.com/documents/?uuid=49cdda21-69e9-4b0c-bbd7-5fa3163dd611"]},{"id":"ITEM-3","itemData":{"author":[{"dropping-particle":"","family":"Santoro","given":"Adam","non-dropping-particle":"","parse-names":false,"suffix":""},{"dropping-particle":"","family":"Bartunov","given":"Sergey","non-dropping-particle":"","parse-names":false,"suffix":""},{"dropping-particle":"","family":"Botvinick","given":"Matthew","non-dropping-particle":"","parse-names":false,"suffix":""},{"dropping-particle":"","family":"Wierstra","given":"Daan","non-dropping-particle":"","parse-names":false,"suffix":""},{"dropping-particle":"","family":"Lillicrap","given":"Timothy P","non-dropping-particle":"","parse-names":false,"suffix":""}],"container-title":"CoRR","id":"ITEM-3","issued":{"date-parts":[["2016"]]},"title":"One-shot Learning with Memory-Augmented Neural Networks","type":"article-journal","volume":"abs/1605.0"},"uris":["http://www.mendeley.com/documents/?uuid=b7272e5d-a839-48b2-ada0-ca6ad137d14d"]}],"mendeley":{"formattedCitation":"(Koch 2015; Lake et al. 2015; Santoro et al. 2016)","manualFormatting":"(e. g. Koch 2015; Lake et al. 2015; Santoro et al. 2016)","plainTextFormattedCitation":"(Koch 2015; Lake et al. 2015; Santoro et al. 2016)","previouslyFormattedCitation":"(Koch 2015; Lake et al. 2015; Santoro et al. 2016)"},"properties":{"noteIndex":0},"schema":"https://github.com/citation-style-language/schema/raw/master/csl-citation.json"}</w:instrText>
      </w:r>
      <w:r w:rsidRPr="00E84541">
        <w:rPr>
          <w:rFonts w:eastAsia="Calibri"/>
        </w:rPr>
        <w:fldChar w:fldCharType="separate"/>
      </w:r>
      <w:r w:rsidRPr="00E84541">
        <w:rPr>
          <w:rFonts w:eastAsia="Calibri"/>
          <w:noProof/>
        </w:rPr>
        <w:t>(e. g. Koch 2015; Lake et al. 2015; Santoro et al. 2016)</w:t>
      </w:r>
      <w:r w:rsidRPr="00E84541">
        <w:rPr>
          <w:rFonts w:eastAsia="Calibri"/>
        </w:rPr>
        <w:fldChar w:fldCharType="end"/>
      </w:r>
      <w:r w:rsidRPr="00E84541">
        <w:rPr>
          <w:rFonts w:eastAsia="Calibri"/>
        </w:rPr>
        <w:t xml:space="preserve">, most of the CNN applications use hundreds to hundreds of thousands of examples per class. With the additional imaging of the numerous specimens in the large legacy collections of fusulinids in North America, automated classification can potentially organize a large volume of taxonomic and biostratigraphic information into a reliable and coherent system easily accessible to a variety of users, including both specialists and non-specialists. </w:t>
      </w:r>
      <w:r>
        <w:rPr>
          <w:rFonts w:eastAsia="Calibri"/>
        </w:rPr>
        <w:t xml:space="preserve">Our methodology uses data coming from traditional paleontology field and laboratory work and is dependent on specimen quality, but it does not aim to diminish the importance of current paleontology techniques. Our objective here is not only to help accelerate and spread fossil classification knowledge, but also to make fossil classification accessible to research groups with appropriate data, but little or no access to expert paleontologists. </w:t>
      </w:r>
    </w:p>
    <w:p w14:paraId="3020DA30" w14:textId="77777777" w:rsidR="004713B9" w:rsidRPr="00E84541" w:rsidRDefault="004713B9" w:rsidP="004713B9">
      <w:pPr>
        <w:ind w:firstLine="720"/>
        <w:rPr>
          <w:rFonts w:eastAsia="Calibri"/>
        </w:rPr>
      </w:pPr>
    </w:p>
    <w:p w14:paraId="775F26CC" w14:textId="77777777" w:rsidR="004713B9" w:rsidRPr="00E84541" w:rsidRDefault="004713B9" w:rsidP="004F4884">
      <w:pPr>
        <w:pStyle w:val="Heading2"/>
      </w:pPr>
      <w:bookmarkStart w:id="173" w:name="_Toc26534612"/>
      <w:r>
        <w:t>Short Glossary</w:t>
      </w:r>
      <w:bookmarkEnd w:id="173"/>
      <w:r>
        <w:t xml:space="preserve"> </w:t>
      </w:r>
    </w:p>
    <w:p w14:paraId="18604544" w14:textId="77777777" w:rsidR="0053410A" w:rsidRPr="00E84541" w:rsidRDefault="0053410A" w:rsidP="0053410A">
      <w:pPr>
        <w:ind w:firstLine="720"/>
      </w:pPr>
      <w:r w:rsidRPr="00E84541">
        <w:t xml:space="preserve">Because machine learning, and CNN in particular, may be unfamiliar to many paleontologists, we provide this simple glossary to define some of the technical terms used in the manuscript. More detailed </w:t>
      </w:r>
      <w:r>
        <w:t xml:space="preserve">machine learning </w:t>
      </w:r>
      <w:r w:rsidRPr="00E84541">
        <w:t xml:space="preserve">definitions can be found in the list of references as well as online </w:t>
      </w:r>
      <w:r w:rsidRPr="00E84541">
        <w:fldChar w:fldCharType="begin" w:fldLock="1"/>
      </w:r>
      <w:r>
        <w:instrText>ADDIN CSL_CITATION {"citationItems":[{"id":"ITEM-1","itemData":{"URL":"https://developers.google.com/machine-learning/glossary/#top_of_page","accessed":{"date-parts":[["2019","1","21"]]},"id":"ITEM-1","issued":{"date-parts":[["0"]]},"title":"Machine Learning Glossary  |  Google Developers","type":"webpage"},"uris":["http://www.mendeley.com/documents/?uuid=58f11c25-930f-3be5-b8b6-513bf82b05a8"]}],"mendeley":{"formattedCitation":"(“Machine Learning Glossary  |  Google Developers” n.d.)","manualFormatting":" under “Machine Learning Glossary  |  Google Developers”.","plainTextFormattedCitation":"(“Machine Learning Glossary  |  Google Developers” n.d.)","previouslyFormattedCitation":"(“Machine Learning Glossary  |  Google Developers” n.d.)"},"properties":{"noteIndex":0},"schema":"https://github.com/citation-style-language/schema/raw/master/csl-citation.json"}</w:instrText>
      </w:r>
      <w:r w:rsidRPr="00E84541">
        <w:fldChar w:fldCharType="separate"/>
      </w:r>
      <w:r w:rsidRPr="00E84541">
        <w:rPr>
          <w:noProof/>
        </w:rPr>
        <w:t xml:space="preserve"> under “Machine Learning Glossary  |  Google Developers”.</w:t>
      </w:r>
      <w:r w:rsidRPr="00E84541">
        <w:fldChar w:fldCharType="end"/>
      </w:r>
    </w:p>
    <w:p w14:paraId="404DFD92" w14:textId="77777777" w:rsidR="0053410A" w:rsidRPr="00E84541" w:rsidRDefault="0053410A" w:rsidP="0053410A">
      <w:pPr>
        <w:ind w:firstLine="720"/>
      </w:pPr>
      <w:r w:rsidRPr="00E84541">
        <w:rPr>
          <w:b/>
          <w:i/>
        </w:rPr>
        <w:t>Accuracy</w:t>
      </w:r>
      <w:r w:rsidRPr="00E84541">
        <w:t xml:space="preserve"> –The ratio between the number of correct classifications and the total number of classifications performed. </w:t>
      </w:r>
      <w:r w:rsidRPr="00997A9B">
        <w:t xml:space="preserve">Values range from 0.0 to 1.0 (equivalently, 0% to 100%). A perfect </w:t>
      </w:r>
      <w:r w:rsidRPr="00997A9B">
        <w:lastRenderedPageBreak/>
        <w:t>score of 1.0 means all classifications were correct whereas a score of 0.0 means all classifications were incorrect.</w:t>
      </w:r>
    </w:p>
    <w:p w14:paraId="0B05A8E7" w14:textId="77777777" w:rsidR="0053410A" w:rsidRPr="00E84541" w:rsidRDefault="0053410A" w:rsidP="0053410A">
      <w:pPr>
        <w:ind w:firstLine="720"/>
      </w:pPr>
      <w:r w:rsidRPr="00E84541">
        <w:rPr>
          <w:b/>
          <w:i/>
        </w:rPr>
        <w:t xml:space="preserve">Class </w:t>
      </w:r>
      <w:r w:rsidRPr="00E84541">
        <w:t xml:space="preserve">– The name, or category assigned to each data sample. In this paper we use </w:t>
      </w:r>
      <w:r>
        <w:t>“class”</w:t>
      </w:r>
      <w:r w:rsidRPr="00E84541">
        <w:t xml:space="preserve"> in the machine learning sense rather than in the biological sense. </w:t>
      </w:r>
    </w:p>
    <w:p w14:paraId="732D57BE" w14:textId="77777777" w:rsidR="0053410A" w:rsidRPr="00E84541" w:rsidRDefault="0053410A" w:rsidP="0053410A">
      <w:pPr>
        <w:ind w:firstLine="720"/>
      </w:pPr>
      <w:r w:rsidRPr="00E84541">
        <w:rPr>
          <w:b/>
          <w:i/>
        </w:rPr>
        <w:t>Classification</w:t>
      </w:r>
      <w:r w:rsidRPr="00E84541">
        <w:t xml:space="preserve"> – The process of assigning data to a particular class. </w:t>
      </w:r>
    </w:p>
    <w:p w14:paraId="2D8C0C36" w14:textId="77777777" w:rsidR="0053410A" w:rsidRDefault="0053410A" w:rsidP="0053410A">
      <w:pPr>
        <w:ind w:firstLine="720"/>
      </w:pPr>
      <w:r w:rsidRPr="00E84541">
        <w:rPr>
          <w:b/>
          <w:i/>
        </w:rPr>
        <w:t xml:space="preserve">Convolution – </w:t>
      </w:r>
      <w:r>
        <w:t>A</w:t>
      </w:r>
      <w:r w:rsidRPr="00E84541">
        <w:t xml:space="preserve"> </w:t>
      </w:r>
      <w:r w:rsidRPr="00997A9B">
        <w:t xml:space="preserve">mathematical operation that </w:t>
      </w:r>
      <w:r>
        <w:t xml:space="preserve">uses </w:t>
      </w:r>
      <w:r w:rsidRPr="00997A9B">
        <w:t xml:space="preserve">two functions, one generally interpreted as the “input”, and the other as a “filter”.  The filter is commonly referred to as </w:t>
      </w:r>
      <w:r>
        <w:t xml:space="preserve">the </w:t>
      </w:r>
      <w:r w:rsidRPr="00997A9B">
        <w:t>“kernel”. The kernel is applied on the input, producing an output image or signal. In machine learning applications, a convolutional layer uses the convolutional kernel and the input data to train the convolutional kernel weights.</w:t>
      </w:r>
    </w:p>
    <w:p w14:paraId="70BD3494" w14:textId="77777777" w:rsidR="0053410A" w:rsidRPr="00E84541" w:rsidRDefault="0053410A" w:rsidP="0053410A">
      <w:pPr>
        <w:ind w:firstLine="720"/>
      </w:pPr>
      <w:r w:rsidRPr="00E84541">
        <w:rPr>
          <w:b/>
          <w:i/>
        </w:rPr>
        <w:t>C</w:t>
      </w:r>
      <w:r>
        <w:rPr>
          <w:b/>
          <w:i/>
        </w:rPr>
        <w:t>ross entropy loss</w:t>
      </w:r>
      <w:r>
        <w:t xml:space="preserve"> – a measure of the difference between the model’s predictions are from the provided label. Specifically, c</w:t>
      </w:r>
      <w:r w:rsidRPr="00584B29">
        <w:t xml:space="preserve">ross-entropy </w:t>
      </w:r>
      <w:r>
        <w:t>measures</w:t>
      </w:r>
      <w:r w:rsidRPr="00584B29">
        <w:t xml:space="preserve"> the difference between two probability distributions</w:t>
      </w:r>
      <w:r>
        <w:t>.</w:t>
      </w:r>
    </w:p>
    <w:p w14:paraId="2596FE1D" w14:textId="77777777" w:rsidR="0053410A" w:rsidRPr="00E84541" w:rsidRDefault="0053410A" w:rsidP="0053410A">
      <w:pPr>
        <w:ind w:firstLine="720"/>
      </w:pPr>
      <w:r w:rsidRPr="00E84541">
        <w:rPr>
          <w:b/>
          <w:i/>
        </w:rPr>
        <w:t>Convolutional Neural Network</w:t>
      </w:r>
      <w:r w:rsidRPr="00E84541">
        <w:t xml:space="preserve"> </w:t>
      </w:r>
      <w:r>
        <w:t>(</w:t>
      </w:r>
      <w:r w:rsidRPr="00E84541">
        <w:rPr>
          <w:b/>
          <w:i/>
        </w:rPr>
        <w:t>CNN</w:t>
      </w:r>
      <w:r w:rsidRPr="00E84541">
        <w:t xml:space="preserve"> </w:t>
      </w:r>
      <w:r>
        <w:t>)</w:t>
      </w:r>
      <w:r w:rsidRPr="00E84541">
        <w:t>– A neural network architecture in which at least one layer is a convolutional layer. Some authors also use ConvNets</w:t>
      </w:r>
      <w:r>
        <w:t xml:space="preserve"> as a shorter term.</w:t>
      </w:r>
    </w:p>
    <w:p w14:paraId="2C9F6B30" w14:textId="77777777" w:rsidR="0053410A" w:rsidRDefault="0053410A" w:rsidP="0053410A">
      <w:pPr>
        <w:ind w:firstLine="720"/>
      </w:pPr>
      <w:r w:rsidRPr="00E84541">
        <w:rPr>
          <w:b/>
          <w:i/>
        </w:rPr>
        <w:t xml:space="preserve">Deep </w:t>
      </w:r>
      <w:r>
        <w:rPr>
          <w:b/>
          <w:i/>
        </w:rPr>
        <w:t>neural network</w:t>
      </w:r>
      <w:r w:rsidRPr="00E84541">
        <w:rPr>
          <w:b/>
          <w:i/>
        </w:rPr>
        <w:t xml:space="preserve"> </w:t>
      </w:r>
      <w:r w:rsidRPr="00E84541">
        <w:t xml:space="preserve">– An artificial neural network that uses </w:t>
      </w:r>
      <w:r>
        <w:t xml:space="preserve">more than one </w:t>
      </w:r>
      <w:r w:rsidRPr="00E84541">
        <w:t xml:space="preserve">hidden layer. </w:t>
      </w:r>
      <w:r>
        <w:t xml:space="preserve">The process of using deep neural networks is sometimes referred to as deep learning. </w:t>
      </w:r>
    </w:p>
    <w:p w14:paraId="7ADFE34E" w14:textId="77777777" w:rsidR="0053410A" w:rsidRDefault="0053410A" w:rsidP="0053410A">
      <w:pPr>
        <w:ind w:firstLine="720"/>
      </w:pPr>
      <w:r>
        <w:rPr>
          <w:b/>
          <w:i/>
        </w:rPr>
        <w:t>Epoch</w:t>
      </w:r>
      <w:bookmarkStart w:id="174" w:name="_Hlk24187232"/>
      <w:r w:rsidRPr="00E84541">
        <w:rPr>
          <w:b/>
          <w:i/>
        </w:rPr>
        <w:t xml:space="preserve"> </w:t>
      </w:r>
      <w:r w:rsidRPr="00E84541">
        <w:t>–</w:t>
      </w:r>
      <w:r>
        <w:t xml:space="preserve"> </w:t>
      </w:r>
      <w:bookmarkEnd w:id="174"/>
      <w:r>
        <w:t>Generally used to depict a single pass through the full training set during the training stage</w:t>
      </w:r>
      <w:r w:rsidRPr="00E84541">
        <w:t xml:space="preserve">. </w:t>
      </w:r>
      <w:r>
        <w:t xml:space="preserve">Not to be confused with a geological time epoch. </w:t>
      </w:r>
    </w:p>
    <w:p w14:paraId="7A20237D" w14:textId="77777777" w:rsidR="0053410A" w:rsidRDefault="0053410A" w:rsidP="0053410A">
      <w:pPr>
        <w:ind w:firstLine="720"/>
      </w:pPr>
      <w:r w:rsidRPr="00584B29">
        <w:rPr>
          <w:b/>
          <w:i/>
        </w:rPr>
        <w:t>Fine Tuning</w:t>
      </w:r>
      <w:r w:rsidRPr="00E84541">
        <w:rPr>
          <w:b/>
          <w:i/>
        </w:rPr>
        <w:t xml:space="preserve"> </w:t>
      </w:r>
      <w:r w:rsidRPr="00E84541">
        <w:t>–</w:t>
      </w:r>
      <w:r>
        <w:t xml:space="preserve"> </w:t>
      </w:r>
      <w:r w:rsidRPr="00584B29">
        <w:t>Execute a secondary training to further adjust the weights of an already trained model so the model can better achieve a secondary task.</w:t>
      </w:r>
    </w:p>
    <w:p w14:paraId="3DFE71DD" w14:textId="77777777" w:rsidR="0053410A" w:rsidRPr="00E84541" w:rsidRDefault="0053410A" w:rsidP="0053410A">
      <w:pPr>
        <w:ind w:firstLine="720"/>
      </w:pPr>
      <w:r>
        <w:rPr>
          <w:b/>
          <w:i/>
        </w:rPr>
        <w:t>Hyperparameter</w:t>
      </w:r>
      <w:r w:rsidRPr="00E84541">
        <w:rPr>
          <w:b/>
          <w:i/>
        </w:rPr>
        <w:t xml:space="preserve"> </w:t>
      </w:r>
      <w:r w:rsidRPr="00E84541">
        <w:t>–</w:t>
      </w:r>
      <w:r>
        <w:t xml:space="preserve"> The available “options” a user can change for different attempts to train a model</w:t>
      </w:r>
      <w:r w:rsidRPr="00E84541">
        <w:t xml:space="preserve">. </w:t>
      </w:r>
      <w:r>
        <w:t xml:space="preserve">Hyperparameters contrast with weights/parameters that are automatically updated </w:t>
      </w:r>
      <w:r>
        <w:lastRenderedPageBreak/>
        <w:t xml:space="preserve">by the model, following the model’s algorithm. For example, the number of epochs used to train a model a hyperparameter. </w:t>
      </w:r>
    </w:p>
    <w:p w14:paraId="65630413" w14:textId="77777777" w:rsidR="0053410A" w:rsidRDefault="0053410A" w:rsidP="0053410A">
      <w:pPr>
        <w:ind w:firstLine="720"/>
      </w:pPr>
      <w:r w:rsidRPr="00E84541">
        <w:rPr>
          <w:b/>
          <w:i/>
        </w:rPr>
        <w:t>Labels</w:t>
      </w:r>
      <w:r w:rsidRPr="00E84541">
        <w:t xml:space="preserve"> – Names applied to an instance, sample, or example (for image classification, an image) associating it with a given class. In this paper the labels are the names of the target genus analyzed.</w:t>
      </w:r>
    </w:p>
    <w:p w14:paraId="22A0301C" w14:textId="77777777" w:rsidR="0053410A" w:rsidRDefault="0053410A" w:rsidP="0053410A">
      <w:pPr>
        <w:ind w:firstLine="720"/>
      </w:pPr>
      <w:r>
        <w:rPr>
          <w:b/>
          <w:i/>
        </w:rPr>
        <w:t>Loss</w:t>
      </w:r>
      <w:r w:rsidRPr="00E84541">
        <w:t xml:space="preserve"> – </w:t>
      </w:r>
      <w:r>
        <w:t xml:space="preserve">A measure of the model’s performance, or how far the predictions are from the desired output. </w:t>
      </w:r>
    </w:p>
    <w:p w14:paraId="76626887" w14:textId="77777777" w:rsidR="0053410A" w:rsidRPr="00E84541" w:rsidRDefault="0053410A" w:rsidP="0053410A">
      <w:pPr>
        <w:ind w:firstLine="720"/>
      </w:pPr>
      <w:r>
        <w:rPr>
          <w:b/>
          <w:i/>
        </w:rPr>
        <w:t>Machine learning</w:t>
      </w:r>
      <w:r w:rsidRPr="00E84541">
        <w:t xml:space="preserve"> – </w:t>
      </w:r>
      <w:r w:rsidRPr="00930411">
        <w:t xml:space="preserve">a collection of approaches in which </w:t>
      </w:r>
      <w:r>
        <w:t>models</w:t>
      </w:r>
      <w:r w:rsidRPr="00930411">
        <w:t xml:space="preserve"> improve their performance through automatic analysis of data</w:t>
      </w:r>
      <w:r w:rsidRPr="00E84541">
        <w:t>.</w:t>
      </w:r>
    </w:p>
    <w:p w14:paraId="3850F263" w14:textId="77777777" w:rsidR="0053410A" w:rsidRPr="00E84541" w:rsidRDefault="0053410A" w:rsidP="0053410A">
      <w:pPr>
        <w:ind w:firstLine="720"/>
      </w:pPr>
      <w:r w:rsidRPr="00E84541">
        <w:rPr>
          <w:b/>
          <w:i/>
        </w:rPr>
        <w:t>Natural Images</w:t>
      </w:r>
      <w:r w:rsidRPr="00E84541">
        <w:t xml:space="preserve"> – A term commonly used in computer vision literature and without a strict definition. In a broad sense, the resulting color photograph taken with an ordinary camera.</w:t>
      </w:r>
    </w:p>
    <w:p w14:paraId="146F96CF" w14:textId="77777777" w:rsidR="0053410A" w:rsidRDefault="0053410A" w:rsidP="0053410A">
      <w:pPr>
        <w:ind w:firstLine="720"/>
      </w:pPr>
      <w:r w:rsidRPr="00E84541">
        <w:rPr>
          <w:b/>
          <w:i/>
        </w:rPr>
        <w:t xml:space="preserve">Pooling </w:t>
      </w:r>
      <w:r w:rsidRPr="00E84541">
        <w:t>– A filter that reduces the size of the input data, for example, replacing the value of four adjacent pixels with its maximum</w:t>
      </w:r>
      <w:r>
        <w:t xml:space="preserve"> or mean</w:t>
      </w:r>
      <w:r w:rsidRPr="00E84541">
        <w:t>.</w:t>
      </w:r>
    </w:p>
    <w:p w14:paraId="17F94AAF" w14:textId="77777777" w:rsidR="0053410A" w:rsidRPr="00E84541" w:rsidRDefault="0053410A" w:rsidP="0053410A">
      <w:pPr>
        <w:ind w:firstLine="720"/>
      </w:pPr>
      <w:r>
        <w:rPr>
          <w:b/>
          <w:i/>
        </w:rPr>
        <w:t>Softmax</w:t>
      </w:r>
      <w:r w:rsidRPr="00E84541">
        <w:rPr>
          <w:b/>
          <w:i/>
        </w:rPr>
        <w:t xml:space="preserve"> </w:t>
      </w:r>
      <w:r w:rsidRPr="00E84541">
        <w:t xml:space="preserve">– </w:t>
      </w:r>
      <w:r>
        <w:t xml:space="preserve">A function that provides the probability a sample belongs to each possible class. </w:t>
      </w:r>
    </w:p>
    <w:p w14:paraId="51B2D9FD" w14:textId="77777777" w:rsidR="0053410A" w:rsidRPr="00E84541" w:rsidRDefault="0053410A" w:rsidP="0053410A">
      <w:pPr>
        <w:ind w:firstLine="720"/>
      </w:pPr>
      <w:r w:rsidRPr="00E84541">
        <w:rPr>
          <w:b/>
          <w:i/>
        </w:rPr>
        <w:t xml:space="preserve">Test </w:t>
      </w:r>
      <w:r>
        <w:rPr>
          <w:b/>
          <w:i/>
        </w:rPr>
        <w:t>d</w:t>
      </w:r>
      <w:r w:rsidRPr="00E84541">
        <w:rPr>
          <w:b/>
          <w:i/>
        </w:rPr>
        <w:t>ata</w:t>
      </w:r>
      <w:r>
        <w:rPr>
          <w:b/>
          <w:i/>
        </w:rPr>
        <w:t>, test set</w:t>
      </w:r>
      <w:r w:rsidRPr="00E84541">
        <w:t xml:space="preserve"> – </w:t>
      </w:r>
      <w:r>
        <w:t xml:space="preserve">Samples </w:t>
      </w:r>
      <w:r w:rsidRPr="00E84541">
        <w:t xml:space="preserve">not used in training but held aside to test the </w:t>
      </w:r>
      <w:r>
        <w:t xml:space="preserve">performance </w:t>
      </w:r>
      <w:r w:rsidRPr="00E84541">
        <w:t xml:space="preserve">of the </w:t>
      </w:r>
      <w:r>
        <w:t>trained model</w:t>
      </w:r>
      <w:r w:rsidRPr="00E84541">
        <w:t>.</w:t>
      </w:r>
      <w:r>
        <w:t xml:space="preserve"> Ideally, the test set is used to evaluate only the final model, unlike the validation set that can be used to tune the model during training. </w:t>
      </w:r>
    </w:p>
    <w:p w14:paraId="5561A483" w14:textId="77777777" w:rsidR="0053410A" w:rsidRPr="00E84541" w:rsidRDefault="0053410A" w:rsidP="0053410A">
      <w:pPr>
        <w:ind w:firstLine="720"/>
      </w:pPr>
      <w:r w:rsidRPr="00E84541">
        <w:rPr>
          <w:b/>
          <w:i/>
        </w:rPr>
        <w:t>Training</w:t>
      </w:r>
      <w:r w:rsidRPr="00E84541">
        <w:t xml:space="preserve"> – An iterative process that determines the ideal parameters of a machine learning model. </w:t>
      </w:r>
    </w:p>
    <w:p w14:paraId="1DF11B1F" w14:textId="77777777" w:rsidR="0053410A" w:rsidRPr="00E84541" w:rsidRDefault="0053410A" w:rsidP="0053410A">
      <w:pPr>
        <w:ind w:firstLine="720"/>
      </w:pPr>
      <w:r w:rsidRPr="00E84541">
        <w:rPr>
          <w:b/>
          <w:i/>
        </w:rPr>
        <w:t xml:space="preserve">Training </w:t>
      </w:r>
      <w:r>
        <w:rPr>
          <w:b/>
          <w:i/>
        </w:rPr>
        <w:t>d</w:t>
      </w:r>
      <w:r w:rsidRPr="00E84541">
        <w:rPr>
          <w:b/>
          <w:i/>
        </w:rPr>
        <w:t>ata</w:t>
      </w:r>
      <w:r>
        <w:rPr>
          <w:b/>
          <w:i/>
        </w:rPr>
        <w:t>, training set</w:t>
      </w:r>
      <w:r w:rsidRPr="00E84541">
        <w:t xml:space="preserve"> – The subset of the data used for training. </w:t>
      </w:r>
    </w:p>
    <w:p w14:paraId="45AA2C75" w14:textId="77777777" w:rsidR="0053410A" w:rsidRDefault="0053410A" w:rsidP="0053410A">
      <w:pPr>
        <w:ind w:firstLine="720"/>
      </w:pPr>
      <w:r w:rsidRPr="00E84541">
        <w:rPr>
          <w:b/>
          <w:i/>
        </w:rPr>
        <w:lastRenderedPageBreak/>
        <w:t>Transfer Learning</w:t>
      </w:r>
      <w:r w:rsidRPr="00E84541">
        <w:t xml:space="preserve"> – A </w:t>
      </w:r>
      <w:r w:rsidRPr="00DC7764">
        <w:t>technique that uses information learned in a primary machine learning task</w:t>
      </w:r>
      <w:r>
        <w:t xml:space="preserve"> (e.g. bird classification)</w:t>
      </w:r>
      <w:r w:rsidRPr="00DC7764">
        <w:t xml:space="preserve"> to perform a secondary machine learning task</w:t>
      </w:r>
      <w:r>
        <w:t xml:space="preserve"> (e.g. fossil classification)</w:t>
      </w:r>
      <w:r w:rsidRPr="00DC7764">
        <w:t>.</w:t>
      </w:r>
      <w:r>
        <w:t xml:space="preserve"> </w:t>
      </w:r>
    </w:p>
    <w:p w14:paraId="2C786730" w14:textId="77777777" w:rsidR="0053410A" w:rsidRDefault="0053410A" w:rsidP="0053410A">
      <w:pPr>
        <w:ind w:firstLine="720"/>
      </w:pPr>
      <w:r>
        <w:rPr>
          <w:b/>
          <w:i/>
        </w:rPr>
        <w:t>Validation d</w:t>
      </w:r>
      <w:r w:rsidRPr="00E84541">
        <w:rPr>
          <w:b/>
          <w:i/>
        </w:rPr>
        <w:t>ata</w:t>
      </w:r>
      <w:r>
        <w:rPr>
          <w:b/>
          <w:i/>
        </w:rPr>
        <w:t>, validation set</w:t>
      </w:r>
      <w:r w:rsidRPr="00E84541">
        <w:t xml:space="preserve"> – The subset of the data used </w:t>
      </w:r>
      <w:r>
        <w:t>to evaluate the training model during model construction.</w:t>
      </w:r>
    </w:p>
    <w:p w14:paraId="221B5862" w14:textId="77777777" w:rsidR="0053410A" w:rsidRPr="00E84541" w:rsidRDefault="0053410A" w:rsidP="0053410A">
      <w:pPr>
        <w:ind w:firstLine="720"/>
      </w:pPr>
      <w:r>
        <w:rPr>
          <w:b/>
          <w:i/>
        </w:rPr>
        <w:t>Weights/parameters</w:t>
      </w:r>
      <w:r w:rsidRPr="00E84541">
        <w:t xml:space="preserve"> – </w:t>
      </w:r>
      <w:r>
        <w:t>T</w:t>
      </w:r>
      <w:r w:rsidRPr="00751EDD">
        <w:t>he coefficients of a machine learning model. In a simple linear equation, the slope and intercept are the weights of the model. In CNNs, the weights are the convolutional kernel values. The training objective is to find the ideal weights of the machine learning model.</w:t>
      </w:r>
    </w:p>
    <w:p w14:paraId="0E1A6712" w14:textId="77777777" w:rsidR="004713B9" w:rsidRPr="00E84541" w:rsidRDefault="004713B9" w:rsidP="004713B9">
      <w:pPr>
        <w:ind w:firstLine="720"/>
      </w:pPr>
    </w:p>
    <w:p w14:paraId="25F0CB3F" w14:textId="77777777" w:rsidR="004713B9" w:rsidRPr="00E84541" w:rsidRDefault="004713B9" w:rsidP="004F4884">
      <w:pPr>
        <w:pStyle w:val="Heading2"/>
      </w:pPr>
      <w:bookmarkStart w:id="175" w:name="_Toc26534613"/>
      <w:r>
        <w:t>Methods</w:t>
      </w:r>
      <w:bookmarkEnd w:id="175"/>
    </w:p>
    <w:p w14:paraId="21B20216" w14:textId="77777777" w:rsidR="0053410A" w:rsidRPr="00E84541" w:rsidRDefault="0053410A" w:rsidP="0053410A">
      <w:pPr>
        <w:ind w:firstLine="720"/>
      </w:pPr>
      <w:r w:rsidRPr="00E84541">
        <w:t xml:space="preserve">In the realm of machine learning techniques, the </w:t>
      </w:r>
      <w:r>
        <w:t xml:space="preserve">task investigated can generally be </w:t>
      </w:r>
      <w:r w:rsidRPr="00E84541">
        <w:t xml:space="preserve">divided into unsupervised </w:t>
      </w:r>
      <w:r>
        <w:t xml:space="preserve">or </w:t>
      </w:r>
      <w:r w:rsidRPr="00E84541">
        <w:t xml:space="preserve">supervised learning. In unsupervised learning, the user provides data to the algorithm and the algorithm tries to identify patterns present in the data. In supervised learning, the user provides data and corresponding labels and the algorithm tries to learn a function or a relationship </w:t>
      </w:r>
      <w:r>
        <w:t xml:space="preserve">to map the </w:t>
      </w:r>
      <w:r w:rsidRPr="00E84541">
        <w:t xml:space="preserve">data </w:t>
      </w:r>
      <w:r>
        <w:t xml:space="preserve">to the </w:t>
      </w:r>
      <w:r w:rsidRPr="00E84541">
        <w:t xml:space="preserve">labels. </w:t>
      </w:r>
      <w:r>
        <w:t>I</w:t>
      </w:r>
      <w:r w:rsidRPr="00E84541">
        <w:t xml:space="preserve">n this paper </w:t>
      </w:r>
      <w:r>
        <w:t>we use</w:t>
      </w:r>
      <w:r w:rsidRPr="00E84541">
        <w:t xml:space="preserve"> supervised learning problem</w:t>
      </w:r>
      <w:r>
        <w:t xml:space="preserve"> - we </w:t>
      </w:r>
      <w:r w:rsidRPr="00E84541">
        <w:t>provide data (thin-section images) and labels for training</w:t>
      </w:r>
      <w:r>
        <w:t xml:space="preserve"> and</w:t>
      </w:r>
      <w:r w:rsidRPr="00E84541">
        <w:t xml:space="preserve"> expect the CNN to provide a relationship between the data and the labels (the expert defined fusulinid genus or species).</w:t>
      </w:r>
    </w:p>
    <w:p w14:paraId="4506C36F" w14:textId="77777777" w:rsidR="0053410A" w:rsidRDefault="0053410A" w:rsidP="0053410A">
      <w:pPr>
        <w:ind w:firstLine="720"/>
      </w:pPr>
      <w:r>
        <w:t>In general, t</w:t>
      </w:r>
      <w:r w:rsidRPr="00E84541">
        <w:t xml:space="preserve">he reliability of CNN results is directly </w:t>
      </w:r>
      <w:r>
        <w:t xml:space="preserve">related to </w:t>
      </w:r>
      <w:r w:rsidRPr="00E84541">
        <w:t xml:space="preserve">with the amount of labeled data used during training. With more examples provided to the CNN, the </w:t>
      </w:r>
      <w:r>
        <w:t>weights</w:t>
      </w:r>
      <w:r w:rsidRPr="00E84541">
        <w:t xml:space="preserve"> used by the model are improved, generating higher-accuracy </w:t>
      </w:r>
      <w:r>
        <w:t xml:space="preserve">and more reliable </w:t>
      </w:r>
      <w:r w:rsidRPr="00E84541">
        <w:t xml:space="preserve">results. The CNN needs examples to recognize the features of each class it tries to differentiate. The work here focuses on </w:t>
      </w:r>
      <w:r w:rsidRPr="00E84541">
        <w:lastRenderedPageBreak/>
        <w:t>assembling</w:t>
      </w:r>
      <w:r>
        <w:t xml:space="preserve"> </w:t>
      </w:r>
      <w:r w:rsidRPr="00E84541">
        <w:t xml:space="preserve">fusulinid thin-section data, and using transfer learning </w:t>
      </w:r>
      <w:r w:rsidRPr="00E84541">
        <w:rPr>
          <w:rStyle w:val="FootnoteReference"/>
        </w:rPr>
        <w:fldChar w:fldCharType="begin" w:fldLock="1"/>
      </w:r>
      <w:r w:rsidRPr="00E84541">
        <w:instrText>ADDIN CSL_CITATION {"citationItems":[{"id":"ITEM-1","itemData":{"DOI":"10.1109/TKDE.2009.191","author":[{"dropping-particle":"","family":"Pan","given":"Sinno Jialin","non-dropping-particle":"","parse-names":false,"suffix":""},{"dropping-particle":"","family":"Yang","given":"Qiang","non-dropping-particle":"","parse-names":false,"suffix":""}],"container-title":"IEEE Transactions on Knowledge and Data Engineering","id":"ITEM-1","issue":"10","issued":{"date-parts":[["2010","10"]]},"page":"1345-1359","title":"A Survey on Transfer Learning","type":"article-journal","volume":"22"},"uris":["http://www.mendeley.com/documents/?uuid=de3a0e47-6009-304c-9f42-af160b2ffac2"]}],"mendeley":{"formattedCitation":"(Pan and Yang 2010)","plainTextFormattedCitation":"(Pan and Yang 2010)","previouslyFormattedCitation":"(Pan and Yang 2010)"},"properties":{"noteIndex":0},"schema":"https://github.com/citation-style-language/schema/raw/master/csl-citation.json"}</w:instrText>
      </w:r>
      <w:r w:rsidRPr="00E84541">
        <w:rPr>
          <w:rStyle w:val="FootnoteReference"/>
        </w:rPr>
        <w:fldChar w:fldCharType="separate"/>
      </w:r>
      <w:r w:rsidRPr="00E84541">
        <w:rPr>
          <w:bCs/>
          <w:noProof/>
        </w:rPr>
        <w:t>(Pan and Yang</w:t>
      </w:r>
      <w:r>
        <w:rPr>
          <w:bCs/>
          <w:noProof/>
        </w:rPr>
        <w:t>,</w:t>
      </w:r>
      <w:r w:rsidRPr="00E84541">
        <w:rPr>
          <w:bCs/>
          <w:noProof/>
        </w:rPr>
        <w:t xml:space="preserve"> 2010)</w:t>
      </w:r>
      <w:r w:rsidRPr="00E84541">
        <w:rPr>
          <w:rStyle w:val="FootnoteReference"/>
        </w:rPr>
        <w:fldChar w:fldCharType="end"/>
      </w:r>
      <w:r w:rsidRPr="00E84541">
        <w:t xml:space="preserve"> to generate a CNN model to classify fusulinids. </w:t>
      </w:r>
      <w:r>
        <w:fldChar w:fldCharType="begin"/>
      </w:r>
      <w:r>
        <w:instrText xml:space="preserve"> REF _Ref528666232 \h  \* MERGEFORMAT </w:instrText>
      </w:r>
      <w:r>
        <w:fldChar w:fldCharType="separate"/>
      </w:r>
      <w:r w:rsidRPr="0053410A">
        <w:t xml:space="preserve">Figure </w:t>
      </w:r>
      <w:r>
        <w:t>23</w:t>
      </w:r>
      <w:r>
        <w:fldChar w:fldCharType="end"/>
      </w:r>
      <w:r>
        <w:t xml:space="preserve"> shows a simple representation of the transfer learning process. We provide more details of transfer learning in the next subsection. </w:t>
      </w:r>
    </w:p>
    <w:p w14:paraId="2F845111" w14:textId="77777777" w:rsidR="0053410A" w:rsidRPr="00E84541" w:rsidRDefault="0053410A" w:rsidP="002F1077">
      <w:pPr>
        <w:jc w:val="center"/>
      </w:pPr>
      <w:bookmarkStart w:id="176" w:name="_Ref519431980"/>
      <w:r w:rsidRPr="001B6663">
        <w:rPr>
          <w:noProof/>
          <w:lang w:bidi="ar-SA"/>
        </w:rPr>
        <w:drawing>
          <wp:inline distT="0" distB="0" distL="0" distR="0" wp14:anchorId="18F4B18C" wp14:editId="79B74DCC">
            <wp:extent cx="5222123" cy="289560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26364" cy="2897952"/>
                    </a:xfrm>
                    <a:prstGeom prst="rect">
                      <a:avLst/>
                    </a:prstGeom>
                    <a:noFill/>
                    <a:ln>
                      <a:noFill/>
                    </a:ln>
                  </pic:spPr>
                </pic:pic>
              </a:graphicData>
            </a:graphic>
          </wp:inline>
        </w:drawing>
      </w:r>
    </w:p>
    <w:p w14:paraId="0226C78E" w14:textId="77777777" w:rsidR="0053410A" w:rsidRDefault="0053410A" w:rsidP="00607DF1">
      <w:pPr>
        <w:pStyle w:val="Caption"/>
      </w:pPr>
      <w:bookmarkStart w:id="177" w:name="_Ref528666232"/>
      <w:bookmarkStart w:id="178" w:name="_Toc26534509"/>
      <w:r w:rsidRPr="00E84541">
        <w:t xml:space="preserve">Figure </w:t>
      </w:r>
      <w:r w:rsidR="00CE1F3C">
        <w:fldChar w:fldCharType="begin"/>
      </w:r>
      <w:r w:rsidR="00CE1F3C">
        <w:instrText xml:space="preserve"> SEQ Figure \* ARABIC </w:instrText>
      </w:r>
      <w:r w:rsidR="00CE1F3C">
        <w:fldChar w:fldCharType="separate"/>
      </w:r>
      <w:r>
        <w:rPr>
          <w:noProof/>
        </w:rPr>
        <w:t>23</w:t>
      </w:r>
      <w:r w:rsidR="00CE1F3C">
        <w:rPr>
          <w:noProof/>
        </w:rPr>
        <w:fldChar w:fldCharType="end"/>
      </w:r>
      <w:bookmarkEnd w:id="177"/>
      <w:r w:rsidRPr="00E84541">
        <w:t xml:space="preserve">: </w:t>
      </w:r>
      <w:r w:rsidRPr="004D1A07">
        <w:t xml:space="preserve">Visual representation of the </w:t>
      </w:r>
      <w:r>
        <w:t xml:space="preserve">transfer </w:t>
      </w:r>
      <w:r w:rsidRPr="00E84541">
        <w:t>learning process</w:t>
      </w:r>
      <w:r>
        <w:t>.</w:t>
      </w:r>
      <w:r w:rsidRPr="00E84541">
        <w:t xml:space="preserve"> A CNN is trained on the </w:t>
      </w:r>
      <w:r>
        <w:t xml:space="preserve">primary </w:t>
      </w:r>
      <w:r w:rsidRPr="00E84541">
        <w:t>task</w:t>
      </w:r>
      <w:r>
        <w:t>, generally containing many (millions) of samples</w:t>
      </w:r>
      <w:r w:rsidRPr="00E84541">
        <w:t xml:space="preserve">. </w:t>
      </w:r>
      <w:r w:rsidRPr="004D1A07">
        <w:t xml:space="preserve">We generically represent convolutional and pooling layers with gray and golden rectangles whereas green circles represent densely connected neurons, commonly used </w:t>
      </w:r>
      <w:r>
        <w:t xml:space="preserve">in the </w:t>
      </w:r>
      <w:r w:rsidRPr="004D1A07">
        <w:t>classification layers. “</w:t>
      </w:r>
      <w:r>
        <w:t>Primary task</w:t>
      </w:r>
      <w:r w:rsidRPr="004D1A07">
        <w:t xml:space="preserve">” (a.) in this case represents an image from the </w:t>
      </w:r>
      <w:r>
        <w:t xml:space="preserve">ImageNet dataset </w:t>
      </w:r>
      <w:r w:rsidRPr="004D1A07">
        <w:t xml:space="preserve">going through a generic CNN model (convolutional layers and classification layers) trained on the same dataset. The CNN model then outputs the probability of the image belonging to one of the thousands of classes of the </w:t>
      </w:r>
      <w:r>
        <w:t>ImageNet</w:t>
      </w:r>
      <w:r w:rsidRPr="004D1A07">
        <w:t>. For “</w:t>
      </w:r>
      <w:r>
        <w:t xml:space="preserve">secondary task” </w:t>
      </w:r>
      <w:r w:rsidRPr="004D1A07">
        <w:t xml:space="preserve">we </w:t>
      </w:r>
      <w:r>
        <w:t xml:space="preserve">use the weights </w:t>
      </w:r>
      <w:r w:rsidRPr="004D1A07">
        <w:t xml:space="preserve">learned by the convolutional layers on </w:t>
      </w:r>
      <w:r>
        <w:t>primary task</w:t>
      </w:r>
      <w:r w:rsidRPr="004D1A07">
        <w:t xml:space="preserve"> using the blue rectangle </w:t>
      </w:r>
      <w:r>
        <w:t>to represent weights learned on the primary task</w:t>
      </w:r>
      <w:r w:rsidRPr="004D1A07">
        <w:t xml:space="preserve">. We then train a new classification </w:t>
      </w:r>
      <w:r w:rsidRPr="00A8003E">
        <w:t>model</w:t>
      </w:r>
      <w:r>
        <w:t>.</w:t>
      </w:r>
      <w:bookmarkEnd w:id="176"/>
      <w:bookmarkEnd w:id="178"/>
    </w:p>
    <w:p w14:paraId="24C245EA" w14:textId="77777777" w:rsidR="0053410A" w:rsidRPr="00E84541" w:rsidRDefault="0053410A" w:rsidP="0053410A">
      <w:pPr>
        <w:ind w:firstLine="720"/>
      </w:pPr>
    </w:p>
    <w:p w14:paraId="4C00E5BF" w14:textId="77777777" w:rsidR="0053410A" w:rsidRDefault="0053410A" w:rsidP="0053410A">
      <w:pPr>
        <w:ind w:firstLine="720"/>
      </w:pPr>
      <w:r w:rsidRPr="00E84541">
        <w:t>Accurate identification of a fusulinid relies on attributes observable from an oriented section exposed along the long axis of the (prolate spheroid-shaped) fusulinid, bisecting the center. A transverse section is useful, but the longitudinal section is essential (</w:t>
      </w:r>
      <w:r w:rsidRPr="00E84541">
        <w:fldChar w:fldCharType="begin"/>
      </w:r>
      <w:r w:rsidRPr="00E84541">
        <w:instrText xml:space="preserve"> REF _Ref536537037 \h </w:instrText>
      </w:r>
      <w:r>
        <w:instrText xml:space="preserve"> \* MERGEFORMAT </w:instrText>
      </w:r>
      <w:r w:rsidRPr="00E84541">
        <w:fldChar w:fldCharType="separate"/>
      </w:r>
      <w:r w:rsidRPr="00E84541">
        <w:t xml:space="preserve">Figure </w:t>
      </w:r>
      <w:r>
        <w:rPr>
          <w:noProof/>
        </w:rPr>
        <w:t>24</w:t>
      </w:r>
      <w:r w:rsidRPr="00E84541">
        <w:fldChar w:fldCharType="end"/>
      </w:r>
      <w:r w:rsidRPr="00E84541">
        <w:t xml:space="preserve">). Both sections reduce the complex internal morphology of fusulinids to two-dimensional views that can be easily imaged. Because fusulinid workers have used these oriented sections for years, an extremely large number of specimens oriented in the same manner exist in legacy collections in </w:t>
      </w:r>
      <w:r w:rsidRPr="00E84541">
        <w:lastRenderedPageBreak/>
        <w:t>museums</w:t>
      </w:r>
      <w:r>
        <w:t>, although access to such images is not always easy</w:t>
      </w:r>
      <w:r w:rsidRPr="00E84541">
        <w:t xml:space="preserve">. Thin-section collections, however, commonly consist not only of individual specimens of well-oriented longitudinal sections, but also thin-sections of fossil-bearing rocks in which cuts through specimens are randomly oriented and thus yield apparently different sizes and shapes. </w:t>
      </w:r>
      <w:r>
        <w:t>In this initial work</w:t>
      </w:r>
      <w:r w:rsidRPr="00E84541">
        <w:t>, the training set contained only those thin-sections with well-oriented longitudinal cuts</w:t>
      </w:r>
      <w:r>
        <w:t>.</w:t>
      </w:r>
    </w:p>
    <w:p w14:paraId="597AA2A8" w14:textId="77777777" w:rsidR="0053410A" w:rsidRPr="00E84541" w:rsidRDefault="0053410A" w:rsidP="002F1077">
      <w:pPr>
        <w:pStyle w:val="Caption"/>
        <w:jc w:val="center"/>
      </w:pPr>
      <w:r w:rsidRPr="00ED4A2E">
        <w:rPr>
          <w:noProof/>
          <w:lang w:bidi="ar-SA"/>
        </w:rPr>
        <w:drawing>
          <wp:inline distT="0" distB="0" distL="0" distR="0" wp14:anchorId="474B9D81" wp14:editId="3AE63B00">
            <wp:extent cx="3257550" cy="2486025"/>
            <wp:effectExtent l="0" t="0" r="0" b="9525"/>
            <wp:docPr id="203" name="Picture 203" descr="v2_fi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2_fig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257550" cy="2486025"/>
                    </a:xfrm>
                    <a:prstGeom prst="rect">
                      <a:avLst/>
                    </a:prstGeom>
                    <a:noFill/>
                    <a:ln>
                      <a:noFill/>
                    </a:ln>
                  </pic:spPr>
                </pic:pic>
              </a:graphicData>
            </a:graphic>
          </wp:inline>
        </w:drawing>
      </w:r>
    </w:p>
    <w:p w14:paraId="50BEF1CE" w14:textId="77777777" w:rsidR="0053410A" w:rsidRPr="00E84541" w:rsidRDefault="0053410A" w:rsidP="0053410A">
      <w:pPr>
        <w:spacing w:line="240" w:lineRule="auto"/>
      </w:pPr>
      <w:bookmarkStart w:id="179" w:name="_Ref536537037"/>
      <w:bookmarkStart w:id="180" w:name="_Toc26534510"/>
      <w:r w:rsidRPr="00E84541">
        <w:t xml:space="preserve">Figure </w:t>
      </w:r>
      <w:r w:rsidR="00CE1F3C">
        <w:fldChar w:fldCharType="begin"/>
      </w:r>
      <w:r w:rsidR="00CE1F3C">
        <w:instrText xml:space="preserve"> SEQ Figure \* ARABIC </w:instrText>
      </w:r>
      <w:r w:rsidR="00CE1F3C">
        <w:fldChar w:fldCharType="separate"/>
      </w:r>
      <w:r>
        <w:rPr>
          <w:noProof/>
        </w:rPr>
        <w:t>24</w:t>
      </w:r>
      <w:r w:rsidR="00CE1F3C">
        <w:rPr>
          <w:noProof/>
        </w:rPr>
        <w:fldChar w:fldCharType="end"/>
      </w:r>
      <w:bookmarkEnd w:id="179"/>
      <w:r w:rsidRPr="00E84541">
        <w:t xml:space="preserve">: Thin-sections with different orientations from the analyzed collection: 1. </w:t>
      </w:r>
      <w:r w:rsidRPr="00E84541">
        <w:rPr>
          <w:i/>
        </w:rPr>
        <w:t>Beedeina mutabilis</w:t>
      </w:r>
      <w:r w:rsidRPr="00E84541">
        <w:t xml:space="preserve"> with a longitudinal cut, and 2. </w:t>
      </w:r>
      <w:r w:rsidRPr="00E84541">
        <w:rPr>
          <w:i/>
        </w:rPr>
        <w:t>B. mutabilis</w:t>
      </w:r>
      <w:r w:rsidRPr="00E84541">
        <w:t xml:space="preserve"> with a transverse cut.</w:t>
      </w:r>
      <w:bookmarkEnd w:id="180"/>
    </w:p>
    <w:p w14:paraId="484F3F75" w14:textId="77777777" w:rsidR="0053410A" w:rsidRPr="00E84541" w:rsidRDefault="0053410A" w:rsidP="0053410A">
      <w:pPr>
        <w:ind w:firstLine="720"/>
      </w:pPr>
    </w:p>
    <w:p w14:paraId="23423A41" w14:textId="77777777" w:rsidR="0053410A" w:rsidRDefault="0053410A" w:rsidP="0053410A">
      <w:pPr>
        <w:ind w:firstLine="720"/>
      </w:pPr>
      <w:r w:rsidRPr="00E84541">
        <w:t xml:space="preserve">Our </w:t>
      </w:r>
      <w:r>
        <w:t>fusulinid</w:t>
      </w:r>
      <w:r w:rsidRPr="00E84541">
        <w:t xml:space="preserve"> dataset comprises original fusulinid thin-sections from </w:t>
      </w:r>
      <w:r w:rsidRPr="00E84541">
        <w:rPr>
          <w:rStyle w:val="FootnoteReference"/>
        </w:rPr>
        <w:fldChar w:fldCharType="begin" w:fldLock="1"/>
      </w:r>
      <w:r w:rsidRPr="00E84541">
        <w:instrText>ADDIN CSL_CITATION {"citationItems":[{"id":"ITEM-1","itemData":{"author":[{"dropping-particle":"","family":"Waddell","given":"Dwight E.","non-dropping-particle":"","parse-names":false,"suffix":""}],"id":"ITEM-1","issued":{"date-parts":[["1966"]]},"number-of-pages":"128","publisher":"Oklahoma Geological Survey Bulletin 113","title":"Pennsylvanian fusulinids in the Ardmore Basin - Love and Carter counties, Oklahoma","type":"book"},"uris":["http://www.mendeley.com/documents/?uuid=f2560a3c-3292-3144-a6dd-1539181ffbaa"]}],"mendeley":{"formattedCitation":"(Waddell 1966)","manualFormatting":"Waddell (1966)","plainTextFormattedCitation":"(Waddell 1966)","previouslyFormattedCitation":"(Waddell 1966)"},"properties":{"noteIndex":0},"schema":"https://github.com/citation-style-language/schema/raw/master/csl-citation.json"}</w:instrText>
      </w:r>
      <w:r w:rsidRPr="00E84541">
        <w:rPr>
          <w:rStyle w:val="FootnoteReference"/>
        </w:rPr>
        <w:fldChar w:fldCharType="separate"/>
      </w:r>
      <w:r w:rsidRPr="00E84541">
        <w:rPr>
          <w:noProof/>
        </w:rPr>
        <w:t>Waddell (1966)</w:t>
      </w:r>
      <w:r w:rsidRPr="00E84541">
        <w:rPr>
          <w:rStyle w:val="FootnoteReference"/>
        </w:rPr>
        <w:fldChar w:fldCharType="end"/>
      </w:r>
      <w:r w:rsidRPr="00E84541">
        <w:t xml:space="preserve"> housed at the Sam Noble Museum at the University of Oklahoma (OU) imaged through modern digital photography. The Waddell collection comprises four different Pennsylvanian fusulinid genera: </w:t>
      </w:r>
      <w:r w:rsidRPr="00E84541">
        <w:rPr>
          <w:i/>
        </w:rPr>
        <w:t xml:space="preserve">Beedeina </w:t>
      </w:r>
      <w:r w:rsidRPr="00E84541">
        <w:t>(</w:t>
      </w:r>
      <w:r w:rsidRPr="00E84541">
        <w:rPr>
          <w:i/>
        </w:rPr>
        <w:t>Fusulina)</w:t>
      </w:r>
      <w:r w:rsidRPr="00E84541">
        <w:t xml:space="preserve">, </w:t>
      </w:r>
      <w:r w:rsidRPr="00E84541">
        <w:rPr>
          <w:i/>
        </w:rPr>
        <w:t>Wedekindellina</w:t>
      </w:r>
      <w:r w:rsidRPr="00E84541">
        <w:t xml:space="preserve">, </w:t>
      </w:r>
      <w:r w:rsidRPr="00E84541">
        <w:rPr>
          <w:i/>
        </w:rPr>
        <w:t>Triticites</w:t>
      </w:r>
      <w:r w:rsidRPr="00E84541">
        <w:t xml:space="preserve">, and </w:t>
      </w:r>
      <w:r w:rsidRPr="00E84541">
        <w:rPr>
          <w:i/>
        </w:rPr>
        <w:t>Fusulinella</w:t>
      </w:r>
      <w:r w:rsidRPr="00E84541">
        <w:t xml:space="preserve">. Samples from the American Museum of Natural History (AMNH) acquired through the iDigBio portal, an important initiative in digital access to biological collections, provided three additional Permian genera: </w:t>
      </w:r>
      <w:r w:rsidRPr="00E84541">
        <w:rPr>
          <w:i/>
        </w:rPr>
        <w:t>Parafusulina</w:t>
      </w:r>
      <w:r w:rsidRPr="00E84541">
        <w:t xml:space="preserve">, </w:t>
      </w:r>
      <w:r w:rsidRPr="00E84541">
        <w:rPr>
          <w:i/>
        </w:rPr>
        <w:t>Pseudofusulina</w:t>
      </w:r>
      <w:r w:rsidRPr="00E84541">
        <w:t xml:space="preserve">, and </w:t>
      </w:r>
      <w:r w:rsidRPr="00E84541">
        <w:rPr>
          <w:i/>
        </w:rPr>
        <w:t>Schwagerina</w:t>
      </w:r>
      <w:r w:rsidRPr="00E84541">
        <w:t xml:space="preserve">. </w:t>
      </w:r>
      <w:r>
        <w:t xml:space="preserve">Figures from Thompson (1954) and Walhman (2019) provide additional samples of </w:t>
      </w:r>
      <w:r w:rsidRPr="00E84541">
        <w:rPr>
          <w:i/>
        </w:rPr>
        <w:t xml:space="preserve">Beedeina </w:t>
      </w:r>
      <w:r w:rsidRPr="00E84541">
        <w:t>(</w:t>
      </w:r>
      <w:r w:rsidRPr="00E84541">
        <w:rPr>
          <w:i/>
        </w:rPr>
        <w:t>Fusulina</w:t>
      </w:r>
      <w:r w:rsidRPr="00E84541">
        <w:t>)</w:t>
      </w:r>
      <w:r>
        <w:t xml:space="preserve">, </w:t>
      </w:r>
      <w:r w:rsidRPr="00E84541">
        <w:rPr>
          <w:i/>
        </w:rPr>
        <w:t>Fusulinella</w:t>
      </w:r>
      <w:r>
        <w:t xml:space="preserve">, </w:t>
      </w:r>
      <w:r w:rsidRPr="002D2154">
        <w:rPr>
          <w:i/>
          <w:iCs/>
        </w:rPr>
        <w:t>Pseudofusulina</w:t>
      </w:r>
      <w:r>
        <w:t xml:space="preserve">, </w:t>
      </w:r>
      <w:r w:rsidRPr="000824BF">
        <w:rPr>
          <w:i/>
          <w:iCs/>
          <w:color w:val="000000"/>
        </w:rPr>
        <w:t>Pseudoschwagerina</w:t>
      </w:r>
      <w:r w:rsidRPr="00C97D2E">
        <w:t>,</w:t>
      </w:r>
      <w:r>
        <w:t xml:space="preserve"> </w:t>
      </w:r>
      <w:r w:rsidRPr="00E84541">
        <w:rPr>
          <w:i/>
        </w:rPr>
        <w:t>Schwagerina</w:t>
      </w:r>
      <w:r w:rsidRPr="002D2154">
        <w:rPr>
          <w:iCs/>
        </w:rPr>
        <w:t>,</w:t>
      </w:r>
      <w:r w:rsidRPr="00EC1FAF">
        <w:rPr>
          <w:i/>
        </w:rPr>
        <w:t xml:space="preserve"> </w:t>
      </w:r>
      <w:r w:rsidRPr="00E84541">
        <w:rPr>
          <w:i/>
        </w:rPr>
        <w:t>Wedekindellina</w:t>
      </w:r>
      <w:r w:rsidRPr="002D2154">
        <w:rPr>
          <w:iCs/>
        </w:rPr>
        <w:t>,</w:t>
      </w:r>
      <w:r>
        <w:rPr>
          <w:i/>
        </w:rPr>
        <w:t xml:space="preserve"> </w:t>
      </w:r>
      <w:r w:rsidRPr="002D2154">
        <w:rPr>
          <w:iCs/>
        </w:rPr>
        <w:t>and</w:t>
      </w:r>
      <w:r>
        <w:rPr>
          <w:i/>
        </w:rPr>
        <w:t xml:space="preserve"> </w:t>
      </w:r>
      <w:r w:rsidRPr="00E84541">
        <w:rPr>
          <w:i/>
        </w:rPr>
        <w:t>Triticites</w:t>
      </w:r>
      <w:r w:rsidRPr="00290769">
        <w:rPr>
          <w:iCs/>
        </w:rPr>
        <w:t xml:space="preserve">. </w:t>
      </w:r>
      <w:r>
        <w:rPr>
          <w:iCs/>
        </w:rPr>
        <w:t xml:space="preserve">We also </w:t>
      </w:r>
      <w:r>
        <w:rPr>
          <w:iCs/>
        </w:rPr>
        <w:lastRenderedPageBreak/>
        <w:t xml:space="preserve">extracted data from </w:t>
      </w:r>
      <w:r>
        <w:rPr>
          <w:iCs/>
        </w:rPr>
        <w:fldChar w:fldCharType="begin" w:fldLock="1"/>
      </w:r>
      <w:r>
        <w:rPr>
          <w:iCs/>
        </w:rPr>
        <w:instrText>ADDIN CSL_CITATION {"citationItems":[{"id":"ITEM-1","itemData":{"author":[{"dropping-particle":"","family":"Williams","given":"Thomas Ellis","non-dropping-particle":"","parse-names":false,"suffix":""}],"id":"ITEM-1","issued":{"date-parts":[["1963"]]},"publisher":"Peabody Museum, Yale University","title":"Fusulinidae of the Hueco Group (Lower Permian) Hueco Mountains, Texas","type":"book"},"uris":["http://www.mendeley.com/documents/?uuid=4b80ab99-2d02-4c48-b714-4e1b08f69113"]}],"mendeley":{"formattedCitation":"(Williams 1963)","manualFormatting":"Williams (1963)","plainTextFormattedCitation":"(Williams 1963)","previouslyFormattedCitation":"(Williams 1963)"},"properties":{"noteIndex":0},"schema":"https://github.com/citation-style-language/schema/raw/master/csl-citation.json"}</w:instrText>
      </w:r>
      <w:r>
        <w:rPr>
          <w:iCs/>
        </w:rPr>
        <w:fldChar w:fldCharType="separate"/>
      </w:r>
      <w:r w:rsidRPr="00290769">
        <w:rPr>
          <w:iCs/>
          <w:noProof/>
        </w:rPr>
        <w:t xml:space="preserve">Williams </w:t>
      </w:r>
      <w:r>
        <w:rPr>
          <w:iCs/>
          <w:noProof/>
        </w:rPr>
        <w:t>(</w:t>
      </w:r>
      <w:r w:rsidRPr="00290769">
        <w:rPr>
          <w:iCs/>
          <w:noProof/>
        </w:rPr>
        <w:t>1963)</w:t>
      </w:r>
      <w:r>
        <w:rPr>
          <w:iCs/>
        </w:rPr>
        <w:fldChar w:fldCharType="end"/>
      </w:r>
      <w:r>
        <w:rPr>
          <w:iCs/>
        </w:rPr>
        <w:t xml:space="preserve">, </w:t>
      </w:r>
      <w:r>
        <w:rPr>
          <w:iCs/>
        </w:rPr>
        <w:fldChar w:fldCharType="begin" w:fldLock="1"/>
      </w:r>
      <w:r>
        <w:rPr>
          <w:iCs/>
        </w:rPr>
        <w:instrText>ADDIN CSL_CITATION {"citationItems":[{"id":"ITEM-1","itemData":{"DOI":"10.1666/08-162.1","ISSN":"0022-3360","abstract":"Seven previously unrecognized fusulinid species from Lower Permian (Wolfcampian and Leonardian) turbidites near Conglomerate Mesa in east-central California, four of which are named as new species, are here described and figured. The four new species are Schwagerina merriami, S. wildei, Parafusulina mackevetti, and Skinnerella rossi. These fusulinid species have close affinities to similar taxa in Texas and northeastern Nevada, and they are distinct from some other faunas of slightly different age in the Conglomerate Mesa area that are dominated by endemic species and other species with Eastern Klamath Mountains affinities.","author":[{"dropping-particle":"","family":"Stevens","given":"Calvin H","non-dropping-particle":"","parse-names":false,"suffix":""},{"dropping-particle":"","family":"Stone","given":"Paul","non-dropping-particle":"","parse-names":false,"suffix":""}],"container-title":"Journal of Paleontology","id":"ITEM-1","issue":"3","issued":{"date-parts":[["2009","5","1"]]},"page":"399-404","title":"New Fusulinids from Lower Permian Turbidites at Conglomerate Mesa, Southeastern Inyo Mountains, East-central California","type":"article-journal","volume":"83"},"uris":["http://www.mendeley.com/documents/?uuid=cf900c3a-d846-40d9-8e74-c91c13a2ddd1"]}],"mendeley":{"formattedCitation":"(Stevens and Stone 2009)","manualFormatting":"Stevens and Stone (2009)","plainTextFormattedCitation":"(Stevens and Stone 2009)","previouslyFormattedCitation":"(Stevens and Stone 2009)"},"properties":{"noteIndex":0},"schema":"https://github.com/citation-style-language/schema/raw/master/csl-citation.json"}</w:instrText>
      </w:r>
      <w:r>
        <w:rPr>
          <w:iCs/>
        </w:rPr>
        <w:fldChar w:fldCharType="separate"/>
      </w:r>
      <w:r w:rsidRPr="00290769">
        <w:rPr>
          <w:iCs/>
          <w:noProof/>
        </w:rPr>
        <w:t xml:space="preserve">Stevens and Stone </w:t>
      </w:r>
      <w:r>
        <w:rPr>
          <w:iCs/>
          <w:noProof/>
        </w:rPr>
        <w:t>(</w:t>
      </w:r>
      <w:r w:rsidRPr="00290769">
        <w:rPr>
          <w:iCs/>
          <w:noProof/>
        </w:rPr>
        <w:t>2009)</w:t>
      </w:r>
      <w:r>
        <w:rPr>
          <w:iCs/>
        </w:rPr>
        <w:fldChar w:fldCharType="end"/>
      </w:r>
      <w:r>
        <w:rPr>
          <w:iCs/>
        </w:rPr>
        <w:t xml:space="preserve">, </w:t>
      </w:r>
      <w:r>
        <w:rPr>
          <w:iCs/>
        </w:rPr>
        <w:fldChar w:fldCharType="begin" w:fldLock="1"/>
      </w:r>
      <w:r>
        <w:rPr>
          <w:iCs/>
        </w:rPr>
        <w:instrText>ADDIN CSL_CITATION {"citationItems":[{"id":"ITEM-1","itemData":{"DOI":"10.2517/1342-8144-16.3.219","ISSN":"1342-8144","abstract":"Late Early Carboniferous (late Visean) to late Middle Permian (Capitanian) foraminifers have been recovered from limestone blocks and fragments contained in the Tsunemori Formation in Yamaguchi Prefecture, Southwest Japan, which is unconformably overlain by the Upper Triassic Mine Group. An analysis of the Tsunemori fauna shows an almost identical composition with that of the Akiyoshi Limestone Group. The ages of the limestone clasts of the Tsunemori Formation nearly completely coincide with those of the strata of the Akiyoshi Limestone Group. The Akiyoshi Limestone Group is subdivided into 28 foraminiferal zones, and faunal elements corresponding to 24 of these 28 zones are recognized in limestone blocks and fragments of the Tsunemori Formation. Species from the remaining four zones (late Visean Endothyra sp. Zone, the late Moscovian Fusulinella bocki Zone, early Asselian Sphaeroschwagerina fusiformis Zone, and Bolorian Misellina dyhrenfurthi Zone) in the Akiyoshi Limestone Group have not been found in the Tsunemori Formation, whose blocks and fragments are thought to have been all derived from the ancient Akiyoshi seamount. A limestone conglomerate previously assigned to the basal conglomerate of the Mine Group should be separated from the Mine Group and instead included in the Tsunemori Formation. Twelve species of foraminifers are systematically described.","author":[{"dropping-particle":"","family":"Kobayashi","given":"Fumio","non-dropping-particle":"","parse-names":false,"suffix":""}],"container-title":"Paleontological Research","id":"ITEM-1","issue":"3","issued":{"date-parts":[["2012","9","1"]]},"page":"219-243","publisher":"Palaeontological Society of Japan","title":"Late Paleozoic Foraminifers from Limestone Blocks and Fragments of the Permian Tsunemori Formation and Their Connection to the Akiyoshi Limestone Group, Southwest Japan","type":"article-journal","volume":"16"},"uris":["http://www.mendeley.com/documents/?uuid=d86b08c1-4c6e-3dfa-8e3e-4ef9f03d4a47"]}],"mendeley":{"formattedCitation":"(Kobayashi 2012)","manualFormatting":"Kobayashi (2012)","plainTextFormattedCitation":"(Kobayashi 2012)","previouslyFormattedCitation":"(Kobayashi 2012)"},"properties":{"noteIndex":0},"schema":"https://github.com/citation-style-language/schema/raw/master/csl-citation.json"}</w:instrText>
      </w:r>
      <w:r>
        <w:rPr>
          <w:iCs/>
        </w:rPr>
        <w:fldChar w:fldCharType="separate"/>
      </w:r>
      <w:r w:rsidRPr="00290769">
        <w:rPr>
          <w:iCs/>
          <w:noProof/>
        </w:rPr>
        <w:t xml:space="preserve">Kobayashi </w:t>
      </w:r>
      <w:r>
        <w:rPr>
          <w:iCs/>
          <w:noProof/>
        </w:rPr>
        <w:t>(</w:t>
      </w:r>
      <w:r w:rsidRPr="00290769">
        <w:rPr>
          <w:iCs/>
          <w:noProof/>
        </w:rPr>
        <w:t>2012)</w:t>
      </w:r>
      <w:r>
        <w:rPr>
          <w:iCs/>
        </w:rPr>
        <w:fldChar w:fldCharType="end"/>
      </w:r>
      <w:r>
        <w:rPr>
          <w:iCs/>
        </w:rPr>
        <w:t xml:space="preserve">, </w:t>
      </w:r>
      <w:r>
        <w:rPr>
          <w:iCs/>
        </w:rPr>
        <w:fldChar w:fldCharType="begin" w:fldLock="1"/>
      </w:r>
      <w:r>
        <w:rPr>
          <w:iCs/>
        </w:rPr>
        <w:instrText>ADDIN CSL_CITATION {"citationItems":[{"id":"ITEM-1","itemData":{"DOI":"10.1017/jpa.2016.105","ISSN":"0022-3360","abstract":"&lt;p&gt; A new monospecific “caninioid” genus, &lt;italic&gt;Preisingerella&lt;/italic&gt; n. gen., from the lower Permian of the Karavanke Mountains (Southern Alps, Slovenia) is erected. The type species is &lt;italic&gt;Preisingerella stegovnikensis&lt;/italic&gt; n. sp. The new taxon can be differentiated from other &lt;italic&gt;Caninia&lt;/italic&gt; -type genera by its specific ontogeny and features of its dissepimentarium. Corals with such morphology had a wide distribution during the Carboniferous and early Permian, occurring in mostly shallow-water carbonate rocks. The phylogenetic relationships within this group are mostly unclear due to similarities in the adult stages. The earlier stages reveal the main distinguishing features that are decisive for a generic assignment, but these have rarely been well preserved and properly considered. The new taxon is compared with related genera of the Cyathopsidae and species of &lt;italic&gt;Caninella&lt;/italic&gt; Gorskiy, 1938 characterized by lateral dissepiments. Large numbers of specimens of the new species, representing a monospecific assemblage, have been collected from the Born Formation at Mt. Stegovnik. Sedimentological and microfacies characteristics, as well as macro- and microfossil assemblages, underline this correlation. The fusulinoidean assemblage of the Born Formation, with &lt;italic&gt;Sphaeroschwagerina carniolica&lt;/italic&gt; (Kahler and Kahler, 1937), as the predominant species, corresponds to the time span between the &lt;italic&gt;Sphaeroschwagerina moelleri&lt;/italic&gt; - &lt;italic&gt;Schwagerina fecunda&lt;/italic&gt; and &lt;italic&gt;Pseudofusulina moelleri&lt;/italic&gt; zones, indicating a late Asselian to early Sakmarian age in the Southern Urals. &lt;/p&gt;","author":[{"dropping-particle":"","family":"Kossovaya","given":"Olga L.","non-dropping-particle":"","parse-names":false,"suffix":""},{"dropping-particle":"","family":"Novak","given":"Matevž","non-dropping-particle":"","parse-names":false,"suffix":""},{"dropping-particle":"","family":"Weyer","given":"Dieter","non-dropping-particle":"","parse-names":false,"suffix":""}],"container-title":"Journal of Paleontology","id":"ITEM-1","issue":"6","issued":{"date-parts":[["2016","11","19"]]},"page":"1049-1067","publisher":"Paleontological Society","title":"Large-sized Early Permian “caninioid” corals from the Karavanke Mountains, Slovenia","type":"article-journal","volume":"90"},"uris":["http://www.mendeley.com/documents/?uuid=1bab81e4-a3f7-3237-a8ac-15a7cbf6a1dc"]}],"mendeley":{"formattedCitation":"(Kossovaya et al. 2016)","manualFormatting":"Kossovaya et al. (2016)","plainTextFormattedCitation":"(Kossovaya et al. 2016)"},"properties":{"noteIndex":0},"schema":"https://github.com/citation-style-language/schema/raw/master/csl-citation.json"}</w:instrText>
      </w:r>
      <w:r>
        <w:rPr>
          <w:iCs/>
        </w:rPr>
        <w:fldChar w:fldCharType="separate"/>
      </w:r>
      <w:r w:rsidRPr="00290769">
        <w:rPr>
          <w:iCs/>
          <w:noProof/>
        </w:rPr>
        <w:t xml:space="preserve">Kossovaya et al. </w:t>
      </w:r>
      <w:r>
        <w:rPr>
          <w:iCs/>
          <w:noProof/>
        </w:rPr>
        <w:t>(</w:t>
      </w:r>
      <w:r w:rsidRPr="00290769">
        <w:rPr>
          <w:iCs/>
          <w:noProof/>
        </w:rPr>
        <w:t>2016)</w:t>
      </w:r>
      <w:r>
        <w:rPr>
          <w:iCs/>
        </w:rPr>
        <w:fldChar w:fldCharType="end"/>
      </w:r>
      <w:r>
        <w:rPr>
          <w:iCs/>
        </w:rPr>
        <w:t xml:space="preserve"> </w:t>
      </w:r>
      <w:r>
        <w:rPr>
          <w:iCs/>
        </w:rPr>
        <w:fldChar w:fldCharType="begin" w:fldLock="1"/>
      </w:r>
      <w:r>
        <w:rPr>
          <w:iCs/>
        </w:rPr>
        <w:instrText>ADDIN CSL_CITATION {"citationItems":[{"id":"ITEM-1","itemData":{"DOI":"10.2517/2018PR014","ISSN":"1342-8144","abstract":"Twenty species of fusulines and ten species of non-fusuline foraminifers have been identified from 20 limestone samples along Gongendani, a valley south of Mt. Ryozen, Shiga Prefecture, Japan. They are dominated by Pseudofusulina norikurensis, Ps. isomie, and Acervoschwagerina gongendaniensis, and considered to be late Cisuralian (late early Permian) based on their coexistence with five subordinate species reported from the Yakhtashian (Artinskian) and the Bolorian (lower Kungurian) in the southeast Pamir and other Tethyan regions. Taxonomic composition of the schwagerinids of Gongendani and other faunas in the Mino Terrane is considerably different from that of coeval faunas in the Permian Akiyoshi Terrane. It is highly probable that Acervoschwagerina is Yakhtashian and possibly ranging up to Bolorian. Thirteen species of fusulines including two new species, Acervoschwagerina gongendaniensis Kobayashi and Cuniculinella omiensis Kobayashi are described systematically.","author":[{"dropping-particle":"","family":"Kobayashi","given":"Fumio","non-dropping-particle":"","parse-names":false,"suffix":""},{"dropping-particle":"","family":"Furutani","given":"Hiroshi","non-dropping-particle":"","parse-names":false,"suffix":""}],"container-title":"Paleontological Research","id":"ITEM-1","issue":"2","issued":{"date-parts":[["2019","4","8"]]},"page":"131","publisher":"Palaeontological Society of Japan","title":"Late Early Permian Fusulines along Gongendani, South of Mt. Ryozen, Shiga Prefecture, Central Japan","type":"article-journal","volume":"23"},"uris":["http://www.mendeley.com/documents/?uuid=f991c443-b8a4-32b7-887b-67b34791977e"]}],"mendeley":{"formattedCitation":"(Kobayashi and Furutani 2019)","manualFormatting":"Kobayashi and Furutani (2019)","plainTextFormattedCitation":"(Kobayashi and Furutani 2019)","previouslyFormattedCitation":"(Kobayashi and Furutani 2019)"},"properties":{"noteIndex":0},"schema":"https://github.com/citation-style-language/schema/raw/master/csl-citation.json"}</w:instrText>
      </w:r>
      <w:r>
        <w:rPr>
          <w:iCs/>
        </w:rPr>
        <w:fldChar w:fldCharType="separate"/>
      </w:r>
      <w:r w:rsidRPr="00290769">
        <w:rPr>
          <w:iCs/>
          <w:noProof/>
        </w:rPr>
        <w:t xml:space="preserve">Kobayashi and Furutani </w:t>
      </w:r>
      <w:r>
        <w:rPr>
          <w:iCs/>
          <w:noProof/>
        </w:rPr>
        <w:t>(</w:t>
      </w:r>
      <w:r w:rsidRPr="00290769">
        <w:rPr>
          <w:iCs/>
          <w:noProof/>
        </w:rPr>
        <w:t>2019)</w:t>
      </w:r>
      <w:r>
        <w:rPr>
          <w:iCs/>
        </w:rPr>
        <w:fldChar w:fldCharType="end"/>
      </w:r>
      <w:r>
        <w:rPr>
          <w:iCs/>
        </w:rPr>
        <w:t xml:space="preserve"> </w:t>
      </w:r>
      <w:r>
        <w:rPr>
          <w:iCs/>
        </w:rPr>
        <w:fldChar w:fldCharType="begin" w:fldLock="1"/>
      </w:r>
      <w:r>
        <w:rPr>
          <w:iCs/>
        </w:rPr>
        <w:instrText>ADDIN CSL_CITATION {"citationItems":[{"id":"ITEM-1","itemData":{"author":[{"dropping-particle":"","family":"Barrick","given":"James E","non-dropping-particle":"","parse-names":false,"suffix":""},{"dropping-particle":"","family":"Wahlman","given":"Gregory P","non-dropping-particle":"","parse-names":false,"suffix":""}],"container-title":"Stratigraphy","id":"ITEM-1","issue":"2","issued":{"date-parts":[["2019"]]},"page":"65-86","title":"Conodont and fusulinid biostratigraphy of the Strawn Group (Desmoinesian, Middle Pennsylvanian) and lower part of the\" Wolfcamp Shale\"(Missourian-Virgilian, Late Pennsylvanian) in the northern Midland Basin, West Texas","type":"article-journal","volume":"16"},"uris":["http://www.mendeley.com/documents/?uuid=6299b364-80d8-45c8-a72b-0d3f095910cf"]}],"mendeley":{"formattedCitation":"(Barrick and Wahlman 2019)","manualFormatting":"Barrick and Wahlman (2019)","plainTextFormattedCitation":"(Barrick and Wahlman 2019)","previouslyFormattedCitation":"(Barrick and Wahlman 2019)"},"properties":{"noteIndex":0},"schema":"https://github.com/citation-style-language/schema/raw/master/csl-citation.json"}</w:instrText>
      </w:r>
      <w:r>
        <w:rPr>
          <w:iCs/>
        </w:rPr>
        <w:fldChar w:fldCharType="separate"/>
      </w:r>
      <w:r w:rsidRPr="00290769">
        <w:rPr>
          <w:iCs/>
          <w:noProof/>
        </w:rPr>
        <w:t xml:space="preserve">Barrick and Wahlman </w:t>
      </w:r>
      <w:r>
        <w:rPr>
          <w:iCs/>
          <w:noProof/>
        </w:rPr>
        <w:t>(</w:t>
      </w:r>
      <w:r w:rsidRPr="00290769">
        <w:rPr>
          <w:iCs/>
          <w:noProof/>
        </w:rPr>
        <w:t>2019)</w:t>
      </w:r>
      <w:r>
        <w:rPr>
          <w:iCs/>
        </w:rPr>
        <w:fldChar w:fldCharType="end"/>
      </w:r>
      <w:r>
        <w:rPr>
          <w:iCs/>
        </w:rPr>
        <w:t xml:space="preserve">, and </w:t>
      </w:r>
      <w:r>
        <w:rPr>
          <w:iCs/>
        </w:rPr>
        <w:fldChar w:fldCharType="begin" w:fldLock="1"/>
      </w:r>
      <w:r>
        <w:rPr>
          <w:iCs/>
        </w:rPr>
        <w:instrText>ADDIN CSL_CITATION {"citationItems":[{"id":"ITEM-1","itemData":{"author":[{"dropping-particle":"","family":"Wahlman","given":"Gregory P.","non-dropping-particle":"","parse-names":false,"suffix":""}],"chapter-number":"Pennsylvan","container-title":"Anatomy of a Paleozoic Basin: The Permian Basin, USA, Volume 1","editor":[{"dropping-particle":"","family":"Ruppel","given":"Stephen C.","non-dropping-particle":"","parse-names":false,"suffix":""}],"id":"ITEM-1","issued":{"date-parts":[["2019"]]},"page":"167-227","publisher":", Bureau of Economic Geology Report of Investigations 285; AAPG Memoir 118","title":"Pennsylvanian and Lower Permian Fusulinid Biostratigraphy of the Permian Basin Region, Southwestern USA","type":"chapter"},"uris":["http://www.mendeley.com/documents/?uuid=88dcaeea-e44d-4db7-bb59-c3a5c96ff52e"]}],"mendeley":{"formattedCitation":"(Wahlman 2019)","manualFormatting":"Wahlman (2019)","plainTextFormattedCitation":"(Wahlman 2019)","previouslyFormattedCitation":"(Wahlman 2019)"},"properties":{"noteIndex":0},"schema":"https://github.com/citation-style-language/schema/raw/master/csl-citation.json"}</w:instrText>
      </w:r>
      <w:r>
        <w:rPr>
          <w:iCs/>
        </w:rPr>
        <w:fldChar w:fldCharType="separate"/>
      </w:r>
      <w:r w:rsidRPr="00290769">
        <w:rPr>
          <w:iCs/>
          <w:noProof/>
        </w:rPr>
        <w:t xml:space="preserve">Wahlman </w:t>
      </w:r>
      <w:r>
        <w:rPr>
          <w:iCs/>
          <w:noProof/>
        </w:rPr>
        <w:t>(</w:t>
      </w:r>
      <w:r w:rsidRPr="00290769">
        <w:rPr>
          <w:iCs/>
          <w:noProof/>
        </w:rPr>
        <w:t>2019)</w:t>
      </w:r>
      <w:r>
        <w:rPr>
          <w:iCs/>
        </w:rPr>
        <w:fldChar w:fldCharType="end"/>
      </w:r>
      <w:r>
        <w:rPr>
          <w:iCs/>
        </w:rPr>
        <w:t xml:space="preserve">. </w:t>
      </w:r>
      <w:r w:rsidRPr="00E84541">
        <w:t xml:space="preserve">Differences in thin-section image properties (e.g., background color), </w:t>
      </w:r>
      <w:r>
        <w:t xml:space="preserve">and data quality </w:t>
      </w:r>
      <w:r w:rsidRPr="00E84541">
        <w:t xml:space="preserve">increased the difficulties encountered for training. </w:t>
      </w:r>
      <w:r>
        <w:fldChar w:fldCharType="begin"/>
      </w:r>
      <w:r>
        <w:instrText xml:space="preserve"> REF _Ref24205852 \h </w:instrText>
      </w:r>
      <w:r>
        <w:fldChar w:fldCharType="separate"/>
      </w:r>
      <w:r>
        <w:t xml:space="preserve">Table </w:t>
      </w:r>
      <w:r>
        <w:rPr>
          <w:noProof/>
        </w:rPr>
        <w:t>5</w:t>
      </w:r>
      <w:r>
        <w:fldChar w:fldCharType="end"/>
      </w:r>
      <w:r>
        <w:t xml:space="preserve"> shows the data sources and </w:t>
      </w:r>
      <w:r>
        <w:fldChar w:fldCharType="begin"/>
      </w:r>
      <w:r>
        <w:instrText xml:space="preserve"> REF _Ref22311420 \h </w:instrText>
      </w:r>
      <w:r>
        <w:fldChar w:fldCharType="separate"/>
      </w:r>
      <w:r>
        <w:t xml:space="preserve">Table </w:t>
      </w:r>
      <w:r>
        <w:rPr>
          <w:noProof/>
        </w:rPr>
        <w:t>6</w:t>
      </w:r>
      <w:r>
        <w:fldChar w:fldCharType="end"/>
      </w:r>
      <w:r>
        <w:t xml:space="preserve"> shows the data available for the fusulinid experiment. More details on the data used are provided in the supplemental material. </w:t>
      </w:r>
    </w:p>
    <w:p w14:paraId="3EC1A5C8" w14:textId="77777777" w:rsidR="0053410A" w:rsidRDefault="0053410A" w:rsidP="00607DF1">
      <w:pPr>
        <w:pStyle w:val="Caption"/>
      </w:pPr>
      <w:bookmarkStart w:id="181" w:name="_Ref24205852"/>
      <w:bookmarkStart w:id="182" w:name="_Toc26534542"/>
      <w:r>
        <w:t xml:space="preserve">Table </w:t>
      </w:r>
      <w:r w:rsidR="00CE1F3C">
        <w:fldChar w:fldCharType="begin"/>
      </w:r>
      <w:r w:rsidR="00CE1F3C">
        <w:instrText xml:space="preserve"> SEQ Table \* ARABIC </w:instrText>
      </w:r>
      <w:r w:rsidR="00CE1F3C">
        <w:fldChar w:fldCharType="separate"/>
      </w:r>
      <w:r>
        <w:rPr>
          <w:noProof/>
        </w:rPr>
        <w:t>5</w:t>
      </w:r>
      <w:r w:rsidR="00CE1F3C">
        <w:rPr>
          <w:noProof/>
        </w:rPr>
        <w:fldChar w:fldCharType="end"/>
      </w:r>
      <w:bookmarkEnd w:id="181"/>
      <w:r>
        <w:t>: Genus and source for the images used in this experiment.</w:t>
      </w:r>
      <w:bookmarkEnd w:id="182"/>
    </w:p>
    <w:tbl>
      <w:tblPr>
        <w:tblW w:w="837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A0" w:firstRow="1" w:lastRow="0" w:firstColumn="1" w:lastColumn="0" w:noHBand="0" w:noVBand="1"/>
      </w:tblPr>
      <w:tblGrid>
        <w:gridCol w:w="2700"/>
        <w:gridCol w:w="5670"/>
      </w:tblGrid>
      <w:tr w:rsidR="0053410A" w:rsidRPr="009B0851" w14:paraId="5558D0EE" w14:textId="77777777" w:rsidTr="0053410A">
        <w:trPr>
          <w:trHeight w:val="288"/>
        </w:trPr>
        <w:tc>
          <w:tcPr>
            <w:tcW w:w="2700" w:type="dxa"/>
            <w:tcBorders>
              <w:top w:val="nil"/>
              <w:left w:val="nil"/>
              <w:bottom w:val="single" w:sz="4" w:space="0" w:color="666666"/>
              <w:right w:val="nil"/>
            </w:tcBorders>
            <w:shd w:val="clear" w:color="auto" w:fill="FFFFFF"/>
            <w:noWrap/>
            <w:hideMark/>
          </w:tcPr>
          <w:p w14:paraId="2601BF27" w14:textId="77777777" w:rsidR="0053410A" w:rsidRPr="009B0851" w:rsidRDefault="0053410A" w:rsidP="00F20080">
            <w:pPr>
              <w:jc w:val="right"/>
              <w:rPr>
                <w:rFonts w:ascii="Calibri" w:hAnsi="Calibri" w:cs="Calibri"/>
                <w:b/>
                <w:bCs/>
                <w:i/>
                <w:iCs/>
                <w:color w:val="000000"/>
                <w:sz w:val="22"/>
                <w:szCs w:val="22"/>
              </w:rPr>
            </w:pPr>
            <w:r w:rsidRPr="009B0851">
              <w:rPr>
                <w:rFonts w:ascii="Calibri" w:hAnsi="Calibri" w:cs="Calibri"/>
                <w:b/>
                <w:bCs/>
                <w:i/>
                <w:iCs/>
                <w:color w:val="000000"/>
                <w:sz w:val="22"/>
                <w:szCs w:val="22"/>
              </w:rPr>
              <w:t>Genus</w:t>
            </w:r>
          </w:p>
        </w:tc>
        <w:tc>
          <w:tcPr>
            <w:tcW w:w="5670" w:type="dxa"/>
            <w:tcBorders>
              <w:top w:val="nil"/>
              <w:left w:val="nil"/>
              <w:right w:val="nil"/>
            </w:tcBorders>
            <w:shd w:val="clear" w:color="auto" w:fill="FFFFFF"/>
            <w:noWrap/>
            <w:hideMark/>
          </w:tcPr>
          <w:p w14:paraId="2C0EF850" w14:textId="77777777" w:rsidR="0053410A" w:rsidRPr="009B0851" w:rsidRDefault="0053410A" w:rsidP="00F20080">
            <w:pPr>
              <w:rPr>
                <w:rFonts w:ascii="Calibri" w:hAnsi="Calibri" w:cs="Calibri"/>
                <w:b/>
                <w:bCs/>
                <w:color w:val="000000"/>
                <w:sz w:val="22"/>
                <w:szCs w:val="22"/>
              </w:rPr>
            </w:pPr>
            <w:r w:rsidRPr="009B0851">
              <w:rPr>
                <w:rFonts w:ascii="Calibri" w:hAnsi="Calibri" w:cs="Calibri"/>
                <w:b/>
                <w:bCs/>
                <w:color w:val="000000"/>
                <w:sz w:val="22"/>
                <w:szCs w:val="22"/>
              </w:rPr>
              <w:t>Source</w:t>
            </w:r>
          </w:p>
        </w:tc>
      </w:tr>
      <w:tr w:rsidR="0053410A" w:rsidRPr="009B0851" w14:paraId="10B60D02" w14:textId="77777777" w:rsidTr="0053410A">
        <w:trPr>
          <w:trHeight w:val="312"/>
        </w:trPr>
        <w:tc>
          <w:tcPr>
            <w:tcW w:w="2700" w:type="dxa"/>
            <w:tcBorders>
              <w:left w:val="nil"/>
              <w:bottom w:val="nil"/>
            </w:tcBorders>
            <w:shd w:val="clear" w:color="auto" w:fill="FFFFFF"/>
            <w:noWrap/>
            <w:hideMark/>
          </w:tcPr>
          <w:p w14:paraId="4B541952" w14:textId="77777777" w:rsidR="0053410A" w:rsidRPr="009B0851" w:rsidRDefault="0053410A" w:rsidP="00F20080">
            <w:pPr>
              <w:jc w:val="right"/>
              <w:rPr>
                <w:rFonts w:ascii="Calibri" w:hAnsi="Calibri" w:cs="Calibri"/>
                <w:i/>
                <w:iCs/>
                <w:color w:val="000000"/>
                <w:sz w:val="22"/>
                <w:szCs w:val="22"/>
              </w:rPr>
            </w:pPr>
            <w:r w:rsidRPr="009B0851">
              <w:rPr>
                <w:rFonts w:ascii="Calibri" w:hAnsi="Calibri" w:cs="Calibri"/>
                <w:i/>
                <w:iCs/>
                <w:color w:val="000000"/>
                <w:sz w:val="22"/>
                <w:szCs w:val="22"/>
              </w:rPr>
              <w:t xml:space="preserve">Beedeina                       </w:t>
            </w:r>
          </w:p>
        </w:tc>
        <w:tc>
          <w:tcPr>
            <w:tcW w:w="5670" w:type="dxa"/>
            <w:shd w:val="clear" w:color="auto" w:fill="CCCCCC"/>
            <w:noWrap/>
            <w:hideMark/>
          </w:tcPr>
          <w:p w14:paraId="745C36FA" w14:textId="77777777" w:rsidR="0053410A" w:rsidRPr="009B0851" w:rsidRDefault="0053410A" w:rsidP="00F20080">
            <w:pPr>
              <w:rPr>
                <w:color w:val="000000"/>
              </w:rPr>
            </w:pPr>
            <w:r w:rsidRPr="007D3FD4">
              <w:rPr>
                <w:rStyle w:val="FootnoteReference"/>
              </w:rPr>
              <w:fldChar w:fldCharType="begin" w:fldLock="1"/>
            </w:r>
            <w:r w:rsidRPr="007D3FD4">
              <w:instrText>ADDIN CSL_CITATION {"citationItems":[{"id":"ITEM-1","itemData":{"author":[{"dropping-particle":"","family":"Alexander","given":"Richard","non-dropping-particle":"","parse-names":false,"suffix":""}],"id":"ITEM-1","issued":{"date-parts":[["1954"]]},"publisher-place":"Oklahoma Geological Survey","title":"Desmoinesian Fusulinids of Northeastern Oklahoma","type":"report"},"uris":["http://www.mendeley.com/documents/?uuid=0e80b271-97c5-3f14-9e46-2775a820a8c3"]}],"mendeley":{"formattedCitation":"(Alexander 1954)","manualFormatting":"Alexander (1954)","plainTextFormattedCitation":"(Alexander 1954)","previouslyFormattedCitation":"(Alexander 1954)"},"properties":{"noteIndex":0},"schema":"https://github.com/citation-style-language/schema/raw/master/csl-citation.json"}</w:instrText>
            </w:r>
            <w:r w:rsidRPr="007D3FD4">
              <w:rPr>
                <w:rStyle w:val="FootnoteReference"/>
              </w:rPr>
              <w:fldChar w:fldCharType="separate"/>
            </w:r>
            <w:r w:rsidRPr="007D3FD4">
              <w:rPr>
                <w:noProof/>
              </w:rPr>
              <w:t>Alexander (1954)</w:t>
            </w:r>
            <w:r w:rsidRPr="007D3FD4">
              <w:rPr>
                <w:rStyle w:val="FootnoteReference"/>
              </w:rPr>
              <w:fldChar w:fldCharType="end"/>
            </w:r>
            <w:r w:rsidRPr="007D3FD4">
              <w:t xml:space="preserve">, </w:t>
            </w:r>
            <w:r w:rsidRPr="007D3FD4">
              <w:rPr>
                <w:rStyle w:val="FootnoteReference"/>
              </w:rPr>
              <w:fldChar w:fldCharType="begin" w:fldLock="1"/>
            </w:r>
            <w:r w:rsidRPr="007D3FD4">
              <w:instrText>ADDIN CSL_CITATION {"citationItems":[{"id":"ITEM-1","itemData":{"author":[{"dropping-particle":"","family":"Waddell","given":"Dwight E.","non-dropping-particle":"","parse-names":false,"suffix":""}],"id":"ITEM-1","issued":{"date-parts":[["1966"]]},"number-of-pages":"128","publisher":"Oklahoma Geological Survey Bulletin 113","title":"Pennsylvanian fusulinids in the Ardmore Basin - Love and Carter counties, Oklahoma","type":"book"},"uris":["http://www.mendeley.com/documents/?uuid=f2560a3c-3292-3144-a6dd-1539181ffbaa"]}],"mendeley":{"formattedCitation":"(Waddell 1966)","manualFormatting":"Waddell (1966)","plainTextFormattedCitation":"(Waddell 1966)","previouslyFormattedCitation":"(Waddell 1966)"},"properties":{"noteIndex":0},"schema":"https://github.com/citation-style-language/schema/raw/master/csl-citation.json"}</w:instrText>
            </w:r>
            <w:r w:rsidRPr="007D3FD4">
              <w:rPr>
                <w:rStyle w:val="FootnoteReference"/>
              </w:rPr>
              <w:fldChar w:fldCharType="separate"/>
            </w:r>
            <w:r w:rsidRPr="007D3FD4">
              <w:rPr>
                <w:noProof/>
              </w:rPr>
              <w:t>Waddell (1966)</w:t>
            </w:r>
            <w:r w:rsidRPr="007D3FD4">
              <w:rPr>
                <w:rStyle w:val="FootnoteReference"/>
              </w:rPr>
              <w:fldChar w:fldCharType="end"/>
            </w:r>
            <w:r w:rsidRPr="007D3FD4">
              <w:t xml:space="preserve">, </w:t>
            </w:r>
            <w:r w:rsidRPr="007D3FD4">
              <w:fldChar w:fldCharType="begin" w:fldLock="1"/>
            </w:r>
            <w:r>
              <w:instrText>ADDIN CSL_CITATION {"citationItems":[{"id":"ITEM-1","itemData":{"author":[{"dropping-particle":"","family":"Barrick","given":"James E","non-dropping-particle":"","parse-names":false,"suffix":""},{"dropping-particle":"","family":"Wahlman","given":"Gregory P","non-dropping-particle":"","parse-names":false,"suffix":""}],"container-title":"Stratigraphy","id":"ITEM-1","issue":"2","issued":{"date-parts":[["2019"]]},"page":"65-86","title":"Conodont and fusulinid biostratigraphy of the Strawn Group (Desmoinesian, Middle Pennsylvanian) and lower part of the\" Wolfcamp Shale\"(Missourian-Virgilian, Late Pennsylvanian) in the northern Midland Basin, West Texas","type":"article-journal","volume":"16"},"uris":["http://www.mendeley.com/documents/?uuid=6299b364-80d8-45c8-a72b-0d3f095910cf"]}],"mendeley":{"formattedCitation":"(Barrick and Wahlman 2019)","manualFormatting":"Barrick and Wahlman (2019)","plainTextFormattedCitation":"(Barrick and Wahlman 2019)","previouslyFormattedCitation":"(Barrick and Wahlman 2019)"},"properties":{"noteIndex":0},"schema":"https://github.com/citation-style-language/schema/raw/master/csl-citation.json"}</w:instrText>
            </w:r>
            <w:r w:rsidRPr="007D3FD4">
              <w:fldChar w:fldCharType="separate"/>
            </w:r>
            <w:r w:rsidRPr="007D3FD4">
              <w:rPr>
                <w:noProof/>
              </w:rPr>
              <w:t>Barrick and Wahlman (2019)</w:t>
            </w:r>
            <w:r w:rsidRPr="007D3FD4">
              <w:fldChar w:fldCharType="end"/>
            </w:r>
            <w:r w:rsidRPr="007D3FD4">
              <w:t xml:space="preserve">, </w:t>
            </w:r>
            <w:r>
              <w:t xml:space="preserve">Wahlman (2019) </w:t>
            </w:r>
          </w:p>
        </w:tc>
      </w:tr>
      <w:tr w:rsidR="0053410A" w:rsidRPr="009B0851" w14:paraId="2534CF06" w14:textId="77777777" w:rsidTr="0053410A">
        <w:trPr>
          <w:trHeight w:val="288"/>
        </w:trPr>
        <w:tc>
          <w:tcPr>
            <w:tcW w:w="2700" w:type="dxa"/>
            <w:tcBorders>
              <w:left w:val="nil"/>
              <w:bottom w:val="nil"/>
            </w:tcBorders>
            <w:shd w:val="clear" w:color="auto" w:fill="FFFFFF"/>
            <w:noWrap/>
            <w:hideMark/>
          </w:tcPr>
          <w:p w14:paraId="331DC6B1" w14:textId="77777777" w:rsidR="0053410A" w:rsidRPr="009B0851" w:rsidRDefault="0053410A" w:rsidP="00F20080">
            <w:pPr>
              <w:jc w:val="right"/>
              <w:rPr>
                <w:rFonts w:ascii="Calibri" w:hAnsi="Calibri" w:cs="Calibri"/>
                <w:i/>
                <w:iCs/>
                <w:color w:val="000000"/>
                <w:sz w:val="22"/>
                <w:szCs w:val="22"/>
              </w:rPr>
            </w:pPr>
            <w:r w:rsidRPr="009B0851">
              <w:rPr>
                <w:rFonts w:ascii="Calibri" w:hAnsi="Calibri" w:cs="Calibri"/>
                <w:i/>
                <w:iCs/>
                <w:color w:val="000000"/>
                <w:sz w:val="22"/>
                <w:szCs w:val="22"/>
              </w:rPr>
              <w:t xml:space="preserve">Fusulinella                    </w:t>
            </w:r>
          </w:p>
        </w:tc>
        <w:tc>
          <w:tcPr>
            <w:tcW w:w="5670" w:type="dxa"/>
            <w:shd w:val="clear" w:color="auto" w:fill="auto"/>
            <w:noWrap/>
            <w:hideMark/>
          </w:tcPr>
          <w:p w14:paraId="185C3A49" w14:textId="77777777" w:rsidR="0053410A" w:rsidRPr="009B0851" w:rsidRDefault="0053410A" w:rsidP="00F20080">
            <w:pPr>
              <w:rPr>
                <w:color w:val="000000"/>
              </w:rPr>
            </w:pPr>
            <w:r w:rsidRPr="007D3FD4">
              <w:rPr>
                <w:rStyle w:val="FootnoteReference"/>
              </w:rPr>
              <w:fldChar w:fldCharType="begin" w:fldLock="1"/>
            </w:r>
            <w:r w:rsidRPr="007D3FD4">
              <w:instrText>ADDIN CSL_CITATION {"citationItems":[{"id":"ITEM-1","itemData":{"author":[{"dropping-particle":"","family":"Waddell","given":"Dwight E.","non-dropping-particle":"","parse-names":false,"suffix":""}],"id":"ITEM-1","issued":{"date-parts":[["1966"]]},"number-of-pages":"128","publisher":"Oklahoma Geological Survey Bulletin 113","title":"Pennsylvanian fusulinids in the Ardmore Basin - Love and Carter counties, Oklahoma","type":"book"},"uris":["http://www.mendeley.com/documents/?uuid=f2560a3c-3292-3144-a6dd-1539181ffbaa"]}],"mendeley":{"formattedCitation":"(Waddell 1966)","manualFormatting":"Waddell (1966)","plainTextFormattedCitation":"(Waddell 1966)","previouslyFormattedCitation":"(Waddell 1966)"},"properties":{"noteIndex":0},"schema":"https://github.com/citation-style-language/schema/raw/master/csl-citation.json"}</w:instrText>
            </w:r>
            <w:r w:rsidRPr="007D3FD4">
              <w:rPr>
                <w:rStyle w:val="FootnoteReference"/>
              </w:rPr>
              <w:fldChar w:fldCharType="separate"/>
            </w:r>
            <w:r w:rsidRPr="007D3FD4">
              <w:rPr>
                <w:noProof/>
              </w:rPr>
              <w:t>Waddell (1966)</w:t>
            </w:r>
            <w:r w:rsidRPr="007D3FD4">
              <w:rPr>
                <w:rStyle w:val="FootnoteReference"/>
              </w:rPr>
              <w:fldChar w:fldCharType="end"/>
            </w:r>
            <w:r w:rsidRPr="007D3FD4">
              <w:t xml:space="preserve">, </w:t>
            </w:r>
            <w:r>
              <w:t xml:space="preserve">Wahlman (2019) </w:t>
            </w:r>
          </w:p>
        </w:tc>
      </w:tr>
      <w:tr w:rsidR="0053410A" w:rsidRPr="009B0851" w14:paraId="02D25A00" w14:textId="77777777" w:rsidTr="0053410A">
        <w:trPr>
          <w:trHeight w:val="288"/>
        </w:trPr>
        <w:tc>
          <w:tcPr>
            <w:tcW w:w="2700" w:type="dxa"/>
            <w:tcBorders>
              <w:left w:val="nil"/>
              <w:bottom w:val="nil"/>
            </w:tcBorders>
            <w:shd w:val="clear" w:color="auto" w:fill="FFFFFF"/>
            <w:noWrap/>
            <w:hideMark/>
          </w:tcPr>
          <w:p w14:paraId="75F6DE1C" w14:textId="77777777" w:rsidR="0053410A" w:rsidRPr="009B0851" w:rsidRDefault="0053410A" w:rsidP="00F20080">
            <w:pPr>
              <w:jc w:val="right"/>
              <w:rPr>
                <w:rFonts w:ascii="Calibri" w:hAnsi="Calibri" w:cs="Calibri"/>
                <w:i/>
                <w:iCs/>
                <w:color w:val="000000"/>
                <w:sz w:val="22"/>
                <w:szCs w:val="22"/>
              </w:rPr>
            </w:pPr>
            <w:r w:rsidRPr="009B0851">
              <w:rPr>
                <w:rFonts w:ascii="Calibri" w:hAnsi="Calibri" w:cs="Calibri"/>
                <w:i/>
                <w:iCs/>
                <w:color w:val="000000"/>
                <w:sz w:val="22"/>
                <w:szCs w:val="22"/>
              </w:rPr>
              <w:t xml:space="preserve">Parafusulina                   </w:t>
            </w:r>
          </w:p>
        </w:tc>
        <w:tc>
          <w:tcPr>
            <w:tcW w:w="5670" w:type="dxa"/>
            <w:shd w:val="clear" w:color="auto" w:fill="CCCCCC"/>
            <w:noWrap/>
            <w:hideMark/>
          </w:tcPr>
          <w:p w14:paraId="1AB3DC93" w14:textId="77777777" w:rsidR="0053410A" w:rsidRPr="007D3FD4" w:rsidRDefault="0053410A" w:rsidP="00F20080">
            <w:r w:rsidRPr="007D3FD4">
              <w:t xml:space="preserve">iDigBio, </w:t>
            </w:r>
            <w:r w:rsidRPr="007D3FD4">
              <w:fldChar w:fldCharType="begin" w:fldLock="1"/>
            </w:r>
            <w:r w:rsidRPr="007D3FD4">
              <w:instrText>ADDIN CSL_CITATION {"citationItems":[{"id":"ITEM-1","itemData":{"DOI":"10.1666/08-162.1","ISSN":"0022-3360","abstract":"Seven previously unrecognized fusulinid species from Lower Permian (Wolfcampian and Leonardian) turbidites near Conglomerate Mesa in east-central California, four of which are named as new species, are here described and figured. The four new species are Schwagerina merriami, S. wildei, Parafusulina mackevetti, and Skinnerella rossi. These fusulinid species have close affinities to similar taxa in Texas and northeastern Nevada, and they are distinct from some other faunas of slightly different age in the Conglomerate Mesa area that are dominated by endemic species and other species with Eastern Klamath Mountains affinities.","author":[{"dropping-particle":"","family":"Stevens","given":"Calvin H","non-dropping-particle":"","parse-names":false,"suffix":""},{"dropping-particle":"","family":"Stone","given":"Paul","non-dropping-particle":"","parse-names":false,"suffix":""}],"container-title":"Journal of Paleontology","id":"ITEM-1","issue":"3","issued":{"date-parts":[["2009","5","1"]]},"page":"399-404","title":"New Fusulinids from Lower Permian Turbidites at Conglomerate Mesa, Southeastern Inyo Mountains, East-central California","type":"article-journal","volume":"83"},"uris":["http://www.mendeley.com/documents/?uuid=cf900c3a-d846-40d9-8e74-c91c13a2ddd1"]}],"mendeley":{"formattedCitation":"(Stevens and Stone 2009)","manualFormatting":"Stevens and Stone (2009)","plainTextFormattedCitation":"(Stevens and Stone 2009)","previouslyFormattedCitation":"(Stevens and Stone 2009)"},"properties":{"noteIndex":0},"schema":"https://github.com/citation-style-language/schema/raw/master/csl-citation.json"}</w:instrText>
            </w:r>
            <w:r w:rsidRPr="007D3FD4">
              <w:fldChar w:fldCharType="separate"/>
            </w:r>
            <w:r w:rsidRPr="007D3FD4">
              <w:rPr>
                <w:noProof/>
              </w:rPr>
              <w:t>Stevens and Stone (2009)</w:t>
            </w:r>
            <w:r w:rsidRPr="007D3FD4">
              <w:fldChar w:fldCharType="end"/>
            </w:r>
            <w:r w:rsidRPr="007D3FD4">
              <w:t xml:space="preserve">, </w:t>
            </w:r>
          </w:p>
          <w:p w14:paraId="0121A562" w14:textId="77777777" w:rsidR="0053410A" w:rsidRPr="003553C8" w:rsidRDefault="0053410A" w:rsidP="00F20080">
            <w:r w:rsidRPr="007D3FD4">
              <w:t xml:space="preserve"> </w:t>
            </w:r>
            <w:r w:rsidRPr="007D3FD4">
              <w:fldChar w:fldCharType="begin" w:fldLock="1"/>
            </w:r>
            <w:r w:rsidRPr="007D3FD4">
              <w:instrText>ADDIN CSL_CITATION {"citationItems":[{"id":"ITEM-1","itemData":{"DOI":"10.2517/1342-8144-16.3.219","ISSN":"1342-8144","abstract":"Late Early Carboniferous (late Visean) to late Middle Permian (Capitanian) foraminifers have been recovered from limestone blocks and fragments contained in the Tsunemori Formation in Yamaguchi Prefecture, Southwest Japan, which is unconformably overlain by the Upper Triassic Mine Group. An analysis of the Tsunemori fauna shows an almost identical composition with that of the Akiyoshi Limestone Group. The ages of the limestone clasts of the Tsunemori Formation nearly completely coincide with those of the strata of the Akiyoshi Limestone Group. The Akiyoshi Limestone Group is subdivided into 28 foraminiferal zones, and faunal elements corresponding to 24 of these 28 zones are recognized in limestone blocks and fragments of the Tsunemori Formation. Species from the remaining four zones (late Visean Endothyra sp. Zone, the late Moscovian Fusulinella bocki Zone, early Asselian Sphaeroschwagerina fusiformis Zone, and Bolorian Misellina dyhrenfurthi Zone) in the Akiyoshi Limestone Group have not been found in the Tsunemori Formation, whose blocks and fragments are thought to have been all derived from the ancient Akiyoshi seamount. A limestone conglomerate previously assigned to the basal conglomerate of the Mine Group should be separated from the Mine Group and instead included in the Tsunemori Formation. Twelve species of foraminifers are systematically described.","author":[{"dropping-particle":"","family":"Kobayashi","given":"Fumio","non-dropping-particle":"","parse-names":false,"suffix":""}],"container-title":"Paleontological Research","id":"ITEM-1","issue":"3","issued":{"date-parts":[["2012","9","1"]]},"page":"219-243","publisher":"Palaeontological Society of Japan","title":"Late Paleozoic Foraminifers from Limestone Blocks and Fragments of the Permian Tsunemori Formation and Their Connection to the Akiyoshi Limestone Group, Southwest Japan","type":"article-journal","volume":"16"},"uris":["http://www.mendeley.com/documents/?uuid=d86b08c1-4c6e-3dfa-8e3e-4ef9f03d4a47"]}],"mendeley":{"formattedCitation":"(Kobayashi 2012)","manualFormatting":"Kobayashi (2012)","plainTextFormattedCitation":"(Kobayashi 2012)","previouslyFormattedCitation":"(Kobayashi 2012)"},"properties":{"noteIndex":0},"schema":"https://github.com/citation-style-language/schema/raw/master/csl-citation.json"}</w:instrText>
            </w:r>
            <w:r w:rsidRPr="007D3FD4">
              <w:fldChar w:fldCharType="separate"/>
            </w:r>
            <w:r w:rsidRPr="007D3FD4">
              <w:rPr>
                <w:noProof/>
              </w:rPr>
              <w:t>Kobayashi (2012)</w:t>
            </w:r>
            <w:r w:rsidRPr="007D3FD4">
              <w:fldChar w:fldCharType="end"/>
            </w:r>
            <w:r w:rsidRPr="007D3FD4">
              <w:t xml:space="preserve">, </w:t>
            </w:r>
          </w:p>
        </w:tc>
      </w:tr>
      <w:tr w:rsidR="0053410A" w:rsidRPr="00657447" w14:paraId="78BA6530" w14:textId="77777777" w:rsidTr="0053410A">
        <w:trPr>
          <w:trHeight w:val="288"/>
        </w:trPr>
        <w:tc>
          <w:tcPr>
            <w:tcW w:w="2700" w:type="dxa"/>
            <w:tcBorders>
              <w:left w:val="nil"/>
              <w:bottom w:val="nil"/>
            </w:tcBorders>
            <w:shd w:val="clear" w:color="auto" w:fill="FFFFFF"/>
            <w:noWrap/>
            <w:hideMark/>
          </w:tcPr>
          <w:p w14:paraId="5AD36AB8" w14:textId="77777777" w:rsidR="0053410A" w:rsidRPr="009B0851" w:rsidRDefault="0053410A" w:rsidP="00F20080">
            <w:pPr>
              <w:jc w:val="right"/>
              <w:rPr>
                <w:rFonts w:ascii="Calibri" w:hAnsi="Calibri" w:cs="Calibri"/>
                <w:i/>
                <w:iCs/>
                <w:color w:val="000000"/>
                <w:sz w:val="22"/>
                <w:szCs w:val="22"/>
              </w:rPr>
            </w:pPr>
            <w:r w:rsidRPr="009B0851">
              <w:rPr>
                <w:rFonts w:ascii="Calibri" w:hAnsi="Calibri" w:cs="Calibri"/>
                <w:i/>
                <w:iCs/>
                <w:color w:val="000000"/>
                <w:sz w:val="22"/>
                <w:szCs w:val="22"/>
              </w:rPr>
              <w:t xml:space="preserve">Pseudofusulina                 </w:t>
            </w:r>
          </w:p>
        </w:tc>
        <w:tc>
          <w:tcPr>
            <w:tcW w:w="5670" w:type="dxa"/>
            <w:shd w:val="clear" w:color="auto" w:fill="auto"/>
            <w:noWrap/>
            <w:hideMark/>
          </w:tcPr>
          <w:p w14:paraId="7BB20D6F" w14:textId="77777777" w:rsidR="0053410A" w:rsidRPr="00691AC3" w:rsidRDefault="0053410A" w:rsidP="00F20080">
            <w:pPr>
              <w:rPr>
                <w:lang w:val="de-DE"/>
              </w:rPr>
            </w:pPr>
            <w:r w:rsidRPr="00691AC3">
              <w:rPr>
                <w:lang w:val="de-DE"/>
              </w:rPr>
              <w:t xml:space="preserve">iDigBio, </w:t>
            </w:r>
            <w:r w:rsidRPr="007D3FD4">
              <w:fldChar w:fldCharType="begin" w:fldLock="1"/>
            </w:r>
            <w:r w:rsidRPr="00691AC3">
              <w:rPr>
                <w:lang w:val="de-DE"/>
              </w:rPr>
              <w:instrText>ADDIN CSL_CITATION {"citationItems":[{"id":"ITEM-1","itemData":{"DOI":"10.1017/jpa.2016.105","ISSN":"0022-3360","abstract":"&lt;p&gt; A new monospecific “caninioid” genus, &lt;italic&gt;Preisingerella&lt;/italic&gt; n. gen., from the lower Permian of the Karavanke Mountains (Southern Alps, Slovenia) is erected. The type species is &lt;italic&gt;Preisingerella stegovnikensis&lt;/italic&gt; n. sp. The new taxon can be differentiated from other &lt;italic&gt;Caninia&lt;/italic&gt; -type genera by its specific ontogeny and features of its dissepimentarium. Corals with such morphology had a wide distribution during the Carboniferous and early Permian, occurring in mostly shallow-water carbonate rocks. The phylogenetic relationships within this group are mostly unclear due to similarities in the adult stages. The earlier stages reveal the main distinguishing features that are decisive for a generic assignment, but these have rarely been well preserved and properly considered. The new taxon is compared with related genera of the Cyathopsidae and species of &lt;italic&gt;Caninella&lt;/italic&gt; Gorskiy, 1938 characterized by lateral dissepiments. Large numbers of specimens of the new species, representing a monospecific assemblage, have been collected from the Born Formation at Mt. Stegovnik. Sedimentological and microfacies characteristics, as well as macro- and microfossil assemblages, underline this correlation. The fusulinoidean assemblage of the Born Formation, with &lt;italic&gt;Sphaeroschwagerina carniolica&lt;/italic&gt; (Kahler and Kahler, 1937), as the predominant species, corresponds to the time span between the &lt;italic&gt;Sphaeroschwagerina moelleri&lt;/italic&gt; - &lt;italic&gt;Schwagerina fecunda&lt;/italic&gt; and &lt;italic&gt;Pseudofusulina moelleri&lt;/italic&gt; zones, indicating a late Asselian to early Sakmarian age in the Southern Urals. &lt;/p&gt;","author":[{"dropping-particle":"","family":"Kossovaya","given":"Olga L.","non-dropping-particle":"","parse-names":false,"suffix":""},{"dropping-particle":"","family":"Novak","given":"Matevž","non-dropping-particle":"","parse-names":false,"suffix":""},{"dropping-particle":"","family":"Weyer","given":"Dieter","non-dropping-particle":"","parse-names":false,"suffix":""}],"container-title":"Journal of Paleontology","id":"ITEM-1","issue":"6","issued":{"date-parts":[["2016","11","19"]]},"page":"1049-1067","publisher":"Paleontological Society","title":"Large-sized Early Permian “caninioid” corals from the Karavanke Mountains, Slovenia","type":"article-journal","volume":"90"},"uris":["http://www.mendeley.com/documents/?uuid=1bab81e4-a3f7-3237-a8ac-15a7cbf6a1dc"]}],"mendeley":{"formattedCitation":"(Kossovaya et al. 2016)","manualFormatting":"Kossovaya et al. (2016)","plainTextFormattedCitation":"(Kossovaya et al. 2016)","previouslyFormattedCitation":"(Kossovaya et al. 2016)"},"properties":{"noteIndex":0},"schema":"https://github.com/citation-style-language/schema/raw/master/csl-citation.json"}</w:instrText>
            </w:r>
            <w:r w:rsidRPr="007D3FD4">
              <w:fldChar w:fldCharType="separate"/>
            </w:r>
            <w:r w:rsidRPr="00691AC3">
              <w:rPr>
                <w:noProof/>
                <w:lang w:val="de-DE"/>
              </w:rPr>
              <w:t>Kossovaya et al. (2016)</w:t>
            </w:r>
            <w:r w:rsidRPr="007D3FD4">
              <w:fldChar w:fldCharType="end"/>
            </w:r>
            <w:r w:rsidRPr="00691AC3">
              <w:rPr>
                <w:lang w:val="de-DE"/>
              </w:rPr>
              <w:t xml:space="preserve">, </w:t>
            </w:r>
            <w:r w:rsidRPr="007D3FD4">
              <w:fldChar w:fldCharType="begin" w:fldLock="1"/>
            </w:r>
            <w:r w:rsidRPr="00691AC3">
              <w:rPr>
                <w:lang w:val="de-DE"/>
              </w:rPr>
              <w:instrText>ADDIN CSL_CITATION {"citationItems":[{"id":"ITEM-1","itemData":{"DOI":"10.2517/2018PR014","ISSN":"1342-8144","abstract":"Twenty species of fusulines and ten species of non-fusuline foraminifers have been identified from 20 limestone samples along Gongendani, a valley south of Mt. Ryozen, Shiga Prefecture, Japan. They are dominated by Pseudofusulina norikurensis, Ps. isomie, and Acervoschwagerina gongendaniensis, and considered to be late Cisuralian (late early Permian) based on their coexistence with five subordinate species reported from the Yakhtashian (Artinskian) and the Bolorian (lower Kungurian) in the southeast Pamir and other Tethyan regions. Taxonomic composition of the schwagerinids of Gongendani and other faunas in the Mino Terrane is considerably different from that of coeval faunas in the Permian Akiyoshi Terrane. It is highly probable that Acervoschwagerina is Yakhtashian and possibly ranging up to Bolorian. Thirteen species of fusulines including two new species, Acervoschwagerina gongendaniensis Kobayashi and Cuniculinella omiensis Kobayashi are described systematically.","author":[{"dropping-particle":"","family":"Kobayashi","given":"Fumio","non-dropping-particle":"","parse-names":false,"suffix":""},{"dropping-particle":"","family":"Furutani","given":"Hiroshi","non-dropping-particle":"","parse-names":false,"suffix":""}],"container-title":"Paleontological Research","id":"ITEM-1","issue":"2","issued":{"date-parts":[["2019","4","8"]]},"page":"131","publisher":"Palaeontological Society of Japan","title":"Late Early Permian Fusulines along Gongendani, South of Mt. Ryozen, Shiga Prefecture, Central Japan","type":"article-journal","volume":"23"},"uris":["http://www.mendeley.com/documents/?uuid=f991c443-b8a4-32b7-887b-67b34791977e"]}],"mendeley":{"formattedCitation":"(Kobayashi and Furutani 2019)","manualFormatting":"Kobayashi and Furutani (2019)","plainTextFormattedCitation":"(Kobayashi and Furutani 2019)","previouslyFormattedCitation":"(Kobayashi and Furutani 2019)"},"properties":{"noteIndex":0},"schema":"https://github.com/citation-style-language/schema/raw/master/csl-citation.json"}</w:instrText>
            </w:r>
            <w:r w:rsidRPr="007D3FD4">
              <w:fldChar w:fldCharType="separate"/>
            </w:r>
            <w:r w:rsidRPr="00691AC3">
              <w:rPr>
                <w:noProof/>
                <w:lang w:val="de-DE"/>
              </w:rPr>
              <w:t>Kobayashi and Furutani (2019)</w:t>
            </w:r>
            <w:r w:rsidRPr="007D3FD4">
              <w:fldChar w:fldCharType="end"/>
            </w:r>
            <w:r w:rsidRPr="00691AC3">
              <w:rPr>
                <w:lang w:val="de-DE"/>
              </w:rPr>
              <w:t xml:space="preserve">, Thompson (1954) </w:t>
            </w:r>
          </w:p>
        </w:tc>
      </w:tr>
      <w:tr w:rsidR="0053410A" w:rsidRPr="009B0851" w14:paraId="370EC744" w14:textId="77777777" w:rsidTr="0053410A">
        <w:trPr>
          <w:trHeight w:val="288"/>
        </w:trPr>
        <w:tc>
          <w:tcPr>
            <w:tcW w:w="2700" w:type="dxa"/>
            <w:tcBorders>
              <w:left w:val="nil"/>
              <w:bottom w:val="nil"/>
            </w:tcBorders>
            <w:shd w:val="clear" w:color="auto" w:fill="FFFFFF"/>
            <w:noWrap/>
            <w:hideMark/>
          </w:tcPr>
          <w:p w14:paraId="21C8EB09" w14:textId="77777777" w:rsidR="0053410A" w:rsidRPr="009B0851" w:rsidRDefault="0053410A" w:rsidP="00F20080">
            <w:pPr>
              <w:jc w:val="right"/>
              <w:rPr>
                <w:rFonts w:ascii="Calibri" w:hAnsi="Calibri" w:cs="Calibri"/>
                <w:i/>
                <w:iCs/>
                <w:color w:val="000000"/>
                <w:sz w:val="22"/>
                <w:szCs w:val="22"/>
              </w:rPr>
            </w:pPr>
            <w:r w:rsidRPr="009B0851">
              <w:rPr>
                <w:rFonts w:ascii="Calibri" w:hAnsi="Calibri" w:cs="Calibri"/>
                <w:i/>
                <w:iCs/>
                <w:color w:val="000000"/>
                <w:sz w:val="22"/>
                <w:szCs w:val="22"/>
              </w:rPr>
              <w:t xml:space="preserve">Pseudoschwagerina              </w:t>
            </w:r>
          </w:p>
        </w:tc>
        <w:tc>
          <w:tcPr>
            <w:tcW w:w="5670" w:type="dxa"/>
            <w:shd w:val="clear" w:color="auto" w:fill="CCCCCC"/>
            <w:noWrap/>
            <w:hideMark/>
          </w:tcPr>
          <w:p w14:paraId="33ED70D7" w14:textId="77777777" w:rsidR="0053410A" w:rsidRPr="009B0851" w:rsidRDefault="0053410A" w:rsidP="00F20080">
            <w:pPr>
              <w:rPr>
                <w:color w:val="000000"/>
              </w:rPr>
            </w:pPr>
            <w:r>
              <w:rPr>
                <w:color w:val="000000"/>
              </w:rPr>
              <w:t xml:space="preserve">Thompson (1954), </w:t>
            </w:r>
            <w:r w:rsidRPr="009B0851">
              <w:rPr>
                <w:color w:val="000000"/>
              </w:rPr>
              <w:fldChar w:fldCharType="begin" w:fldLock="1"/>
            </w:r>
            <w:r>
              <w:rPr>
                <w:color w:val="000000"/>
              </w:rPr>
              <w:instrText>ADDIN CSL_CITATION {"citationItems":[{"id":"ITEM-1","itemData":{"author":[{"dropping-particle":"","family":"Williams","given":"Thomas Ellis","non-dropping-particle":"","parse-names":false,"suffix":""}],"id":"ITEM-1","issued":{"date-parts":[["1963"]]},"publisher":"Peabody Museum, Yale University","title":"Fusulinidae of the Hueco Group (Lower Permian) Hueco Mountains, Texas","type":"book"},"uris":["http://www.mendeley.com/documents/?uuid=4b80ab99-2d02-4c48-b714-4e1b08f69113"]}],"mendeley":{"formattedCitation":"(Williams 1963)","manualFormatting":"Williams (1963)","plainTextFormattedCitation":"(Williams 1963)","previouslyFormattedCitation":"(Williams 1963)"},"properties":{"noteIndex":0},"schema":"https://github.com/citation-style-language/schema/raw/master/csl-citation.json"}</w:instrText>
            </w:r>
            <w:r w:rsidRPr="009B0851">
              <w:rPr>
                <w:color w:val="000000"/>
              </w:rPr>
              <w:fldChar w:fldCharType="separate"/>
            </w:r>
            <w:r w:rsidRPr="009B0851">
              <w:rPr>
                <w:noProof/>
                <w:color w:val="000000"/>
              </w:rPr>
              <w:t>Williams (1963)</w:t>
            </w:r>
            <w:r w:rsidRPr="009B0851">
              <w:rPr>
                <w:color w:val="000000"/>
              </w:rPr>
              <w:fldChar w:fldCharType="end"/>
            </w:r>
            <w:r>
              <w:rPr>
                <w:color w:val="000000"/>
              </w:rPr>
              <w:t>, Wahlman (2019),</w:t>
            </w:r>
          </w:p>
        </w:tc>
      </w:tr>
      <w:tr w:rsidR="0053410A" w:rsidRPr="009B0851" w14:paraId="0D9C53BA" w14:textId="77777777" w:rsidTr="0053410A">
        <w:trPr>
          <w:trHeight w:val="288"/>
        </w:trPr>
        <w:tc>
          <w:tcPr>
            <w:tcW w:w="2700" w:type="dxa"/>
            <w:tcBorders>
              <w:left w:val="nil"/>
              <w:bottom w:val="nil"/>
            </w:tcBorders>
            <w:shd w:val="clear" w:color="auto" w:fill="FFFFFF"/>
            <w:noWrap/>
            <w:hideMark/>
          </w:tcPr>
          <w:p w14:paraId="4CFF4967" w14:textId="77777777" w:rsidR="0053410A" w:rsidRPr="009B0851" w:rsidRDefault="0053410A" w:rsidP="00F20080">
            <w:pPr>
              <w:jc w:val="right"/>
              <w:rPr>
                <w:rFonts w:ascii="Calibri" w:hAnsi="Calibri" w:cs="Calibri"/>
                <w:i/>
                <w:iCs/>
                <w:color w:val="000000"/>
                <w:sz w:val="22"/>
                <w:szCs w:val="22"/>
              </w:rPr>
            </w:pPr>
            <w:r w:rsidRPr="009B0851">
              <w:rPr>
                <w:rFonts w:ascii="Calibri" w:hAnsi="Calibri" w:cs="Calibri"/>
                <w:i/>
                <w:iCs/>
                <w:color w:val="000000"/>
                <w:sz w:val="22"/>
                <w:szCs w:val="22"/>
              </w:rPr>
              <w:t xml:space="preserve">Schwagerina                    </w:t>
            </w:r>
          </w:p>
        </w:tc>
        <w:tc>
          <w:tcPr>
            <w:tcW w:w="5670" w:type="dxa"/>
            <w:shd w:val="clear" w:color="auto" w:fill="auto"/>
            <w:noWrap/>
            <w:hideMark/>
          </w:tcPr>
          <w:p w14:paraId="78AFDC1E" w14:textId="77777777" w:rsidR="0053410A" w:rsidRPr="009B0851" w:rsidRDefault="0053410A" w:rsidP="00F20080">
            <w:pPr>
              <w:rPr>
                <w:color w:val="000000"/>
              </w:rPr>
            </w:pPr>
            <w:r w:rsidRPr="007D3FD4">
              <w:t xml:space="preserve">iDigBio, </w:t>
            </w:r>
            <w:r w:rsidRPr="009B0851">
              <w:rPr>
                <w:color w:val="000000"/>
              </w:rPr>
              <w:fldChar w:fldCharType="begin" w:fldLock="1"/>
            </w:r>
            <w:r>
              <w:rPr>
                <w:color w:val="000000"/>
              </w:rPr>
              <w:instrText>ADDIN CSL_CITATION {"citationItems":[{"id":"ITEM-1","itemData":{"author":[{"dropping-particle":"","family":"Williams","given":"Thomas Ellis","non-dropping-particle":"","parse-names":false,"suffix":""}],"id":"ITEM-1","issued":{"date-parts":[["1963"]]},"publisher":"Peabody Museum, Yale University","title":"Fusulinidae of the Hueco Group (Lower Permian) Hueco Mountains, Texas","type":"book"},"uris":["http://www.mendeley.com/documents/?uuid=4b80ab99-2d02-4c48-b714-4e1b08f69113"]}],"mendeley":{"formattedCitation":"(Williams 1963)","manualFormatting":"Williams (1963)","plainTextFormattedCitation":"(Williams 1963)","previouslyFormattedCitation":"(Williams 1963)"},"properties":{"noteIndex":0},"schema":"https://github.com/citation-style-language/schema/raw/master/csl-citation.json"}</w:instrText>
            </w:r>
            <w:r w:rsidRPr="009B0851">
              <w:rPr>
                <w:color w:val="000000"/>
              </w:rPr>
              <w:fldChar w:fldCharType="separate"/>
            </w:r>
            <w:r w:rsidRPr="009B0851">
              <w:rPr>
                <w:noProof/>
                <w:color w:val="000000"/>
              </w:rPr>
              <w:t>Williams (1963)</w:t>
            </w:r>
            <w:r w:rsidRPr="009B0851">
              <w:rPr>
                <w:color w:val="000000"/>
              </w:rPr>
              <w:fldChar w:fldCharType="end"/>
            </w:r>
            <w:r w:rsidRPr="009B0851">
              <w:rPr>
                <w:color w:val="000000"/>
              </w:rPr>
              <w:t xml:space="preserve">, </w:t>
            </w:r>
            <w:r w:rsidRPr="007D3FD4">
              <w:fldChar w:fldCharType="begin" w:fldLock="1"/>
            </w:r>
            <w:r w:rsidRPr="007D3FD4">
              <w:instrText>ADDIN CSL_CITATION {"citationItems":[{"id":"ITEM-1","itemData":{"DOI":"10.1666/08-162.1","ISSN":"0022-3360","abstract":"Seven previously unrecognized fusulinid species from Lower Permian (Wolfcampian and Leonardian) turbidites near Conglomerate Mesa in east-central California, four of which are named as new species, are here described and figured. The four new species are Schwagerina merriami, S. wildei, Parafusulina mackevetti, and Skinnerella rossi. These fusulinid species have close affinities to similar taxa in Texas and northeastern Nevada, and they are distinct from some other faunas of slightly different age in the Conglomerate Mesa area that are dominated by endemic species and other species with Eastern Klamath Mountains affinities.","author":[{"dropping-particle":"","family":"Stevens","given":"Calvin H","non-dropping-particle":"","parse-names":false,"suffix":""},{"dropping-particle":"","family":"Stone","given":"Paul","non-dropping-particle":"","parse-names":false,"suffix":""}],"container-title":"Journal of Paleontology","id":"ITEM-1","issue":"3","issued":{"date-parts":[["2009","5","1"]]},"page":"399-404","title":"New Fusulinids from Lower Permian Turbidites at Conglomerate Mesa, Southeastern Inyo Mountains, East-central California","type":"article-journal","volume":"83"},"uris":["http://www.mendeley.com/documents/?uuid=cf900c3a-d846-40d9-8e74-c91c13a2ddd1"]}],"mendeley":{"formattedCitation":"(Stevens and Stone 2009)","manualFormatting":"Stevens and Stone (2009)","plainTextFormattedCitation":"(Stevens and Stone 2009)","previouslyFormattedCitation":"(Stevens and Stone 2009)"},"properties":{"noteIndex":0},"schema":"https://github.com/citation-style-language/schema/raw/master/csl-citation.json"}</w:instrText>
            </w:r>
            <w:r w:rsidRPr="007D3FD4">
              <w:fldChar w:fldCharType="separate"/>
            </w:r>
            <w:r w:rsidRPr="007D3FD4">
              <w:rPr>
                <w:noProof/>
              </w:rPr>
              <w:t>Stevens and Stone (2009)</w:t>
            </w:r>
            <w:r w:rsidRPr="007D3FD4">
              <w:fldChar w:fldCharType="end"/>
            </w:r>
            <w:r>
              <w:t>, Wahlman (2019)</w:t>
            </w:r>
          </w:p>
        </w:tc>
      </w:tr>
      <w:tr w:rsidR="0053410A" w:rsidRPr="009B0851" w14:paraId="359A4DBD" w14:textId="77777777" w:rsidTr="0053410A">
        <w:trPr>
          <w:trHeight w:val="288"/>
        </w:trPr>
        <w:tc>
          <w:tcPr>
            <w:tcW w:w="2700" w:type="dxa"/>
            <w:tcBorders>
              <w:left w:val="nil"/>
              <w:bottom w:val="nil"/>
            </w:tcBorders>
            <w:shd w:val="clear" w:color="auto" w:fill="FFFFFF"/>
            <w:noWrap/>
            <w:hideMark/>
          </w:tcPr>
          <w:p w14:paraId="4144BE8B" w14:textId="77777777" w:rsidR="0053410A" w:rsidRPr="009B0851" w:rsidRDefault="0053410A" w:rsidP="00F20080">
            <w:pPr>
              <w:jc w:val="right"/>
              <w:rPr>
                <w:rFonts w:ascii="Calibri" w:hAnsi="Calibri" w:cs="Calibri"/>
                <w:i/>
                <w:iCs/>
                <w:color w:val="000000"/>
                <w:sz w:val="22"/>
                <w:szCs w:val="22"/>
              </w:rPr>
            </w:pPr>
            <w:r w:rsidRPr="009B0851">
              <w:rPr>
                <w:rFonts w:ascii="Calibri" w:hAnsi="Calibri" w:cs="Calibri"/>
                <w:i/>
                <w:iCs/>
                <w:color w:val="000000"/>
                <w:sz w:val="22"/>
                <w:szCs w:val="22"/>
              </w:rPr>
              <w:t xml:space="preserve">Triticites                     </w:t>
            </w:r>
          </w:p>
        </w:tc>
        <w:tc>
          <w:tcPr>
            <w:tcW w:w="5670" w:type="dxa"/>
            <w:shd w:val="clear" w:color="auto" w:fill="CCCCCC"/>
            <w:noWrap/>
            <w:hideMark/>
          </w:tcPr>
          <w:p w14:paraId="054EA847" w14:textId="77777777" w:rsidR="0053410A" w:rsidRPr="009B0851" w:rsidRDefault="0053410A" w:rsidP="00F20080">
            <w:pPr>
              <w:rPr>
                <w:color w:val="000000"/>
              </w:rPr>
            </w:pPr>
            <w:r w:rsidRPr="007D3FD4">
              <w:t xml:space="preserve">iDigBio, </w:t>
            </w:r>
            <w:r w:rsidRPr="009B0851">
              <w:rPr>
                <w:color w:val="000000"/>
              </w:rPr>
              <w:fldChar w:fldCharType="begin" w:fldLock="1"/>
            </w:r>
            <w:r>
              <w:rPr>
                <w:color w:val="000000"/>
              </w:rPr>
              <w:instrText>ADDIN CSL_CITATION {"citationItems":[{"id":"ITEM-1","itemData":{"author":[{"dropping-particle":"","family":"Williams","given":"Thomas Ellis","non-dropping-particle":"","parse-names":false,"suffix":""}],"id":"ITEM-1","issued":{"date-parts":[["1963"]]},"publisher":"Peabody Museum, Yale University","title":"Fusulinidae of the Hueco Group (Lower Permian) Hueco Mountains, Texas","type":"book"},"uris":["http://www.mendeley.com/documents/?uuid=4b80ab99-2d02-4c48-b714-4e1b08f69113"]}],"mendeley":{"formattedCitation":"(Williams 1963)","manualFormatting":"Williams (1963)","plainTextFormattedCitation":"(Williams 1963)","previouslyFormattedCitation":"(Williams 1963)"},"properties":{"noteIndex":0},"schema":"https://github.com/citation-style-language/schema/raw/master/csl-citation.json"}</w:instrText>
            </w:r>
            <w:r w:rsidRPr="009B0851">
              <w:rPr>
                <w:color w:val="000000"/>
              </w:rPr>
              <w:fldChar w:fldCharType="separate"/>
            </w:r>
            <w:r w:rsidRPr="009B0851">
              <w:rPr>
                <w:noProof/>
                <w:color w:val="000000"/>
              </w:rPr>
              <w:t>Williams (1963)</w:t>
            </w:r>
            <w:r w:rsidRPr="009B0851">
              <w:rPr>
                <w:color w:val="000000"/>
              </w:rPr>
              <w:fldChar w:fldCharType="end"/>
            </w:r>
            <w:r w:rsidRPr="009B0851">
              <w:rPr>
                <w:color w:val="000000"/>
              </w:rPr>
              <w:t xml:space="preserve">, </w:t>
            </w:r>
            <w:r w:rsidRPr="007D3FD4">
              <w:rPr>
                <w:rStyle w:val="FootnoteReference"/>
              </w:rPr>
              <w:fldChar w:fldCharType="begin" w:fldLock="1"/>
            </w:r>
            <w:r w:rsidRPr="007D3FD4">
              <w:instrText>ADDIN CSL_CITATION {"citationItems":[{"id":"ITEM-1","itemData":{"author":[{"dropping-particle":"","family":"Waddell","given":"Dwight E.","non-dropping-particle":"","parse-names":false,"suffix":""}],"id":"ITEM-1","issued":{"date-parts":[["1966"]]},"number-of-pages":"128","publisher":"Oklahoma Geological Survey Bulletin 113","title":"Pennsylvanian fusulinids in the Ardmore Basin - Love and Carter counties, Oklahoma","type":"book"},"uris":["http://www.mendeley.com/documents/?uuid=f2560a3c-3292-3144-a6dd-1539181ffbaa"]}],"mendeley":{"formattedCitation":"(Waddell 1966)","manualFormatting":"Waddell (1966)","plainTextFormattedCitation":"(Waddell 1966)","previouslyFormattedCitation":"(Waddell 1966)"},"properties":{"noteIndex":0},"schema":"https://github.com/citation-style-language/schema/raw/master/csl-citation.json"}</w:instrText>
            </w:r>
            <w:r w:rsidRPr="007D3FD4">
              <w:rPr>
                <w:rStyle w:val="FootnoteReference"/>
              </w:rPr>
              <w:fldChar w:fldCharType="separate"/>
            </w:r>
            <w:r w:rsidRPr="007D3FD4">
              <w:rPr>
                <w:noProof/>
              </w:rPr>
              <w:t>Waddell (1966)</w:t>
            </w:r>
            <w:r w:rsidRPr="007D3FD4">
              <w:rPr>
                <w:rStyle w:val="FootnoteReference"/>
              </w:rPr>
              <w:fldChar w:fldCharType="end"/>
            </w:r>
            <w:r w:rsidRPr="007D3FD4">
              <w:t xml:space="preserve">, </w:t>
            </w:r>
            <w:r w:rsidRPr="007D3FD4">
              <w:fldChar w:fldCharType="begin" w:fldLock="1"/>
            </w:r>
            <w:r w:rsidRPr="007D3FD4">
              <w:instrText>ADDIN CSL_CITATION {"citationItems":[{"id":"ITEM-1","itemData":{"DOI":"10.2517/2018PR014","ISSN":"1342-8144","abstract":"Twenty species of fusulines and ten species of non-fusuline foraminifers have been identified from 20 limestone samples along Gongendani, a valley south of Mt. Ryozen, Shiga Prefecture, Japan. They are dominated by Pseudofusulina norikurensis, Ps. isomie, and Acervoschwagerina gongendaniensis, and considered to be late Cisuralian (late early Permian) based on their coexistence with five subordinate species reported from the Yakhtashian (Artinskian) and the Bolorian (lower Kungurian) in the southeast Pamir and other Tethyan regions. Taxonomic composition of the schwagerinids of Gongendani and other faunas in the Mino Terrane is considerably different from that of coeval faunas in the Permian Akiyoshi Terrane. It is highly probable that Acervoschwagerina is Yakhtashian and possibly ranging up to Bolorian. Thirteen species of fusulines including two new species, Acervoschwagerina gongendaniensis Kobayashi and Cuniculinella omiensis Kobayashi are described systematically.","author":[{"dropping-particle":"","family":"Kobayashi","given":"Fumio","non-dropping-particle":"","parse-names":false,"suffix":""},{"dropping-particle":"","family":"Furutani","given":"Hiroshi","non-dropping-particle":"","parse-names":false,"suffix":""}],"container-title":"Paleontological Research","id":"ITEM-1","issue":"2","issued":{"date-parts":[["2019","4","8"]]},"page":"131","publisher":"Palaeontological Society of Japan","title":"Late Early Permian Fusulines along Gongendani, South of Mt. Ryozen, Shiga Prefecture, Central Japan","type":"article-journal","volume":"23"},"uris":["http://www.mendeley.com/documents/?uuid=f991c443-b8a4-32b7-887b-67b34791977e"]}],"mendeley":{"formattedCitation":"(Kobayashi and Furutani 2019)","manualFormatting":"Kobayashi and Furutani (2019)","plainTextFormattedCitation":"(Kobayashi and Furutani 2019)","previouslyFormattedCitation":"(Kobayashi and Furutani 2019)"},"properties":{"noteIndex":0},"schema":"https://github.com/citation-style-language/schema/raw/master/csl-citation.json"}</w:instrText>
            </w:r>
            <w:r w:rsidRPr="007D3FD4">
              <w:fldChar w:fldCharType="separate"/>
            </w:r>
            <w:r>
              <w:rPr>
                <w:noProof/>
              </w:rPr>
              <w:t xml:space="preserve">Kobayashi and Furutani </w:t>
            </w:r>
            <w:r w:rsidRPr="007D3FD4">
              <w:rPr>
                <w:noProof/>
              </w:rPr>
              <w:t>(2019)</w:t>
            </w:r>
            <w:r w:rsidRPr="007D3FD4">
              <w:fldChar w:fldCharType="end"/>
            </w:r>
            <w:r w:rsidRPr="007D3FD4">
              <w:t>,</w:t>
            </w:r>
            <w:r>
              <w:t xml:space="preserve"> Wahlman (2019), </w:t>
            </w:r>
          </w:p>
        </w:tc>
      </w:tr>
      <w:tr w:rsidR="0053410A" w:rsidRPr="009B0851" w14:paraId="3ABCB093" w14:textId="77777777" w:rsidTr="0053410A">
        <w:trPr>
          <w:trHeight w:val="288"/>
        </w:trPr>
        <w:tc>
          <w:tcPr>
            <w:tcW w:w="2700" w:type="dxa"/>
            <w:tcBorders>
              <w:left w:val="nil"/>
              <w:bottom w:val="nil"/>
            </w:tcBorders>
            <w:shd w:val="clear" w:color="auto" w:fill="FFFFFF"/>
            <w:noWrap/>
            <w:hideMark/>
          </w:tcPr>
          <w:p w14:paraId="7BA509FF" w14:textId="77777777" w:rsidR="0053410A" w:rsidRPr="009B0851" w:rsidRDefault="0053410A" w:rsidP="00F20080">
            <w:pPr>
              <w:jc w:val="right"/>
              <w:rPr>
                <w:rFonts w:ascii="Calibri" w:hAnsi="Calibri" w:cs="Calibri"/>
                <w:i/>
                <w:iCs/>
                <w:color w:val="000000"/>
                <w:sz w:val="22"/>
                <w:szCs w:val="22"/>
              </w:rPr>
            </w:pPr>
            <w:r w:rsidRPr="009B0851">
              <w:rPr>
                <w:rFonts w:ascii="Calibri" w:hAnsi="Calibri" w:cs="Calibri"/>
                <w:i/>
                <w:iCs/>
                <w:color w:val="000000"/>
                <w:sz w:val="22"/>
                <w:szCs w:val="22"/>
              </w:rPr>
              <w:t xml:space="preserve">Wedekindellina                 </w:t>
            </w:r>
          </w:p>
        </w:tc>
        <w:tc>
          <w:tcPr>
            <w:tcW w:w="5670" w:type="dxa"/>
            <w:shd w:val="clear" w:color="auto" w:fill="auto"/>
            <w:noWrap/>
            <w:hideMark/>
          </w:tcPr>
          <w:p w14:paraId="057D80A3" w14:textId="77777777" w:rsidR="0053410A" w:rsidRPr="009B0851" w:rsidRDefault="0053410A" w:rsidP="00F20080">
            <w:pPr>
              <w:rPr>
                <w:color w:val="000000"/>
              </w:rPr>
            </w:pPr>
            <w:r w:rsidRPr="007D3FD4">
              <w:rPr>
                <w:rStyle w:val="FootnoteReference"/>
              </w:rPr>
              <w:fldChar w:fldCharType="begin" w:fldLock="1"/>
            </w:r>
            <w:r w:rsidRPr="007D3FD4">
              <w:instrText>ADDIN CSL_CITATION {"citationItems":[{"id":"ITEM-1","itemData":{"author":[{"dropping-particle":"","family":"Waddell","given":"Dwight E.","non-dropping-particle":"","parse-names":false,"suffix":""}],"id":"ITEM-1","issued":{"date-parts":[["1966"]]},"number-of-pages":"128","publisher":"Oklahoma Geological Survey Bulletin 113","title":"Pennsylvanian fusulinids in the Ardmore Basin - Love and Carter counties, Oklahoma","type":"book"},"uris":["http://www.mendeley.com/documents/?uuid=f2560a3c-3292-3144-a6dd-1539181ffbaa"]}],"mendeley":{"formattedCitation":"(Waddell 1966)","manualFormatting":"Waddell (1966)","plainTextFormattedCitation":"(Waddell 1966)","previouslyFormattedCitation":"(Waddell 1966)"},"properties":{"noteIndex":0},"schema":"https://github.com/citation-style-language/schema/raw/master/csl-citation.json"}</w:instrText>
            </w:r>
            <w:r w:rsidRPr="007D3FD4">
              <w:rPr>
                <w:rStyle w:val="FootnoteReference"/>
              </w:rPr>
              <w:fldChar w:fldCharType="separate"/>
            </w:r>
            <w:r w:rsidRPr="007D3FD4">
              <w:rPr>
                <w:noProof/>
              </w:rPr>
              <w:t>Waddell (1966)</w:t>
            </w:r>
            <w:r w:rsidRPr="007D3FD4">
              <w:rPr>
                <w:rStyle w:val="FootnoteReference"/>
              </w:rPr>
              <w:fldChar w:fldCharType="end"/>
            </w:r>
            <w:r w:rsidRPr="007D3FD4">
              <w:t xml:space="preserve">, </w:t>
            </w:r>
            <w:r w:rsidRPr="007D3FD4">
              <w:fldChar w:fldCharType="begin" w:fldLock="1"/>
            </w:r>
            <w:r>
              <w:instrText>ADDIN CSL_CITATION {"citationItems":[{"id":"ITEM-1","itemData":{"author":[{"dropping-particle":"","family":"Barrick","given":"James E","non-dropping-particle":"","parse-names":false,"suffix":""},{"dropping-particle":"","family":"Wahlman","given":"Gregory P","non-dropping-particle":"","parse-names":false,"suffix":""}],"container-title":"Stratigraphy","id":"ITEM-1","issue":"2","issued":{"date-parts":[["2019"]]},"page":"65-86","title":"Conodont and fusulinid biostratigraphy of the Strawn Group (Desmoinesian, Middle Pennsylvanian) and lower part of the\" Wolfcamp Shale\"(Missourian-Virgilian, Late Pennsylvanian) in the northern Midland Basin, West Texas","type":"article-journal","volume":"16"},"uris":["http://www.mendeley.com/documents/?uuid=6299b364-80d8-45c8-a72b-0d3f095910cf"]}],"mendeley":{"formattedCitation":"(Barrick and Wahlman 2019)","manualFormatting":"Barrick and Wahlman (2019)","plainTextFormattedCitation":"(Barrick and Wahlman 2019)","previouslyFormattedCitation":"(Barrick and Wahlman 2019)"},"properties":{"noteIndex":0},"schema":"https://github.com/citation-style-language/schema/raw/master/csl-citation.json"}</w:instrText>
            </w:r>
            <w:r w:rsidRPr="007D3FD4">
              <w:fldChar w:fldCharType="separate"/>
            </w:r>
            <w:r w:rsidRPr="007D3FD4">
              <w:rPr>
                <w:noProof/>
              </w:rPr>
              <w:t>Barrick and Wahlman (2019)</w:t>
            </w:r>
            <w:r w:rsidRPr="007D3FD4">
              <w:fldChar w:fldCharType="end"/>
            </w:r>
            <w:r>
              <w:t>, Wahlman (2019)</w:t>
            </w:r>
          </w:p>
        </w:tc>
      </w:tr>
    </w:tbl>
    <w:p w14:paraId="73CEDC8D" w14:textId="77777777" w:rsidR="0053410A" w:rsidRDefault="0053410A" w:rsidP="0053410A">
      <w:pPr>
        <w:ind w:firstLine="720"/>
      </w:pPr>
    </w:p>
    <w:p w14:paraId="61F015AA" w14:textId="77777777" w:rsidR="0053410A" w:rsidRDefault="0053410A" w:rsidP="00607DF1">
      <w:pPr>
        <w:pStyle w:val="Caption"/>
      </w:pPr>
      <w:bookmarkStart w:id="183" w:name="_Ref22311420"/>
      <w:bookmarkStart w:id="184" w:name="_Toc26534543"/>
      <w:r>
        <w:lastRenderedPageBreak/>
        <w:t xml:space="preserve">Table </w:t>
      </w:r>
      <w:r w:rsidR="00CE1F3C">
        <w:fldChar w:fldCharType="begin"/>
      </w:r>
      <w:r w:rsidR="00CE1F3C">
        <w:instrText xml:space="preserve"> SEQ Table \* ARABIC </w:instrText>
      </w:r>
      <w:r w:rsidR="00CE1F3C">
        <w:fldChar w:fldCharType="separate"/>
      </w:r>
      <w:r>
        <w:rPr>
          <w:noProof/>
        </w:rPr>
        <w:t>6</w:t>
      </w:r>
      <w:r w:rsidR="00CE1F3C">
        <w:rPr>
          <w:noProof/>
        </w:rPr>
        <w:fldChar w:fldCharType="end"/>
      </w:r>
      <w:bookmarkEnd w:id="183"/>
      <w:r>
        <w:t>: Number of samples per class in each set. Note "class" here is used in the machine learning not the biological sense.</w:t>
      </w:r>
      <w:bookmarkEnd w:id="184"/>
    </w:p>
    <w:tbl>
      <w:tblPr>
        <w:tblW w:w="6704"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A0" w:firstRow="1" w:lastRow="0" w:firstColumn="1" w:lastColumn="0" w:noHBand="0" w:noVBand="1"/>
      </w:tblPr>
      <w:tblGrid>
        <w:gridCol w:w="2700"/>
        <w:gridCol w:w="961"/>
        <w:gridCol w:w="1157"/>
        <w:gridCol w:w="960"/>
        <w:gridCol w:w="960"/>
      </w:tblGrid>
      <w:tr w:rsidR="0053410A" w:rsidRPr="009B0851" w14:paraId="366525AE" w14:textId="77777777" w:rsidTr="00F20080">
        <w:trPr>
          <w:trHeight w:val="288"/>
        </w:trPr>
        <w:tc>
          <w:tcPr>
            <w:tcW w:w="2700" w:type="dxa"/>
            <w:tcBorders>
              <w:top w:val="nil"/>
              <w:left w:val="nil"/>
              <w:bottom w:val="single" w:sz="4" w:space="0" w:color="666666"/>
              <w:right w:val="nil"/>
            </w:tcBorders>
            <w:shd w:val="clear" w:color="auto" w:fill="FFFFFF"/>
            <w:noWrap/>
            <w:hideMark/>
          </w:tcPr>
          <w:p w14:paraId="527C121E" w14:textId="77777777" w:rsidR="0053410A" w:rsidRPr="009B0851" w:rsidRDefault="0053410A" w:rsidP="00F20080">
            <w:pPr>
              <w:jc w:val="right"/>
              <w:rPr>
                <w:rFonts w:ascii="Calibri" w:hAnsi="Calibri" w:cs="Calibri"/>
                <w:b/>
                <w:bCs/>
                <w:i/>
                <w:iCs/>
                <w:color w:val="000000"/>
                <w:sz w:val="22"/>
                <w:szCs w:val="22"/>
              </w:rPr>
            </w:pPr>
            <w:r w:rsidRPr="009B0851">
              <w:rPr>
                <w:rFonts w:ascii="Calibri" w:hAnsi="Calibri" w:cs="Calibri"/>
                <w:b/>
                <w:bCs/>
                <w:i/>
                <w:iCs/>
                <w:color w:val="000000"/>
                <w:sz w:val="22"/>
                <w:szCs w:val="22"/>
              </w:rPr>
              <w:t>Class</w:t>
            </w:r>
          </w:p>
        </w:tc>
        <w:tc>
          <w:tcPr>
            <w:tcW w:w="960" w:type="dxa"/>
            <w:tcBorders>
              <w:top w:val="nil"/>
              <w:left w:val="nil"/>
              <w:right w:val="nil"/>
            </w:tcBorders>
            <w:shd w:val="clear" w:color="auto" w:fill="FFFFFF"/>
            <w:noWrap/>
            <w:hideMark/>
          </w:tcPr>
          <w:p w14:paraId="7CCFF04C" w14:textId="77777777" w:rsidR="0053410A" w:rsidRPr="009B0851" w:rsidRDefault="0053410A" w:rsidP="00F20080">
            <w:pPr>
              <w:rPr>
                <w:rFonts w:ascii="Calibri" w:hAnsi="Calibri" w:cs="Calibri"/>
                <w:b/>
                <w:bCs/>
                <w:color w:val="000000"/>
                <w:sz w:val="22"/>
                <w:szCs w:val="22"/>
              </w:rPr>
            </w:pPr>
            <w:r w:rsidRPr="009B0851">
              <w:rPr>
                <w:rFonts w:ascii="Calibri" w:hAnsi="Calibri" w:cs="Calibri"/>
                <w:b/>
                <w:bCs/>
                <w:color w:val="000000"/>
                <w:sz w:val="22"/>
                <w:szCs w:val="22"/>
              </w:rPr>
              <w:t>Training</w:t>
            </w:r>
          </w:p>
        </w:tc>
        <w:tc>
          <w:tcPr>
            <w:tcW w:w="1124" w:type="dxa"/>
            <w:tcBorders>
              <w:top w:val="nil"/>
              <w:left w:val="nil"/>
              <w:right w:val="nil"/>
            </w:tcBorders>
            <w:shd w:val="clear" w:color="auto" w:fill="FFFFFF"/>
            <w:noWrap/>
            <w:hideMark/>
          </w:tcPr>
          <w:p w14:paraId="504286EC" w14:textId="77777777" w:rsidR="0053410A" w:rsidRPr="009B0851" w:rsidRDefault="0053410A" w:rsidP="00F20080">
            <w:pPr>
              <w:rPr>
                <w:rFonts w:ascii="Calibri" w:hAnsi="Calibri" w:cs="Calibri"/>
                <w:b/>
                <w:bCs/>
                <w:color w:val="000000"/>
                <w:sz w:val="22"/>
                <w:szCs w:val="22"/>
              </w:rPr>
            </w:pPr>
            <w:r w:rsidRPr="009B0851">
              <w:rPr>
                <w:rFonts w:ascii="Calibri" w:hAnsi="Calibri" w:cs="Calibri"/>
                <w:b/>
                <w:bCs/>
                <w:color w:val="000000"/>
                <w:sz w:val="22"/>
                <w:szCs w:val="22"/>
              </w:rPr>
              <w:t>Validation</w:t>
            </w:r>
          </w:p>
        </w:tc>
        <w:tc>
          <w:tcPr>
            <w:tcW w:w="960" w:type="dxa"/>
            <w:tcBorders>
              <w:top w:val="nil"/>
              <w:left w:val="nil"/>
              <w:right w:val="nil"/>
            </w:tcBorders>
            <w:shd w:val="clear" w:color="auto" w:fill="FFFFFF"/>
            <w:noWrap/>
            <w:hideMark/>
          </w:tcPr>
          <w:p w14:paraId="233EFA8E" w14:textId="77777777" w:rsidR="0053410A" w:rsidRPr="009B0851" w:rsidRDefault="0053410A" w:rsidP="00F20080">
            <w:pPr>
              <w:rPr>
                <w:rFonts w:ascii="Calibri" w:hAnsi="Calibri" w:cs="Calibri"/>
                <w:b/>
                <w:bCs/>
                <w:color w:val="000000"/>
                <w:sz w:val="22"/>
                <w:szCs w:val="22"/>
              </w:rPr>
            </w:pPr>
            <w:r w:rsidRPr="009B0851">
              <w:rPr>
                <w:rFonts w:ascii="Calibri" w:hAnsi="Calibri" w:cs="Calibri"/>
                <w:b/>
                <w:bCs/>
                <w:color w:val="000000"/>
                <w:sz w:val="22"/>
                <w:szCs w:val="22"/>
              </w:rPr>
              <w:t>Test</w:t>
            </w:r>
          </w:p>
        </w:tc>
        <w:tc>
          <w:tcPr>
            <w:tcW w:w="960" w:type="dxa"/>
            <w:tcBorders>
              <w:top w:val="nil"/>
              <w:left w:val="nil"/>
              <w:right w:val="nil"/>
            </w:tcBorders>
            <w:shd w:val="clear" w:color="auto" w:fill="FFFFFF"/>
            <w:noWrap/>
            <w:hideMark/>
          </w:tcPr>
          <w:p w14:paraId="421EE5DD" w14:textId="77777777" w:rsidR="0053410A" w:rsidRPr="009B0851" w:rsidRDefault="0053410A" w:rsidP="00F20080">
            <w:pPr>
              <w:rPr>
                <w:rFonts w:ascii="Calibri" w:hAnsi="Calibri" w:cs="Calibri"/>
                <w:b/>
                <w:bCs/>
                <w:color w:val="000000"/>
                <w:sz w:val="22"/>
                <w:szCs w:val="22"/>
              </w:rPr>
            </w:pPr>
            <w:r w:rsidRPr="009B0851">
              <w:rPr>
                <w:rFonts w:ascii="Calibri" w:hAnsi="Calibri" w:cs="Calibri"/>
                <w:b/>
                <w:bCs/>
                <w:color w:val="000000"/>
                <w:sz w:val="22"/>
                <w:szCs w:val="22"/>
              </w:rPr>
              <w:t>Total</w:t>
            </w:r>
          </w:p>
        </w:tc>
      </w:tr>
      <w:tr w:rsidR="0053410A" w:rsidRPr="009B0851" w14:paraId="6D038543" w14:textId="77777777" w:rsidTr="00F20080">
        <w:trPr>
          <w:trHeight w:val="288"/>
        </w:trPr>
        <w:tc>
          <w:tcPr>
            <w:tcW w:w="2700" w:type="dxa"/>
            <w:tcBorders>
              <w:left w:val="nil"/>
              <w:bottom w:val="nil"/>
            </w:tcBorders>
            <w:shd w:val="clear" w:color="auto" w:fill="FFFFFF"/>
            <w:noWrap/>
            <w:hideMark/>
          </w:tcPr>
          <w:p w14:paraId="6163483E" w14:textId="77777777" w:rsidR="0053410A" w:rsidRPr="009B0851" w:rsidRDefault="0053410A" w:rsidP="00F20080">
            <w:pPr>
              <w:jc w:val="right"/>
              <w:rPr>
                <w:rFonts w:ascii="Calibri" w:hAnsi="Calibri" w:cs="Calibri"/>
                <w:i/>
                <w:iCs/>
                <w:color w:val="000000"/>
                <w:sz w:val="22"/>
                <w:szCs w:val="22"/>
              </w:rPr>
            </w:pPr>
            <w:r w:rsidRPr="009B0851">
              <w:rPr>
                <w:rFonts w:ascii="Calibri" w:hAnsi="Calibri" w:cs="Calibri"/>
                <w:i/>
                <w:iCs/>
                <w:color w:val="000000"/>
                <w:sz w:val="22"/>
                <w:szCs w:val="22"/>
              </w:rPr>
              <w:t xml:space="preserve">Beedeina                       </w:t>
            </w:r>
          </w:p>
        </w:tc>
        <w:tc>
          <w:tcPr>
            <w:tcW w:w="960" w:type="dxa"/>
            <w:shd w:val="clear" w:color="auto" w:fill="CCCCCC"/>
            <w:noWrap/>
            <w:hideMark/>
          </w:tcPr>
          <w:p w14:paraId="38D77007" w14:textId="77777777" w:rsidR="0053410A" w:rsidRPr="009B0851" w:rsidRDefault="0053410A" w:rsidP="00F20080">
            <w:pPr>
              <w:jc w:val="right"/>
              <w:rPr>
                <w:rFonts w:ascii="Calibri" w:hAnsi="Calibri" w:cs="Calibri"/>
                <w:color w:val="000000"/>
                <w:sz w:val="22"/>
                <w:szCs w:val="22"/>
              </w:rPr>
            </w:pPr>
            <w:r w:rsidRPr="009B0851">
              <w:rPr>
                <w:rFonts w:ascii="Calibri" w:hAnsi="Calibri" w:cs="Calibri"/>
                <w:color w:val="000000"/>
                <w:sz w:val="22"/>
                <w:szCs w:val="22"/>
              </w:rPr>
              <w:t>61</w:t>
            </w:r>
          </w:p>
        </w:tc>
        <w:tc>
          <w:tcPr>
            <w:tcW w:w="1124" w:type="dxa"/>
            <w:shd w:val="clear" w:color="auto" w:fill="CCCCCC"/>
            <w:noWrap/>
            <w:hideMark/>
          </w:tcPr>
          <w:p w14:paraId="3BF19FE6" w14:textId="77777777" w:rsidR="0053410A" w:rsidRPr="009B0851" w:rsidRDefault="0053410A" w:rsidP="00F20080">
            <w:pPr>
              <w:jc w:val="right"/>
              <w:rPr>
                <w:rFonts w:ascii="Calibri" w:hAnsi="Calibri" w:cs="Calibri"/>
                <w:color w:val="000000"/>
                <w:sz w:val="22"/>
                <w:szCs w:val="22"/>
              </w:rPr>
            </w:pPr>
            <w:r w:rsidRPr="009B0851">
              <w:rPr>
                <w:rFonts w:ascii="Calibri" w:hAnsi="Calibri" w:cs="Calibri"/>
                <w:color w:val="000000"/>
                <w:sz w:val="22"/>
                <w:szCs w:val="22"/>
              </w:rPr>
              <w:t>9</w:t>
            </w:r>
          </w:p>
        </w:tc>
        <w:tc>
          <w:tcPr>
            <w:tcW w:w="960" w:type="dxa"/>
            <w:shd w:val="clear" w:color="auto" w:fill="CCCCCC"/>
            <w:noWrap/>
            <w:hideMark/>
          </w:tcPr>
          <w:p w14:paraId="3F900ED9" w14:textId="77777777" w:rsidR="0053410A" w:rsidRPr="009B0851" w:rsidRDefault="0053410A" w:rsidP="00F20080">
            <w:pPr>
              <w:jc w:val="right"/>
              <w:rPr>
                <w:rFonts w:ascii="Calibri" w:hAnsi="Calibri" w:cs="Calibri"/>
                <w:color w:val="000000"/>
                <w:sz w:val="22"/>
                <w:szCs w:val="22"/>
              </w:rPr>
            </w:pPr>
            <w:r w:rsidRPr="009B0851">
              <w:rPr>
                <w:rFonts w:ascii="Calibri" w:hAnsi="Calibri" w:cs="Calibri"/>
                <w:color w:val="000000"/>
                <w:sz w:val="22"/>
                <w:szCs w:val="22"/>
              </w:rPr>
              <w:t>18</w:t>
            </w:r>
          </w:p>
        </w:tc>
        <w:tc>
          <w:tcPr>
            <w:tcW w:w="960" w:type="dxa"/>
            <w:shd w:val="clear" w:color="auto" w:fill="CCCCCC"/>
            <w:noWrap/>
            <w:hideMark/>
          </w:tcPr>
          <w:p w14:paraId="149681F0" w14:textId="77777777" w:rsidR="0053410A" w:rsidRPr="009B0851" w:rsidRDefault="0053410A" w:rsidP="00F20080">
            <w:pPr>
              <w:jc w:val="right"/>
              <w:rPr>
                <w:rFonts w:ascii="Calibri" w:hAnsi="Calibri" w:cs="Calibri"/>
                <w:color w:val="000000"/>
                <w:sz w:val="22"/>
                <w:szCs w:val="22"/>
              </w:rPr>
            </w:pPr>
            <w:r w:rsidRPr="009B0851">
              <w:rPr>
                <w:rFonts w:ascii="Calibri" w:hAnsi="Calibri" w:cs="Calibri"/>
                <w:color w:val="000000"/>
                <w:sz w:val="22"/>
                <w:szCs w:val="22"/>
              </w:rPr>
              <w:t>88</w:t>
            </w:r>
          </w:p>
        </w:tc>
      </w:tr>
      <w:tr w:rsidR="0053410A" w:rsidRPr="009B0851" w14:paraId="4D6111A4" w14:textId="77777777" w:rsidTr="00F20080">
        <w:trPr>
          <w:trHeight w:val="288"/>
        </w:trPr>
        <w:tc>
          <w:tcPr>
            <w:tcW w:w="2700" w:type="dxa"/>
            <w:tcBorders>
              <w:left w:val="nil"/>
              <w:bottom w:val="nil"/>
            </w:tcBorders>
            <w:shd w:val="clear" w:color="auto" w:fill="FFFFFF"/>
            <w:noWrap/>
            <w:hideMark/>
          </w:tcPr>
          <w:p w14:paraId="3B1C5A92" w14:textId="77777777" w:rsidR="0053410A" w:rsidRPr="009B0851" w:rsidRDefault="0053410A" w:rsidP="00F20080">
            <w:pPr>
              <w:jc w:val="right"/>
              <w:rPr>
                <w:rFonts w:ascii="Calibri" w:hAnsi="Calibri" w:cs="Calibri"/>
                <w:i/>
                <w:iCs/>
                <w:color w:val="000000"/>
                <w:sz w:val="22"/>
                <w:szCs w:val="22"/>
              </w:rPr>
            </w:pPr>
            <w:r w:rsidRPr="009B0851">
              <w:rPr>
                <w:rFonts w:ascii="Calibri" w:hAnsi="Calibri" w:cs="Calibri"/>
                <w:i/>
                <w:iCs/>
                <w:color w:val="000000"/>
                <w:sz w:val="22"/>
                <w:szCs w:val="22"/>
              </w:rPr>
              <w:t xml:space="preserve">Fusulinella                    </w:t>
            </w:r>
          </w:p>
        </w:tc>
        <w:tc>
          <w:tcPr>
            <w:tcW w:w="960" w:type="dxa"/>
            <w:shd w:val="clear" w:color="auto" w:fill="auto"/>
            <w:noWrap/>
            <w:hideMark/>
          </w:tcPr>
          <w:p w14:paraId="49CB5700" w14:textId="77777777" w:rsidR="0053410A" w:rsidRPr="009B0851" w:rsidRDefault="0053410A" w:rsidP="00F20080">
            <w:pPr>
              <w:jc w:val="right"/>
              <w:rPr>
                <w:rFonts w:ascii="Calibri" w:hAnsi="Calibri" w:cs="Calibri"/>
                <w:color w:val="000000"/>
                <w:sz w:val="22"/>
                <w:szCs w:val="22"/>
              </w:rPr>
            </w:pPr>
            <w:r w:rsidRPr="009B0851">
              <w:rPr>
                <w:rFonts w:ascii="Calibri" w:hAnsi="Calibri" w:cs="Calibri"/>
                <w:color w:val="000000"/>
                <w:sz w:val="22"/>
                <w:szCs w:val="22"/>
              </w:rPr>
              <w:t>10</w:t>
            </w:r>
          </w:p>
        </w:tc>
        <w:tc>
          <w:tcPr>
            <w:tcW w:w="1124" w:type="dxa"/>
            <w:shd w:val="clear" w:color="auto" w:fill="auto"/>
            <w:noWrap/>
            <w:hideMark/>
          </w:tcPr>
          <w:p w14:paraId="18D56B2D" w14:textId="77777777" w:rsidR="0053410A" w:rsidRPr="009B0851" w:rsidRDefault="0053410A" w:rsidP="00F20080">
            <w:pPr>
              <w:jc w:val="right"/>
              <w:rPr>
                <w:rFonts w:ascii="Calibri" w:hAnsi="Calibri" w:cs="Calibri"/>
                <w:color w:val="000000"/>
                <w:sz w:val="22"/>
                <w:szCs w:val="22"/>
              </w:rPr>
            </w:pPr>
            <w:r w:rsidRPr="009B0851">
              <w:rPr>
                <w:rFonts w:ascii="Calibri" w:hAnsi="Calibri" w:cs="Calibri"/>
                <w:color w:val="000000"/>
                <w:sz w:val="22"/>
                <w:szCs w:val="22"/>
              </w:rPr>
              <w:t>2</w:t>
            </w:r>
          </w:p>
        </w:tc>
        <w:tc>
          <w:tcPr>
            <w:tcW w:w="960" w:type="dxa"/>
            <w:shd w:val="clear" w:color="auto" w:fill="auto"/>
            <w:noWrap/>
            <w:hideMark/>
          </w:tcPr>
          <w:p w14:paraId="4E7D5E76" w14:textId="77777777" w:rsidR="0053410A" w:rsidRPr="009B0851" w:rsidRDefault="0053410A" w:rsidP="00F20080">
            <w:pPr>
              <w:jc w:val="right"/>
              <w:rPr>
                <w:rFonts w:ascii="Calibri" w:hAnsi="Calibri" w:cs="Calibri"/>
                <w:color w:val="000000"/>
                <w:sz w:val="22"/>
                <w:szCs w:val="22"/>
              </w:rPr>
            </w:pPr>
            <w:r w:rsidRPr="009B0851">
              <w:rPr>
                <w:rFonts w:ascii="Calibri" w:hAnsi="Calibri" w:cs="Calibri"/>
                <w:color w:val="000000"/>
                <w:sz w:val="22"/>
                <w:szCs w:val="22"/>
              </w:rPr>
              <w:t>3</w:t>
            </w:r>
          </w:p>
        </w:tc>
        <w:tc>
          <w:tcPr>
            <w:tcW w:w="960" w:type="dxa"/>
            <w:shd w:val="clear" w:color="auto" w:fill="auto"/>
            <w:noWrap/>
            <w:hideMark/>
          </w:tcPr>
          <w:p w14:paraId="3A9DA8CA" w14:textId="77777777" w:rsidR="0053410A" w:rsidRPr="009B0851" w:rsidRDefault="0053410A" w:rsidP="00F20080">
            <w:pPr>
              <w:jc w:val="right"/>
              <w:rPr>
                <w:rFonts w:ascii="Calibri" w:hAnsi="Calibri" w:cs="Calibri"/>
                <w:color w:val="000000"/>
                <w:sz w:val="22"/>
                <w:szCs w:val="22"/>
              </w:rPr>
            </w:pPr>
            <w:r w:rsidRPr="009B0851">
              <w:rPr>
                <w:rFonts w:ascii="Calibri" w:hAnsi="Calibri" w:cs="Calibri"/>
                <w:color w:val="000000"/>
                <w:sz w:val="22"/>
                <w:szCs w:val="22"/>
              </w:rPr>
              <w:t>15</w:t>
            </w:r>
          </w:p>
        </w:tc>
      </w:tr>
      <w:tr w:rsidR="0053410A" w:rsidRPr="009B0851" w14:paraId="7F730053" w14:textId="77777777" w:rsidTr="00F20080">
        <w:trPr>
          <w:trHeight w:val="288"/>
        </w:trPr>
        <w:tc>
          <w:tcPr>
            <w:tcW w:w="2700" w:type="dxa"/>
            <w:tcBorders>
              <w:left w:val="nil"/>
              <w:bottom w:val="nil"/>
            </w:tcBorders>
            <w:shd w:val="clear" w:color="auto" w:fill="FFFFFF"/>
            <w:noWrap/>
            <w:hideMark/>
          </w:tcPr>
          <w:p w14:paraId="1FEEACA1" w14:textId="77777777" w:rsidR="0053410A" w:rsidRPr="009B0851" w:rsidRDefault="0053410A" w:rsidP="00F20080">
            <w:pPr>
              <w:jc w:val="right"/>
              <w:rPr>
                <w:rFonts w:ascii="Calibri" w:hAnsi="Calibri" w:cs="Calibri"/>
                <w:i/>
                <w:iCs/>
                <w:color w:val="000000"/>
                <w:sz w:val="22"/>
                <w:szCs w:val="22"/>
              </w:rPr>
            </w:pPr>
            <w:r w:rsidRPr="009B0851">
              <w:rPr>
                <w:rFonts w:ascii="Calibri" w:hAnsi="Calibri" w:cs="Calibri"/>
                <w:i/>
                <w:iCs/>
                <w:color w:val="000000"/>
                <w:sz w:val="22"/>
                <w:szCs w:val="22"/>
              </w:rPr>
              <w:t xml:space="preserve">Parafusulina                   </w:t>
            </w:r>
          </w:p>
        </w:tc>
        <w:tc>
          <w:tcPr>
            <w:tcW w:w="960" w:type="dxa"/>
            <w:shd w:val="clear" w:color="auto" w:fill="CCCCCC"/>
            <w:noWrap/>
            <w:hideMark/>
          </w:tcPr>
          <w:p w14:paraId="22614D1E" w14:textId="77777777" w:rsidR="0053410A" w:rsidRPr="009B0851" w:rsidRDefault="0053410A" w:rsidP="00F20080">
            <w:pPr>
              <w:jc w:val="right"/>
              <w:rPr>
                <w:rFonts w:ascii="Calibri" w:hAnsi="Calibri" w:cs="Calibri"/>
                <w:color w:val="000000"/>
                <w:sz w:val="22"/>
                <w:szCs w:val="22"/>
              </w:rPr>
            </w:pPr>
            <w:r w:rsidRPr="009B0851">
              <w:rPr>
                <w:rFonts w:ascii="Calibri" w:hAnsi="Calibri" w:cs="Calibri"/>
                <w:color w:val="000000"/>
                <w:sz w:val="22"/>
                <w:szCs w:val="22"/>
              </w:rPr>
              <w:t>14</w:t>
            </w:r>
          </w:p>
        </w:tc>
        <w:tc>
          <w:tcPr>
            <w:tcW w:w="1124" w:type="dxa"/>
            <w:shd w:val="clear" w:color="auto" w:fill="CCCCCC"/>
            <w:noWrap/>
            <w:hideMark/>
          </w:tcPr>
          <w:p w14:paraId="09D84D52" w14:textId="77777777" w:rsidR="0053410A" w:rsidRPr="009B0851" w:rsidRDefault="0053410A" w:rsidP="00F20080">
            <w:pPr>
              <w:jc w:val="right"/>
              <w:rPr>
                <w:rFonts w:ascii="Calibri" w:hAnsi="Calibri" w:cs="Calibri"/>
                <w:color w:val="000000"/>
                <w:sz w:val="22"/>
                <w:szCs w:val="22"/>
              </w:rPr>
            </w:pPr>
            <w:r w:rsidRPr="009B0851">
              <w:rPr>
                <w:rFonts w:ascii="Calibri" w:hAnsi="Calibri" w:cs="Calibri"/>
                <w:color w:val="000000"/>
                <w:sz w:val="22"/>
                <w:szCs w:val="22"/>
              </w:rPr>
              <w:t>3</w:t>
            </w:r>
          </w:p>
        </w:tc>
        <w:tc>
          <w:tcPr>
            <w:tcW w:w="960" w:type="dxa"/>
            <w:shd w:val="clear" w:color="auto" w:fill="CCCCCC"/>
            <w:noWrap/>
            <w:hideMark/>
          </w:tcPr>
          <w:p w14:paraId="4A1AF8F6" w14:textId="77777777" w:rsidR="0053410A" w:rsidRPr="009B0851" w:rsidRDefault="0053410A" w:rsidP="00F20080">
            <w:pPr>
              <w:jc w:val="right"/>
              <w:rPr>
                <w:rFonts w:ascii="Calibri" w:hAnsi="Calibri" w:cs="Calibri"/>
                <w:color w:val="000000"/>
                <w:sz w:val="22"/>
                <w:szCs w:val="22"/>
              </w:rPr>
            </w:pPr>
            <w:r w:rsidRPr="009B0851">
              <w:rPr>
                <w:rFonts w:ascii="Calibri" w:hAnsi="Calibri" w:cs="Calibri"/>
                <w:color w:val="000000"/>
                <w:sz w:val="22"/>
                <w:szCs w:val="22"/>
              </w:rPr>
              <w:t>5</w:t>
            </w:r>
          </w:p>
        </w:tc>
        <w:tc>
          <w:tcPr>
            <w:tcW w:w="960" w:type="dxa"/>
            <w:shd w:val="clear" w:color="auto" w:fill="CCCCCC"/>
            <w:noWrap/>
            <w:hideMark/>
          </w:tcPr>
          <w:p w14:paraId="07CDDBB9" w14:textId="77777777" w:rsidR="0053410A" w:rsidRPr="009B0851" w:rsidRDefault="0053410A" w:rsidP="00F20080">
            <w:pPr>
              <w:jc w:val="right"/>
              <w:rPr>
                <w:rFonts w:ascii="Calibri" w:hAnsi="Calibri" w:cs="Calibri"/>
                <w:color w:val="000000"/>
                <w:sz w:val="22"/>
                <w:szCs w:val="22"/>
              </w:rPr>
            </w:pPr>
            <w:r w:rsidRPr="009B0851">
              <w:rPr>
                <w:rFonts w:ascii="Calibri" w:hAnsi="Calibri" w:cs="Calibri"/>
                <w:color w:val="000000"/>
                <w:sz w:val="22"/>
                <w:szCs w:val="22"/>
              </w:rPr>
              <w:t>22</w:t>
            </w:r>
          </w:p>
        </w:tc>
      </w:tr>
      <w:tr w:rsidR="0053410A" w:rsidRPr="009B0851" w14:paraId="12C9A61E" w14:textId="77777777" w:rsidTr="00F20080">
        <w:trPr>
          <w:trHeight w:val="288"/>
        </w:trPr>
        <w:tc>
          <w:tcPr>
            <w:tcW w:w="2700" w:type="dxa"/>
            <w:tcBorders>
              <w:left w:val="nil"/>
              <w:bottom w:val="nil"/>
            </w:tcBorders>
            <w:shd w:val="clear" w:color="auto" w:fill="FFFFFF"/>
            <w:noWrap/>
            <w:hideMark/>
          </w:tcPr>
          <w:p w14:paraId="79E0723A" w14:textId="77777777" w:rsidR="0053410A" w:rsidRPr="009B0851" w:rsidRDefault="0053410A" w:rsidP="00F20080">
            <w:pPr>
              <w:jc w:val="right"/>
              <w:rPr>
                <w:rFonts w:ascii="Calibri" w:hAnsi="Calibri" w:cs="Calibri"/>
                <w:i/>
                <w:iCs/>
                <w:color w:val="000000"/>
                <w:sz w:val="22"/>
                <w:szCs w:val="22"/>
              </w:rPr>
            </w:pPr>
            <w:r w:rsidRPr="009B0851">
              <w:rPr>
                <w:rFonts w:ascii="Calibri" w:hAnsi="Calibri" w:cs="Calibri"/>
                <w:i/>
                <w:iCs/>
                <w:color w:val="000000"/>
                <w:sz w:val="22"/>
                <w:szCs w:val="22"/>
              </w:rPr>
              <w:t xml:space="preserve">Pseudofusulina                 </w:t>
            </w:r>
          </w:p>
        </w:tc>
        <w:tc>
          <w:tcPr>
            <w:tcW w:w="960" w:type="dxa"/>
            <w:shd w:val="clear" w:color="auto" w:fill="auto"/>
            <w:noWrap/>
            <w:hideMark/>
          </w:tcPr>
          <w:p w14:paraId="328B0180" w14:textId="77777777" w:rsidR="0053410A" w:rsidRPr="009B0851" w:rsidRDefault="0053410A" w:rsidP="00F20080">
            <w:pPr>
              <w:jc w:val="right"/>
              <w:rPr>
                <w:rFonts w:ascii="Calibri" w:hAnsi="Calibri" w:cs="Calibri"/>
                <w:color w:val="000000"/>
                <w:sz w:val="22"/>
                <w:szCs w:val="22"/>
              </w:rPr>
            </w:pPr>
            <w:r w:rsidRPr="009B0851">
              <w:rPr>
                <w:rFonts w:ascii="Calibri" w:hAnsi="Calibri" w:cs="Calibri"/>
                <w:color w:val="000000"/>
                <w:sz w:val="22"/>
                <w:szCs w:val="22"/>
              </w:rPr>
              <w:t>28</w:t>
            </w:r>
          </w:p>
        </w:tc>
        <w:tc>
          <w:tcPr>
            <w:tcW w:w="1124" w:type="dxa"/>
            <w:shd w:val="clear" w:color="auto" w:fill="auto"/>
            <w:noWrap/>
            <w:hideMark/>
          </w:tcPr>
          <w:p w14:paraId="19C54AAB" w14:textId="77777777" w:rsidR="0053410A" w:rsidRPr="009B0851" w:rsidRDefault="0053410A" w:rsidP="00F20080">
            <w:pPr>
              <w:jc w:val="right"/>
              <w:rPr>
                <w:rFonts w:ascii="Calibri" w:hAnsi="Calibri" w:cs="Calibri"/>
                <w:color w:val="000000"/>
                <w:sz w:val="22"/>
                <w:szCs w:val="22"/>
              </w:rPr>
            </w:pPr>
            <w:r w:rsidRPr="009B0851">
              <w:rPr>
                <w:rFonts w:ascii="Calibri" w:hAnsi="Calibri" w:cs="Calibri"/>
                <w:color w:val="000000"/>
                <w:sz w:val="22"/>
                <w:szCs w:val="22"/>
              </w:rPr>
              <w:t>5</w:t>
            </w:r>
          </w:p>
        </w:tc>
        <w:tc>
          <w:tcPr>
            <w:tcW w:w="960" w:type="dxa"/>
            <w:shd w:val="clear" w:color="auto" w:fill="auto"/>
            <w:noWrap/>
            <w:hideMark/>
          </w:tcPr>
          <w:p w14:paraId="40CE3A51" w14:textId="77777777" w:rsidR="0053410A" w:rsidRPr="009B0851" w:rsidRDefault="0053410A" w:rsidP="00F20080">
            <w:pPr>
              <w:jc w:val="right"/>
              <w:rPr>
                <w:rFonts w:ascii="Calibri" w:hAnsi="Calibri" w:cs="Calibri"/>
                <w:color w:val="000000"/>
                <w:sz w:val="22"/>
                <w:szCs w:val="22"/>
              </w:rPr>
            </w:pPr>
            <w:r w:rsidRPr="009B0851">
              <w:rPr>
                <w:rFonts w:ascii="Calibri" w:hAnsi="Calibri" w:cs="Calibri"/>
                <w:color w:val="000000"/>
                <w:sz w:val="22"/>
                <w:szCs w:val="22"/>
              </w:rPr>
              <w:t>9</w:t>
            </w:r>
          </w:p>
        </w:tc>
        <w:tc>
          <w:tcPr>
            <w:tcW w:w="960" w:type="dxa"/>
            <w:shd w:val="clear" w:color="auto" w:fill="auto"/>
            <w:noWrap/>
            <w:hideMark/>
          </w:tcPr>
          <w:p w14:paraId="42A0181B" w14:textId="77777777" w:rsidR="0053410A" w:rsidRPr="009B0851" w:rsidRDefault="0053410A" w:rsidP="00F20080">
            <w:pPr>
              <w:jc w:val="right"/>
              <w:rPr>
                <w:rFonts w:ascii="Calibri" w:hAnsi="Calibri" w:cs="Calibri"/>
                <w:color w:val="000000"/>
                <w:sz w:val="22"/>
                <w:szCs w:val="22"/>
              </w:rPr>
            </w:pPr>
            <w:r w:rsidRPr="009B0851">
              <w:rPr>
                <w:rFonts w:ascii="Calibri" w:hAnsi="Calibri" w:cs="Calibri"/>
                <w:color w:val="000000"/>
                <w:sz w:val="22"/>
                <w:szCs w:val="22"/>
              </w:rPr>
              <w:t>42</w:t>
            </w:r>
          </w:p>
        </w:tc>
      </w:tr>
      <w:tr w:rsidR="0053410A" w:rsidRPr="009B0851" w14:paraId="434788CD" w14:textId="77777777" w:rsidTr="00F20080">
        <w:trPr>
          <w:trHeight w:val="288"/>
        </w:trPr>
        <w:tc>
          <w:tcPr>
            <w:tcW w:w="2700" w:type="dxa"/>
            <w:tcBorders>
              <w:left w:val="nil"/>
              <w:bottom w:val="nil"/>
            </w:tcBorders>
            <w:shd w:val="clear" w:color="auto" w:fill="FFFFFF"/>
            <w:noWrap/>
            <w:hideMark/>
          </w:tcPr>
          <w:p w14:paraId="5CF68C5C" w14:textId="77777777" w:rsidR="0053410A" w:rsidRPr="009B0851" w:rsidRDefault="0053410A" w:rsidP="00F20080">
            <w:pPr>
              <w:jc w:val="right"/>
              <w:rPr>
                <w:rFonts w:ascii="Calibri" w:hAnsi="Calibri" w:cs="Calibri"/>
                <w:i/>
                <w:iCs/>
                <w:color w:val="000000"/>
                <w:sz w:val="22"/>
                <w:szCs w:val="22"/>
              </w:rPr>
            </w:pPr>
            <w:r w:rsidRPr="009B0851">
              <w:rPr>
                <w:rFonts w:ascii="Calibri" w:hAnsi="Calibri" w:cs="Calibri"/>
                <w:i/>
                <w:iCs/>
                <w:color w:val="000000"/>
                <w:sz w:val="22"/>
                <w:szCs w:val="22"/>
              </w:rPr>
              <w:t xml:space="preserve">Pseudoschwagerina              </w:t>
            </w:r>
          </w:p>
        </w:tc>
        <w:tc>
          <w:tcPr>
            <w:tcW w:w="960" w:type="dxa"/>
            <w:shd w:val="clear" w:color="auto" w:fill="CCCCCC"/>
            <w:noWrap/>
            <w:hideMark/>
          </w:tcPr>
          <w:p w14:paraId="79739FDA" w14:textId="77777777" w:rsidR="0053410A" w:rsidRPr="009B0851" w:rsidRDefault="0053410A" w:rsidP="00F20080">
            <w:pPr>
              <w:jc w:val="right"/>
              <w:rPr>
                <w:rFonts w:ascii="Calibri" w:hAnsi="Calibri" w:cs="Calibri"/>
                <w:color w:val="000000"/>
                <w:sz w:val="22"/>
                <w:szCs w:val="22"/>
              </w:rPr>
            </w:pPr>
            <w:r w:rsidRPr="009B0851">
              <w:rPr>
                <w:rFonts w:ascii="Calibri" w:hAnsi="Calibri" w:cs="Calibri"/>
                <w:color w:val="000000"/>
                <w:sz w:val="22"/>
                <w:szCs w:val="22"/>
              </w:rPr>
              <w:t>17</w:t>
            </w:r>
          </w:p>
        </w:tc>
        <w:tc>
          <w:tcPr>
            <w:tcW w:w="1124" w:type="dxa"/>
            <w:shd w:val="clear" w:color="auto" w:fill="CCCCCC"/>
            <w:noWrap/>
            <w:hideMark/>
          </w:tcPr>
          <w:p w14:paraId="63C866C1" w14:textId="77777777" w:rsidR="0053410A" w:rsidRPr="009B0851" w:rsidRDefault="0053410A" w:rsidP="00F20080">
            <w:pPr>
              <w:jc w:val="right"/>
              <w:rPr>
                <w:rFonts w:ascii="Calibri" w:hAnsi="Calibri" w:cs="Calibri"/>
                <w:color w:val="000000"/>
                <w:sz w:val="22"/>
                <w:szCs w:val="22"/>
              </w:rPr>
            </w:pPr>
            <w:r w:rsidRPr="009B0851">
              <w:rPr>
                <w:rFonts w:ascii="Calibri" w:hAnsi="Calibri" w:cs="Calibri"/>
                <w:color w:val="000000"/>
                <w:sz w:val="22"/>
                <w:szCs w:val="22"/>
              </w:rPr>
              <w:t>3</w:t>
            </w:r>
          </w:p>
        </w:tc>
        <w:tc>
          <w:tcPr>
            <w:tcW w:w="960" w:type="dxa"/>
            <w:shd w:val="clear" w:color="auto" w:fill="CCCCCC"/>
            <w:noWrap/>
            <w:hideMark/>
          </w:tcPr>
          <w:p w14:paraId="1A1ADDFF" w14:textId="77777777" w:rsidR="0053410A" w:rsidRPr="009B0851" w:rsidRDefault="0053410A" w:rsidP="00F20080">
            <w:pPr>
              <w:jc w:val="right"/>
              <w:rPr>
                <w:rFonts w:ascii="Calibri" w:hAnsi="Calibri" w:cs="Calibri"/>
                <w:color w:val="000000"/>
                <w:sz w:val="22"/>
                <w:szCs w:val="22"/>
              </w:rPr>
            </w:pPr>
            <w:r w:rsidRPr="009B0851">
              <w:rPr>
                <w:rFonts w:ascii="Calibri" w:hAnsi="Calibri" w:cs="Calibri"/>
                <w:color w:val="000000"/>
                <w:sz w:val="22"/>
                <w:szCs w:val="22"/>
              </w:rPr>
              <w:t>5</w:t>
            </w:r>
          </w:p>
        </w:tc>
        <w:tc>
          <w:tcPr>
            <w:tcW w:w="960" w:type="dxa"/>
            <w:shd w:val="clear" w:color="auto" w:fill="CCCCCC"/>
            <w:noWrap/>
            <w:hideMark/>
          </w:tcPr>
          <w:p w14:paraId="13C337FC" w14:textId="77777777" w:rsidR="0053410A" w:rsidRPr="009B0851" w:rsidRDefault="0053410A" w:rsidP="00F20080">
            <w:pPr>
              <w:jc w:val="right"/>
              <w:rPr>
                <w:rFonts w:ascii="Calibri" w:hAnsi="Calibri" w:cs="Calibri"/>
                <w:color w:val="000000"/>
                <w:sz w:val="22"/>
                <w:szCs w:val="22"/>
              </w:rPr>
            </w:pPr>
            <w:r w:rsidRPr="009B0851">
              <w:rPr>
                <w:rFonts w:ascii="Calibri" w:hAnsi="Calibri" w:cs="Calibri"/>
                <w:color w:val="000000"/>
                <w:sz w:val="22"/>
                <w:szCs w:val="22"/>
              </w:rPr>
              <w:t>25</w:t>
            </w:r>
          </w:p>
        </w:tc>
      </w:tr>
      <w:tr w:rsidR="0053410A" w:rsidRPr="009B0851" w14:paraId="783439EF" w14:textId="77777777" w:rsidTr="00F20080">
        <w:trPr>
          <w:trHeight w:val="288"/>
        </w:trPr>
        <w:tc>
          <w:tcPr>
            <w:tcW w:w="2700" w:type="dxa"/>
            <w:tcBorders>
              <w:left w:val="nil"/>
              <w:bottom w:val="nil"/>
            </w:tcBorders>
            <w:shd w:val="clear" w:color="auto" w:fill="FFFFFF"/>
            <w:noWrap/>
            <w:hideMark/>
          </w:tcPr>
          <w:p w14:paraId="2A57FA8A" w14:textId="77777777" w:rsidR="0053410A" w:rsidRPr="009B0851" w:rsidRDefault="0053410A" w:rsidP="00F20080">
            <w:pPr>
              <w:jc w:val="right"/>
              <w:rPr>
                <w:rFonts w:ascii="Calibri" w:hAnsi="Calibri" w:cs="Calibri"/>
                <w:i/>
                <w:iCs/>
                <w:color w:val="000000"/>
                <w:sz w:val="22"/>
                <w:szCs w:val="22"/>
              </w:rPr>
            </w:pPr>
            <w:r w:rsidRPr="009B0851">
              <w:rPr>
                <w:rFonts w:ascii="Calibri" w:hAnsi="Calibri" w:cs="Calibri"/>
                <w:i/>
                <w:iCs/>
                <w:color w:val="000000"/>
                <w:sz w:val="22"/>
                <w:szCs w:val="22"/>
              </w:rPr>
              <w:t xml:space="preserve">Schwagerina                    </w:t>
            </w:r>
          </w:p>
        </w:tc>
        <w:tc>
          <w:tcPr>
            <w:tcW w:w="960" w:type="dxa"/>
            <w:shd w:val="clear" w:color="auto" w:fill="auto"/>
            <w:noWrap/>
            <w:hideMark/>
          </w:tcPr>
          <w:p w14:paraId="0C33405A" w14:textId="77777777" w:rsidR="0053410A" w:rsidRPr="009B0851" w:rsidRDefault="0053410A" w:rsidP="00F20080">
            <w:pPr>
              <w:jc w:val="right"/>
              <w:rPr>
                <w:rFonts w:ascii="Calibri" w:hAnsi="Calibri" w:cs="Calibri"/>
                <w:color w:val="000000"/>
                <w:sz w:val="22"/>
                <w:szCs w:val="22"/>
              </w:rPr>
            </w:pPr>
            <w:r w:rsidRPr="009B0851">
              <w:rPr>
                <w:rFonts w:ascii="Calibri" w:hAnsi="Calibri" w:cs="Calibri"/>
                <w:color w:val="000000"/>
                <w:sz w:val="22"/>
                <w:szCs w:val="22"/>
              </w:rPr>
              <w:t>42</w:t>
            </w:r>
          </w:p>
        </w:tc>
        <w:tc>
          <w:tcPr>
            <w:tcW w:w="1124" w:type="dxa"/>
            <w:shd w:val="clear" w:color="auto" w:fill="auto"/>
            <w:noWrap/>
            <w:hideMark/>
          </w:tcPr>
          <w:p w14:paraId="2538635C" w14:textId="77777777" w:rsidR="0053410A" w:rsidRPr="009B0851" w:rsidRDefault="0053410A" w:rsidP="00F20080">
            <w:pPr>
              <w:jc w:val="right"/>
              <w:rPr>
                <w:rFonts w:ascii="Calibri" w:hAnsi="Calibri" w:cs="Calibri"/>
                <w:color w:val="000000"/>
                <w:sz w:val="22"/>
                <w:szCs w:val="22"/>
              </w:rPr>
            </w:pPr>
            <w:r w:rsidRPr="009B0851">
              <w:rPr>
                <w:rFonts w:ascii="Calibri" w:hAnsi="Calibri" w:cs="Calibri"/>
                <w:color w:val="000000"/>
                <w:sz w:val="22"/>
                <w:szCs w:val="22"/>
              </w:rPr>
              <w:t>6</w:t>
            </w:r>
          </w:p>
        </w:tc>
        <w:tc>
          <w:tcPr>
            <w:tcW w:w="960" w:type="dxa"/>
            <w:shd w:val="clear" w:color="auto" w:fill="auto"/>
            <w:noWrap/>
            <w:hideMark/>
          </w:tcPr>
          <w:p w14:paraId="7F488FC4" w14:textId="77777777" w:rsidR="0053410A" w:rsidRPr="009B0851" w:rsidRDefault="0053410A" w:rsidP="00F20080">
            <w:pPr>
              <w:jc w:val="right"/>
              <w:rPr>
                <w:rFonts w:ascii="Calibri" w:hAnsi="Calibri" w:cs="Calibri"/>
                <w:color w:val="000000"/>
                <w:sz w:val="22"/>
                <w:szCs w:val="22"/>
              </w:rPr>
            </w:pPr>
            <w:r w:rsidRPr="009B0851">
              <w:rPr>
                <w:rFonts w:ascii="Calibri" w:hAnsi="Calibri" w:cs="Calibri"/>
                <w:color w:val="000000"/>
                <w:sz w:val="22"/>
                <w:szCs w:val="22"/>
              </w:rPr>
              <w:t>12</w:t>
            </w:r>
          </w:p>
        </w:tc>
        <w:tc>
          <w:tcPr>
            <w:tcW w:w="960" w:type="dxa"/>
            <w:shd w:val="clear" w:color="auto" w:fill="auto"/>
            <w:noWrap/>
            <w:hideMark/>
          </w:tcPr>
          <w:p w14:paraId="1DC0601F" w14:textId="77777777" w:rsidR="0053410A" w:rsidRPr="009B0851" w:rsidRDefault="0053410A" w:rsidP="00F20080">
            <w:pPr>
              <w:jc w:val="right"/>
              <w:rPr>
                <w:rFonts w:ascii="Calibri" w:hAnsi="Calibri" w:cs="Calibri"/>
                <w:color w:val="000000"/>
                <w:sz w:val="22"/>
                <w:szCs w:val="22"/>
              </w:rPr>
            </w:pPr>
            <w:r w:rsidRPr="009B0851">
              <w:rPr>
                <w:rFonts w:ascii="Calibri" w:hAnsi="Calibri" w:cs="Calibri"/>
                <w:color w:val="000000"/>
                <w:sz w:val="22"/>
                <w:szCs w:val="22"/>
              </w:rPr>
              <w:t>60</w:t>
            </w:r>
          </w:p>
        </w:tc>
      </w:tr>
      <w:tr w:rsidR="0053410A" w:rsidRPr="009B0851" w14:paraId="2BC4D3EA" w14:textId="77777777" w:rsidTr="00F20080">
        <w:trPr>
          <w:trHeight w:val="288"/>
        </w:trPr>
        <w:tc>
          <w:tcPr>
            <w:tcW w:w="2700" w:type="dxa"/>
            <w:tcBorders>
              <w:left w:val="nil"/>
              <w:bottom w:val="nil"/>
            </w:tcBorders>
            <w:shd w:val="clear" w:color="auto" w:fill="FFFFFF"/>
            <w:noWrap/>
            <w:hideMark/>
          </w:tcPr>
          <w:p w14:paraId="069F7A44" w14:textId="77777777" w:rsidR="0053410A" w:rsidRPr="009B0851" w:rsidRDefault="0053410A" w:rsidP="00F20080">
            <w:pPr>
              <w:jc w:val="right"/>
              <w:rPr>
                <w:rFonts w:ascii="Calibri" w:hAnsi="Calibri" w:cs="Calibri"/>
                <w:i/>
                <w:iCs/>
                <w:color w:val="000000"/>
                <w:sz w:val="22"/>
                <w:szCs w:val="22"/>
              </w:rPr>
            </w:pPr>
            <w:r w:rsidRPr="009B0851">
              <w:rPr>
                <w:rFonts w:ascii="Calibri" w:hAnsi="Calibri" w:cs="Calibri"/>
                <w:i/>
                <w:iCs/>
                <w:color w:val="000000"/>
                <w:sz w:val="22"/>
                <w:szCs w:val="22"/>
              </w:rPr>
              <w:t xml:space="preserve">Triticites                     </w:t>
            </w:r>
          </w:p>
        </w:tc>
        <w:tc>
          <w:tcPr>
            <w:tcW w:w="960" w:type="dxa"/>
            <w:shd w:val="clear" w:color="auto" w:fill="CCCCCC"/>
            <w:noWrap/>
            <w:hideMark/>
          </w:tcPr>
          <w:p w14:paraId="2F2240AC" w14:textId="77777777" w:rsidR="0053410A" w:rsidRPr="009B0851" w:rsidRDefault="0053410A" w:rsidP="00F20080">
            <w:pPr>
              <w:jc w:val="right"/>
              <w:rPr>
                <w:rFonts w:ascii="Calibri" w:hAnsi="Calibri" w:cs="Calibri"/>
                <w:color w:val="000000"/>
                <w:sz w:val="22"/>
                <w:szCs w:val="22"/>
              </w:rPr>
            </w:pPr>
            <w:r w:rsidRPr="009B0851">
              <w:rPr>
                <w:rFonts w:ascii="Calibri" w:hAnsi="Calibri" w:cs="Calibri"/>
                <w:color w:val="000000"/>
                <w:sz w:val="22"/>
                <w:szCs w:val="22"/>
              </w:rPr>
              <w:t>49</w:t>
            </w:r>
          </w:p>
        </w:tc>
        <w:tc>
          <w:tcPr>
            <w:tcW w:w="1124" w:type="dxa"/>
            <w:shd w:val="clear" w:color="auto" w:fill="CCCCCC"/>
            <w:noWrap/>
            <w:hideMark/>
          </w:tcPr>
          <w:p w14:paraId="5017C247" w14:textId="77777777" w:rsidR="0053410A" w:rsidRPr="009B0851" w:rsidRDefault="0053410A" w:rsidP="00F20080">
            <w:pPr>
              <w:jc w:val="right"/>
              <w:rPr>
                <w:rFonts w:ascii="Calibri" w:hAnsi="Calibri" w:cs="Calibri"/>
                <w:color w:val="000000"/>
                <w:sz w:val="22"/>
                <w:szCs w:val="22"/>
              </w:rPr>
            </w:pPr>
            <w:r w:rsidRPr="009B0851">
              <w:rPr>
                <w:rFonts w:ascii="Calibri" w:hAnsi="Calibri" w:cs="Calibri"/>
                <w:color w:val="000000"/>
                <w:sz w:val="22"/>
                <w:szCs w:val="22"/>
              </w:rPr>
              <w:t>7</w:t>
            </w:r>
          </w:p>
        </w:tc>
        <w:tc>
          <w:tcPr>
            <w:tcW w:w="960" w:type="dxa"/>
            <w:shd w:val="clear" w:color="auto" w:fill="CCCCCC"/>
            <w:noWrap/>
            <w:hideMark/>
          </w:tcPr>
          <w:p w14:paraId="3A84F5AF" w14:textId="77777777" w:rsidR="0053410A" w:rsidRPr="009B0851" w:rsidRDefault="0053410A" w:rsidP="00F20080">
            <w:pPr>
              <w:jc w:val="right"/>
              <w:rPr>
                <w:rFonts w:ascii="Calibri" w:hAnsi="Calibri" w:cs="Calibri"/>
                <w:color w:val="000000"/>
                <w:sz w:val="22"/>
                <w:szCs w:val="22"/>
              </w:rPr>
            </w:pPr>
            <w:r w:rsidRPr="009B0851">
              <w:rPr>
                <w:rFonts w:ascii="Calibri" w:hAnsi="Calibri" w:cs="Calibri"/>
                <w:color w:val="000000"/>
                <w:sz w:val="22"/>
                <w:szCs w:val="22"/>
              </w:rPr>
              <w:t>14</w:t>
            </w:r>
          </w:p>
        </w:tc>
        <w:tc>
          <w:tcPr>
            <w:tcW w:w="960" w:type="dxa"/>
            <w:shd w:val="clear" w:color="auto" w:fill="CCCCCC"/>
            <w:noWrap/>
            <w:hideMark/>
          </w:tcPr>
          <w:p w14:paraId="19D216E3" w14:textId="77777777" w:rsidR="0053410A" w:rsidRPr="009B0851" w:rsidRDefault="0053410A" w:rsidP="00F20080">
            <w:pPr>
              <w:jc w:val="right"/>
              <w:rPr>
                <w:rFonts w:ascii="Calibri" w:hAnsi="Calibri" w:cs="Calibri"/>
                <w:color w:val="000000"/>
                <w:sz w:val="22"/>
                <w:szCs w:val="22"/>
              </w:rPr>
            </w:pPr>
            <w:r w:rsidRPr="009B0851">
              <w:rPr>
                <w:rFonts w:ascii="Calibri" w:hAnsi="Calibri" w:cs="Calibri"/>
                <w:color w:val="000000"/>
                <w:sz w:val="22"/>
                <w:szCs w:val="22"/>
              </w:rPr>
              <w:t>70</w:t>
            </w:r>
          </w:p>
        </w:tc>
      </w:tr>
      <w:tr w:rsidR="0053410A" w:rsidRPr="009B0851" w14:paraId="287DDA91" w14:textId="77777777" w:rsidTr="00F20080">
        <w:trPr>
          <w:trHeight w:val="288"/>
        </w:trPr>
        <w:tc>
          <w:tcPr>
            <w:tcW w:w="2700" w:type="dxa"/>
            <w:tcBorders>
              <w:left w:val="nil"/>
              <w:bottom w:val="nil"/>
            </w:tcBorders>
            <w:shd w:val="clear" w:color="auto" w:fill="FFFFFF"/>
            <w:noWrap/>
            <w:hideMark/>
          </w:tcPr>
          <w:p w14:paraId="39027C7E" w14:textId="77777777" w:rsidR="0053410A" w:rsidRPr="009B0851" w:rsidRDefault="0053410A" w:rsidP="00F20080">
            <w:pPr>
              <w:jc w:val="right"/>
              <w:rPr>
                <w:rFonts w:ascii="Calibri" w:hAnsi="Calibri" w:cs="Calibri"/>
                <w:i/>
                <w:iCs/>
                <w:color w:val="000000"/>
                <w:sz w:val="22"/>
                <w:szCs w:val="22"/>
              </w:rPr>
            </w:pPr>
            <w:r w:rsidRPr="009B0851">
              <w:rPr>
                <w:rFonts w:ascii="Calibri" w:hAnsi="Calibri" w:cs="Calibri"/>
                <w:i/>
                <w:iCs/>
                <w:color w:val="000000"/>
                <w:sz w:val="22"/>
                <w:szCs w:val="22"/>
              </w:rPr>
              <w:t xml:space="preserve">Wedekindellina                 </w:t>
            </w:r>
          </w:p>
        </w:tc>
        <w:tc>
          <w:tcPr>
            <w:tcW w:w="960" w:type="dxa"/>
            <w:shd w:val="clear" w:color="auto" w:fill="auto"/>
            <w:noWrap/>
            <w:hideMark/>
          </w:tcPr>
          <w:p w14:paraId="2F6EC85D" w14:textId="77777777" w:rsidR="0053410A" w:rsidRPr="009B0851" w:rsidRDefault="0053410A" w:rsidP="00F20080">
            <w:pPr>
              <w:jc w:val="right"/>
              <w:rPr>
                <w:rFonts w:ascii="Calibri" w:hAnsi="Calibri" w:cs="Calibri"/>
                <w:color w:val="000000"/>
                <w:sz w:val="22"/>
                <w:szCs w:val="22"/>
              </w:rPr>
            </w:pPr>
            <w:r w:rsidRPr="009B0851">
              <w:rPr>
                <w:rFonts w:ascii="Calibri" w:hAnsi="Calibri" w:cs="Calibri"/>
                <w:color w:val="000000"/>
                <w:sz w:val="22"/>
                <w:szCs w:val="22"/>
              </w:rPr>
              <w:t>14</w:t>
            </w:r>
          </w:p>
        </w:tc>
        <w:tc>
          <w:tcPr>
            <w:tcW w:w="1124" w:type="dxa"/>
            <w:shd w:val="clear" w:color="auto" w:fill="auto"/>
            <w:noWrap/>
            <w:hideMark/>
          </w:tcPr>
          <w:p w14:paraId="4809626A" w14:textId="77777777" w:rsidR="0053410A" w:rsidRPr="009B0851" w:rsidRDefault="0053410A" w:rsidP="00F20080">
            <w:pPr>
              <w:jc w:val="right"/>
              <w:rPr>
                <w:rFonts w:ascii="Calibri" w:hAnsi="Calibri" w:cs="Calibri"/>
                <w:color w:val="000000"/>
                <w:sz w:val="22"/>
                <w:szCs w:val="22"/>
              </w:rPr>
            </w:pPr>
            <w:r w:rsidRPr="009B0851">
              <w:rPr>
                <w:rFonts w:ascii="Calibri" w:hAnsi="Calibri" w:cs="Calibri"/>
                <w:color w:val="000000"/>
                <w:sz w:val="22"/>
                <w:szCs w:val="22"/>
              </w:rPr>
              <w:t>2</w:t>
            </w:r>
          </w:p>
        </w:tc>
        <w:tc>
          <w:tcPr>
            <w:tcW w:w="960" w:type="dxa"/>
            <w:shd w:val="clear" w:color="auto" w:fill="auto"/>
            <w:noWrap/>
            <w:hideMark/>
          </w:tcPr>
          <w:p w14:paraId="2B11530D" w14:textId="77777777" w:rsidR="0053410A" w:rsidRPr="009B0851" w:rsidRDefault="0053410A" w:rsidP="00F20080">
            <w:pPr>
              <w:jc w:val="right"/>
              <w:rPr>
                <w:rFonts w:ascii="Calibri" w:hAnsi="Calibri" w:cs="Calibri"/>
                <w:color w:val="000000"/>
                <w:sz w:val="22"/>
                <w:szCs w:val="22"/>
              </w:rPr>
            </w:pPr>
            <w:r w:rsidRPr="009B0851">
              <w:rPr>
                <w:rFonts w:ascii="Calibri" w:hAnsi="Calibri" w:cs="Calibri"/>
                <w:color w:val="000000"/>
                <w:sz w:val="22"/>
                <w:szCs w:val="22"/>
              </w:rPr>
              <w:t>4</w:t>
            </w:r>
          </w:p>
        </w:tc>
        <w:tc>
          <w:tcPr>
            <w:tcW w:w="960" w:type="dxa"/>
            <w:shd w:val="clear" w:color="auto" w:fill="auto"/>
            <w:noWrap/>
            <w:hideMark/>
          </w:tcPr>
          <w:p w14:paraId="52ABEBB2" w14:textId="77777777" w:rsidR="0053410A" w:rsidRPr="009B0851" w:rsidRDefault="0053410A" w:rsidP="00F20080">
            <w:pPr>
              <w:jc w:val="right"/>
              <w:rPr>
                <w:rFonts w:ascii="Calibri" w:hAnsi="Calibri" w:cs="Calibri"/>
                <w:color w:val="000000"/>
                <w:sz w:val="22"/>
                <w:szCs w:val="22"/>
              </w:rPr>
            </w:pPr>
            <w:r w:rsidRPr="009B0851">
              <w:rPr>
                <w:rFonts w:ascii="Calibri" w:hAnsi="Calibri" w:cs="Calibri"/>
                <w:color w:val="000000"/>
                <w:sz w:val="22"/>
                <w:szCs w:val="22"/>
              </w:rPr>
              <w:t>20</w:t>
            </w:r>
          </w:p>
        </w:tc>
      </w:tr>
    </w:tbl>
    <w:p w14:paraId="7F36AA6A" w14:textId="77777777" w:rsidR="004713B9" w:rsidRDefault="004713B9" w:rsidP="004713B9">
      <w:pPr>
        <w:ind w:firstLine="720"/>
      </w:pPr>
    </w:p>
    <w:p w14:paraId="6F34981F" w14:textId="77777777" w:rsidR="004713B9" w:rsidRPr="00E84541" w:rsidRDefault="004713B9" w:rsidP="004713B9">
      <w:pPr>
        <w:ind w:firstLine="720"/>
      </w:pPr>
    </w:p>
    <w:p w14:paraId="4FBCC197" w14:textId="77777777" w:rsidR="004713B9" w:rsidRPr="00E84541" w:rsidRDefault="004713B9" w:rsidP="004F4884">
      <w:pPr>
        <w:pStyle w:val="Heading3"/>
      </w:pPr>
      <w:bookmarkStart w:id="185" w:name="_Toc26534614"/>
      <w:r w:rsidRPr="00E84541">
        <w:t xml:space="preserve">Transfer learning and </w:t>
      </w:r>
      <w:r>
        <w:t xml:space="preserve">data </w:t>
      </w:r>
      <w:r w:rsidRPr="00E84541">
        <w:t>augmentation</w:t>
      </w:r>
      <w:bookmarkEnd w:id="185"/>
    </w:p>
    <w:p w14:paraId="175BA017" w14:textId="77777777" w:rsidR="0053410A" w:rsidRPr="008A48B1" w:rsidRDefault="0053410A" w:rsidP="0053410A">
      <w:pPr>
        <w:ind w:firstLine="720"/>
      </w:pPr>
      <w:r w:rsidRPr="00E84541">
        <w:t xml:space="preserve">Transfer learning can be used to address the shortage of sufficient domain-specific training data </w:t>
      </w:r>
      <w:r w:rsidRPr="00E84541">
        <w:rPr>
          <w:rStyle w:val="FootnoteReference"/>
        </w:rPr>
        <w:fldChar w:fldCharType="begin" w:fldLock="1"/>
      </w:r>
      <w:r w:rsidRPr="00E84541">
        <w:instrText>ADDIN CSL_CITATION {"citationItems":[{"id":"ITEM-1","itemData":{"DOI":"10.1186/s12862-017-1014-z","ISSN":"1471-2148","abstract":"Hundreds of herbarium collections have accumulated a valuable heritage and knowledge of plants over several centuries. Recent initiatives started ambitious preservation plans to digitize this information and make it available to botanists and the general public through web portals. However, thousands of sheets are still unidentified at the species level while numerous sheets should be reviewed and updated following more recent taxonomic knowledge. These annotations and revisions require an unrealistic amount of work for botanists to carry out in a reasonable time. Computer vision and machine learning approaches applied to herbarium sheets are promising but are still not well studied compared to automated species identification from leaf scans or pictures of plants in the field. In this work, we propose to study and evaluate the accuracy with which herbarium images can be potentially exploited for species identification with deep learning technology. In addition, we propose to study if the combination of herbarium sheets with photos of plants in the field is relevant in terms of accuracy, and finally, we explore if herbarium images from one region that has one specific flora can be used to do transfer learning to another region with other species; for example, on a region under-represented in terms of collected data. This is, to our knowledge, the first study that uses deep learning to analyze a big dataset with thousands of species from herbaria. Results show the potential of Deep Learning on herbarium species identification, particularly by training and testing across different datasets from different herbaria. This could potentially lead to the creation of a semi, or even fully automated system to help taxonomists and experts with their annotation, classification, and revision works.","author":[{"dropping-particle":"","family":"Carranza-Rojas","given":"Jose","non-dropping-particle":"","parse-names":false,"suffix":""},{"dropping-particle":"","family":"Goeau","given":"Herve","non-dropping-particle":"","parse-names":false,"suffix":""},{"dropping-particle":"","family":"Bonnet","given":"Pierre","non-dropping-particle":"","parse-names":false,"suffix":""},{"dropping-particle":"","family":"Mata-Montero","given":"Erick","non-dropping-particle":"","parse-names":false,"suffix":""},{"dropping-particle":"","family":"Joly","given":"Alexis","non-dropping-particle":"","parse-names":false,"suffix":""}],"container-title":"BMC Evolutionary Biology","id":"ITEM-1","issue":"1","issued":{"date-parts":[["2017","12","11"]]},"page":"181","publisher":"BioMed Central","title":"Going deeper in the automated identification of Herbarium specimens","type":"article-journal","volume":"17"},"uris":["http://www.mendeley.com/documents/?uuid=cb983aa2-86e4-31b4-93fd-970edddbfe2e"]}],"mendeley":{"formattedCitation":"(Carranza-Rojas et al. 2017)","plainTextFormattedCitation":"(Carranza-Rojas et al. 2017)","previouslyFormattedCitation":"(Carranza-Rojas et al. 2017)"},"properties":{"noteIndex":0},"schema":"https://github.com/citation-style-language/schema/raw/master/csl-citation.json"}</w:instrText>
      </w:r>
      <w:r w:rsidRPr="00E84541">
        <w:rPr>
          <w:rStyle w:val="FootnoteReference"/>
        </w:rPr>
        <w:fldChar w:fldCharType="separate"/>
      </w:r>
      <w:r w:rsidRPr="00E84541">
        <w:rPr>
          <w:bCs/>
          <w:noProof/>
        </w:rPr>
        <w:t>(Carranza-Rojas et al. 2017)</w:t>
      </w:r>
      <w:r w:rsidRPr="00E84541">
        <w:rPr>
          <w:rStyle w:val="FootnoteReference"/>
        </w:rPr>
        <w:fldChar w:fldCharType="end"/>
      </w:r>
      <w:r w:rsidRPr="00E84541">
        <w:t xml:space="preserve">. In transfer learning, the learned characteristics of a base model trained on a </w:t>
      </w:r>
      <w:r>
        <w:t>primary</w:t>
      </w:r>
      <w:r w:rsidRPr="00E84541">
        <w:t xml:space="preserve"> dataset </w:t>
      </w:r>
      <w:r>
        <w:t xml:space="preserve">and task </w:t>
      </w:r>
      <w:r w:rsidRPr="00E84541">
        <w:t xml:space="preserve">are reused </w:t>
      </w:r>
      <w:r>
        <w:t xml:space="preserve">for a secondary </w:t>
      </w:r>
      <w:r w:rsidRPr="00E84541">
        <w:t xml:space="preserve">task </w:t>
      </w:r>
      <w:r w:rsidRPr="00E84541">
        <w:rPr>
          <w:rStyle w:val="FootnoteReference"/>
        </w:rPr>
        <w:fldChar w:fldCharType="begin" w:fldLock="1"/>
      </w:r>
      <w:r w:rsidRPr="00E84541">
        <w:instrText>ADDIN CSL_CITATION {"citationItems":[{"id":"ITEM-1","itemData":{"abstract":"Many deep neural networks trained on natural images exhibit a curious phenomenon in common: on the first layer they learn features similar to Gabor filters and color blobs. Such first-layer features appear not to be specific to a particular dataset or task, but general in that they are applicable to many datasets and tasks. Features must eventually transition from general to specific by the last layer of the network, but this transition has not been studied extensively. In this paper we experimentally quantify the generality versus specificity of neurons in each layer of a deep convolutional neural network and report a few surprising results. Transferability is negatively affected by two distinct issues: (1) the specialization of higher layer neurons to their original task at the expense of performance on the target task, which was expected, and (2) optimization difficulties related to splitting networks between co-adapted neurons, which was not expected. In an example network trained on ImageNet, we demonstrate that either of these two issues may dominate, depending on whether features are transferred from the bottom, middle, or top of the network. We also document that the transferability of features decreases as the distance between the base task and target task increases, but that transferring features even from distant tasks can be better than using random features. A final surprising result is that initializing a network with transferred features from almost any number of layers can produce a boost to generalization that lingers even after fine-tuning to the target dataset.","author":[{"dropping-particle":"","family":"Yosinski","given":"Jason","non-dropping-particle":"","parse-names":false,"suffix":""},{"dropping-particle":"","family":"Clune","given":"Jeff","non-dropping-particle":"","parse-names":false,"suffix":""},{"dropping-particle":"","family":"Bengio","given":"Yoshua","non-dropping-particle":"","parse-names":false,"suffix":""},{"dropping-particle":"","family":"Lipson","given":"Hod","non-dropping-particle":"","parse-names":false,"suffix":""}],"container-title":"Advances in Neural Information Processing Systems","id":"ITEM-1","issued":{"date-parts":[["2014","11","6"]]},"page":"3320-3328","title":"How transferable are features in deep neural networks?","type":"article-journal","volume":"27"},"uris":["http://www.mendeley.com/documents/?uuid=803012bc-b88d-392a-8cbd-4f098fe2c123"]}],"mendeley":{"formattedCitation":"(Yosinski et al. 2014)","plainTextFormattedCitation":"(Yosinski et al. 2014)","previouslyFormattedCitation":"(Yosinski et al. 2014)"},"properties":{"noteIndex":0},"schema":"https://github.com/citation-style-language/schema/raw/master/csl-citation.json"}</w:instrText>
      </w:r>
      <w:r w:rsidRPr="00E84541">
        <w:rPr>
          <w:rStyle w:val="FootnoteReference"/>
        </w:rPr>
        <w:fldChar w:fldCharType="separate"/>
      </w:r>
      <w:r w:rsidRPr="00E84541">
        <w:rPr>
          <w:bCs/>
          <w:noProof/>
        </w:rPr>
        <w:t>(Yosinski et al. 2014)</w:t>
      </w:r>
      <w:r w:rsidRPr="00E84541">
        <w:rPr>
          <w:rStyle w:val="FootnoteReference"/>
        </w:rPr>
        <w:fldChar w:fldCharType="end"/>
      </w:r>
      <w:r w:rsidRPr="00E84541">
        <w:t xml:space="preserve">. </w:t>
      </w:r>
      <w:r>
        <w:t>Therefore</w:t>
      </w:r>
      <w:r w:rsidRPr="00E84541">
        <w:t xml:space="preserve">, </w:t>
      </w:r>
      <w:r w:rsidRPr="00E84541">
        <w:rPr>
          <w:rFonts w:eastAsia="Calibri"/>
        </w:rPr>
        <w:t xml:space="preserve">layers previously trained with a substantial volume of labeled data can be used to address different objectives. </w:t>
      </w:r>
      <w:r>
        <w:t>Thus</w:t>
      </w:r>
      <w:r w:rsidRPr="00E84541">
        <w:t xml:space="preserve">, a CNN model trained to identify the images of the </w:t>
      </w:r>
      <w:r>
        <w:t>ILSVRC</w:t>
      </w:r>
      <w:r w:rsidRPr="00E84541" w:rsidDel="00924299">
        <w:t xml:space="preserve"> </w:t>
      </w:r>
      <w:r w:rsidRPr="00E84541">
        <w:t>can be used to classify fusulinid thin-sections with the help of transfer learning (</w:t>
      </w:r>
      <w:r w:rsidRPr="00E84541">
        <w:fldChar w:fldCharType="begin"/>
      </w:r>
      <w:r w:rsidRPr="00E84541">
        <w:instrText xml:space="preserve"> REF _Ref528666232 \h  \* MERGEFORMAT </w:instrText>
      </w:r>
      <w:r w:rsidRPr="00E84541">
        <w:fldChar w:fldCharType="separate"/>
      </w:r>
      <w:r w:rsidR="00F20080" w:rsidRPr="00F20080">
        <w:t xml:space="preserve">Figure </w:t>
      </w:r>
      <w:r w:rsidR="00F20080">
        <w:t>23</w:t>
      </w:r>
      <w:r w:rsidRPr="00E84541">
        <w:fldChar w:fldCharType="end"/>
      </w:r>
      <w:r w:rsidRPr="00E84541">
        <w:t xml:space="preserve">). In a study analyzing medical image data, </w:t>
      </w:r>
      <w:r>
        <w:fldChar w:fldCharType="begin" w:fldLock="1"/>
      </w:r>
      <w:r>
        <w:instrText>ADDIN CSL_CITATION {"citationItems":[{"id":"ITEM-1","itemData":{"DOI":"10.1109/TMI.2016.2535302","ISSN":"0278-0062","author":[{"dropping-particle":"","family":"Tajbakhsh","given":"N","non-dropping-particle":"","parse-names":false,"suffix":""},{"dropping-particle":"","family":"Shin","given":"J Y","non-dropping-particle":"","parse-names":false,"suffix":""},{"dropping-particle":"","family":"Gurudu","given":"S R","non-dropping-particle":"","parse-names":false,"suffix":""},{"dropping-particle":"","family":"Hurst","given":"R T","non-dropping-particle":"","parse-names":false,"suffix":""},{"dropping-particle":"","family":"Kendall","given":"C B","non-dropping-particle":"","parse-names":false,"suffix":""},{"dropping-particle":"","family":"Gotway","given":"M B","non-dropping-particle":"","parse-names":false,"suffix":""},{"dropping-particle":"","family":"Liang","given":"J","non-dropping-particle":"","parse-names":false,"suffix":""}],"container-title":"IEEE Transactions on Medical Imaging","id":"ITEM-1","issue":"5","issued":{"date-parts":[["2016","5"]]},"page":"1299-1312","title":"Convolutional Neural Networks for Medical Image Analysis: Full Training or Fine Tuning?","type":"article-journal","volume":"35"},"uris":["http://www.mendeley.com/documents/?uuid=c64876b4-48ab-46e8-9105-85ebf700feaf"]}],"mendeley":{"formattedCitation":"(Tajbakhsh et al. 2016)","manualFormatting":"Tajbakhsh et al. (2016)","plainTextFormattedCitation":"(Tajbakhsh et al. 2016)","previouslyFormattedCitation":"(Tajbakhsh et al. 2016)"},"properties":{"noteIndex":0},"schema":"https://github.com/citation-style-language/schema/raw/master/csl-citation.json"}</w:instrText>
      </w:r>
      <w:r>
        <w:fldChar w:fldCharType="separate"/>
      </w:r>
      <w:r w:rsidRPr="00D33A6D">
        <w:rPr>
          <w:noProof/>
        </w:rPr>
        <w:t xml:space="preserve">Tajbakhsh et al. </w:t>
      </w:r>
      <w:r>
        <w:rPr>
          <w:noProof/>
        </w:rPr>
        <w:t>(</w:t>
      </w:r>
      <w:r w:rsidRPr="00D33A6D">
        <w:rPr>
          <w:noProof/>
        </w:rPr>
        <w:t>2016)</w:t>
      </w:r>
      <w:r>
        <w:fldChar w:fldCharType="end"/>
      </w:r>
      <w:r>
        <w:rPr>
          <w:rFonts w:eastAsia="Calibri"/>
          <w:noProof/>
        </w:rPr>
        <w:t xml:space="preserve"> </w:t>
      </w:r>
      <w:r w:rsidRPr="00E84541">
        <w:rPr>
          <w:rFonts w:eastAsia="Calibri"/>
        </w:rPr>
        <w:t>found that using transfer learning achieved results comparable to</w:t>
      </w:r>
      <w:r>
        <w:rPr>
          <w:rFonts w:eastAsia="Calibri"/>
        </w:rPr>
        <w:t>,</w:t>
      </w:r>
      <w:r w:rsidRPr="00E84541">
        <w:rPr>
          <w:rFonts w:eastAsia="Calibri"/>
        </w:rPr>
        <w:t xml:space="preserve"> or better than</w:t>
      </w:r>
      <w:r>
        <w:rPr>
          <w:rFonts w:eastAsia="Calibri"/>
        </w:rPr>
        <w:t>,</w:t>
      </w:r>
      <w:r w:rsidRPr="00E84541">
        <w:rPr>
          <w:rFonts w:eastAsia="Calibri"/>
        </w:rPr>
        <w:t xml:space="preserve"> training a CNN model from </w:t>
      </w:r>
      <w:r w:rsidRPr="002F4CD3">
        <w:t>scratch</w:t>
      </w:r>
      <w:r>
        <w:t xml:space="preserve"> (with randomly initialized weights)</w:t>
      </w:r>
      <w:r w:rsidRPr="002F4CD3">
        <w:t xml:space="preserve">. </w:t>
      </w:r>
      <w:r>
        <w:t>Yosinski et al. (2014) concluded that using transfer learning on subsets of ILSVRC classes perform better than training CNN models from scratch</w:t>
      </w:r>
      <w:r w:rsidRPr="002F4CD3">
        <w:t>.</w:t>
      </w:r>
      <w:r w:rsidRPr="00E84541">
        <w:t xml:space="preserve"> </w:t>
      </w:r>
      <w:r w:rsidRPr="002F4CD3">
        <w:t>Examples of tr</w:t>
      </w:r>
      <w:r w:rsidRPr="00E84541">
        <w:rPr>
          <w:rFonts w:eastAsia="Calibri"/>
        </w:rPr>
        <w:t xml:space="preserve">ansfer learning include Carranza-Rojas et al. (2017) for herbarium specimens, Esteva et al. </w:t>
      </w:r>
      <w:r w:rsidRPr="00E84541">
        <w:rPr>
          <w:rFonts w:eastAsia="Calibri"/>
        </w:rPr>
        <w:lastRenderedPageBreak/>
        <w:t>(2017) for skin cancer classification, Gomez Villa et al. (2017) for camera-trap images</w:t>
      </w:r>
      <w:r>
        <w:rPr>
          <w:rFonts w:eastAsia="Calibri"/>
        </w:rPr>
        <w:t xml:space="preserve">, and </w:t>
      </w:r>
      <w:r>
        <w:rPr>
          <w:rFonts w:eastAsia="Calibri"/>
        </w:rPr>
        <w:fldChar w:fldCharType="begin" w:fldLock="1"/>
      </w:r>
      <w:r>
        <w:rPr>
          <w:rFonts w:eastAsia="Calibri"/>
        </w:rPr>
        <w:instrText>ADDIN CSL_CITATION {"citationItems":[{"id":"ITEM-1","itemData":{"DOI":"10.1190/INT-2018-0245.1","ISSN":"2324-8858","abstract":"&lt;p&gt;Artificial intelligence methods have a very wide range of applications. From speech recognition to self-driving cars, the development of modern deep-learning architectures is helping researchers to achieve new levels of accuracy in different fields. Although deep convolutional neural networks (CNNs) (a kind of deep-learning technique) have reached or surpassed human-level performance in image recognition tasks, little has been done to transport this new image classification technology to geoscientific problems. We have developed what we believe to be the first use of CNNs to identify lithofacies in cores. We use highly accurate models (trained with millions of images) and transfer learning to classify images of cored carbonate rocks. We found that different modern CNN architectures can achieve high levels of lithologic image classification accuracy (approximately 90%) and can aid in the core description task. This core image classification technique has the potential to greatly standardize and accelerate the description process. We also provide the community with a new set of labeled data that can be used for further geologic/data science studies.&lt;/p&gt;","author":[{"dropping-particle":"","family":"Pires de Lima","given":"Rafael","non-dropping-particle":"","parse-names":false,"suffix":""},{"dropping-particle":"","family":"Suriamin","given":"Fnu","non-dropping-particle":"","parse-names":false,"suffix":""},{"dropping-particle":"","family":"Marfurt","given":"Kurt J.","non-dropping-particle":"","parse-names":false,"suffix":""},{"dropping-particle":"","family":"Pranter","given":"Matthew J.","non-dropping-particle":"","parse-names":false,"suffix":""}],"container-title":"Interpretation","id":"ITEM-1","issue":"3","issued":{"date-parts":[["2019","8","28"]]},"page":"SF27-SF40","title":"Convolutional neural networks as aid in core lithofacies classification","type":"article-journal","volume":"7"},"uris":["http://www.mendeley.com/documents/?uuid=8d140131-3e03-3708-8dc4-2dbfd71b8ad8"]}],"mendeley":{"formattedCitation":"(Pires de Lima, Suriamin, et al. 2019)","plainTextFormattedCitation":"(Pires de Lima, Suriamin, et al. 2019)","previouslyFormattedCitation":"(Pires de Lima, Suriamin, et al. 2019)"},"properties":{"noteIndex":0},"schema":"https://github.com/citation-style-language/schema/raw/master/csl-citation.json"}</w:instrText>
      </w:r>
      <w:r>
        <w:rPr>
          <w:rFonts w:eastAsia="Calibri"/>
        </w:rPr>
        <w:fldChar w:fldCharType="separate"/>
      </w:r>
      <w:r w:rsidRPr="002F4CD3">
        <w:rPr>
          <w:rFonts w:eastAsia="Calibri"/>
          <w:noProof/>
        </w:rPr>
        <w:t>Pires de Lima</w:t>
      </w:r>
      <w:r>
        <w:rPr>
          <w:rFonts w:eastAsia="Calibri"/>
          <w:noProof/>
        </w:rPr>
        <w:t xml:space="preserve"> </w:t>
      </w:r>
      <w:r w:rsidRPr="002F4CD3">
        <w:rPr>
          <w:rFonts w:eastAsia="Calibri"/>
          <w:noProof/>
        </w:rPr>
        <w:t xml:space="preserve">et al. </w:t>
      </w:r>
      <w:r>
        <w:rPr>
          <w:rFonts w:eastAsia="Calibri"/>
          <w:noProof/>
        </w:rPr>
        <w:t>(</w:t>
      </w:r>
      <w:r w:rsidRPr="002F4CD3">
        <w:rPr>
          <w:rFonts w:eastAsia="Calibri"/>
          <w:noProof/>
        </w:rPr>
        <w:t>2019</w:t>
      </w:r>
      <w:r>
        <w:rPr>
          <w:rFonts w:eastAsia="Calibri"/>
          <w:noProof/>
        </w:rPr>
        <w:t>a</w:t>
      </w:r>
      <w:r w:rsidRPr="002F4CD3">
        <w:rPr>
          <w:rFonts w:eastAsia="Calibri"/>
          <w:noProof/>
        </w:rPr>
        <w:t>)</w:t>
      </w:r>
      <w:r>
        <w:rPr>
          <w:rFonts w:eastAsia="Calibri"/>
        </w:rPr>
        <w:fldChar w:fldCharType="end"/>
      </w:r>
      <w:r>
        <w:rPr>
          <w:rFonts w:eastAsia="Calibri"/>
        </w:rPr>
        <w:t xml:space="preserve"> for lithofacies classification</w:t>
      </w:r>
      <w:r w:rsidRPr="00E84541">
        <w:rPr>
          <w:rFonts w:eastAsia="Calibri"/>
        </w:rPr>
        <w:t xml:space="preserve">. </w:t>
      </w:r>
      <w:r>
        <w:rPr>
          <w:rFonts w:eastAsia="Calibri"/>
        </w:rPr>
        <w:fldChar w:fldCharType="begin" w:fldLock="1"/>
      </w:r>
      <w:r>
        <w:rPr>
          <w:rFonts w:eastAsia="Calibri"/>
        </w:rPr>
        <w:instrText>ADDIN CSL_CITATION {"citationItems":[{"id":"ITEM-1","itemData":{"DOI":"10.210/sedred.2019.2","author":[{"dropping-particle":"","family":"Pires de Lima","given":"Rafael","non-dropping-particle":"","parse-names":false,"suffix":""},{"dropping-particle":"","family":"Bonar","given":"Alicia","non-dropping-particle":"","parse-names":false,"suffix":""},{"dropping-particle":"","family":"Coronado","given":"David Duarte","non-dropping-particle":"","parse-names":false,"suffix":""},{"dropping-particle":"","family":"Marfurt","given":"Kurt","non-dropping-particle":"","parse-names":false,"suffix":""},{"dropping-particle":"","family":"Nicholson","given":"Charles","non-dropping-particle":"","parse-names":false,"suffix":""}],"container-title":"The Sedimentary Record","id":"ITEM-1","issue":"2","issued":{"date-parts":[["2019"]]},"page":"4-9","title":"Deep convolutional neural networks as a geological image classification tool","type":"article-journal","volume":"17"},"uris":["http://www.mendeley.com/documents/?uuid=3a7d999b-e892-4f63-92ee-8560f96f8631"]}],"mendeley":{"formattedCitation":"(Pires de Lima, Bonar, et al. 2019)","manualFormatting":"Pires de Lima, Bonar, et al. (2019)","plainTextFormattedCitation":"(Pires de Lima, Bonar, et al. 2019)","previouslyFormattedCitation":"(Pires de Lima, Bonar, et al. 2019)"},"properties":{"noteIndex":0},"schema":"https://github.com/citation-style-language/schema/raw/master/csl-citation.json"}</w:instrText>
      </w:r>
      <w:r>
        <w:rPr>
          <w:rFonts w:eastAsia="Calibri"/>
        </w:rPr>
        <w:fldChar w:fldCharType="separate"/>
      </w:r>
      <w:r w:rsidRPr="002F4CD3">
        <w:rPr>
          <w:rFonts w:eastAsia="Calibri"/>
          <w:noProof/>
        </w:rPr>
        <w:t>Pires de Lima</w:t>
      </w:r>
      <w:r>
        <w:rPr>
          <w:rFonts w:eastAsia="Calibri"/>
          <w:noProof/>
        </w:rPr>
        <w:t xml:space="preserve"> </w:t>
      </w:r>
      <w:r w:rsidRPr="002F4CD3">
        <w:rPr>
          <w:rFonts w:eastAsia="Calibri"/>
          <w:noProof/>
        </w:rPr>
        <w:t xml:space="preserve">et al. </w:t>
      </w:r>
      <w:r>
        <w:rPr>
          <w:rFonts w:eastAsia="Calibri"/>
          <w:noProof/>
        </w:rPr>
        <w:t>(</w:t>
      </w:r>
      <w:r w:rsidRPr="002F4CD3">
        <w:rPr>
          <w:rFonts w:eastAsia="Calibri"/>
          <w:noProof/>
        </w:rPr>
        <w:t>2019</w:t>
      </w:r>
      <w:r>
        <w:rPr>
          <w:rFonts w:eastAsia="Calibri"/>
          <w:noProof/>
        </w:rPr>
        <w:t>b</w:t>
      </w:r>
      <w:r w:rsidRPr="002F4CD3">
        <w:rPr>
          <w:rFonts w:eastAsia="Calibri"/>
          <w:noProof/>
        </w:rPr>
        <w:t>)</w:t>
      </w:r>
      <w:r>
        <w:rPr>
          <w:rFonts w:eastAsia="Calibri"/>
        </w:rPr>
        <w:fldChar w:fldCharType="end"/>
      </w:r>
      <w:r>
        <w:rPr>
          <w:rFonts w:eastAsia="Calibri"/>
        </w:rPr>
        <w:t xml:space="preserve"> showed examples of transfer learning using different </w:t>
      </w:r>
      <w:r w:rsidRPr="008A48B1">
        <w:t xml:space="preserve">geological images. </w:t>
      </w:r>
    </w:p>
    <w:p w14:paraId="31194ADA" w14:textId="77777777" w:rsidR="0053410A" w:rsidRPr="00E84541" w:rsidRDefault="0053410A" w:rsidP="0053410A">
      <w:pPr>
        <w:ind w:firstLine="720"/>
      </w:pPr>
      <w:r w:rsidRPr="00E84541">
        <w:t>Deep neural networks have a cascading pattern in which the output of one processing layer is used as input to the next layer of the model. When trained on datasets of natural images, the first layer</w:t>
      </w:r>
      <w:r>
        <w:t>s</w:t>
      </w:r>
      <w:r w:rsidRPr="00E84541">
        <w:t xml:space="preserve"> of </w:t>
      </w:r>
      <w:r>
        <w:t xml:space="preserve">CNN models </w:t>
      </w:r>
      <w:r w:rsidRPr="00E84541">
        <w:t>learn features that resemble either color blobs or some variation of textures. This behavior is so common in CNN models that the analysis is reevaluated every time the initial layers learn any other image characteristics (other than colors or texture)</w:t>
      </w:r>
      <w:r>
        <w:t xml:space="preserve"> resulting in</w:t>
      </w:r>
      <w:r w:rsidRPr="00E84541">
        <w:t xml:space="preserve"> a transition from general to specific features learned by the model </w:t>
      </w:r>
      <w:r w:rsidRPr="008A48B1">
        <w:fldChar w:fldCharType="begin" w:fldLock="1"/>
      </w:r>
      <w:r w:rsidRPr="00E84541">
        <w:instrText>ADDIN CSL_CITATION {"citationItems":[{"id":"ITEM-1","itemData":{"abstract":"Many deep neural networks trained on natural images exhibit a curious phenomenon in common: on the first layer they learn features similar to Gabor filters and color blobs. Such first-layer features appear not to be specific to a particular dataset or task, but general in that they are applicable to many datasets and tasks. Features must eventually transition from general to specific by the last layer of the network, but this transition has not been studied extensively. In this paper we experimentally quantify the generality versus specificity of neurons in each layer of a deep convolutional neural network and report a few surprising results. Transferability is negatively affected by two distinct issues: (1) the specialization of higher layer neurons to their original task at the expense of performance on the target task, which was expected, and (2) optimization difficulties related to splitting networks between co-adapted neurons, which was not expected. In an example network trained on ImageNet, we demonstrate that either of these two issues may dominate, depending on whether features are transferred from the bottom, middle, or top of the network. We also document that the transferability of features decreases as the distance between the base task and target task increases, but that transferring features even from distant tasks can be better than using random features. A final surprising result is that initializing a network with transferred features from almost any number of layers can produce a boost to generalization that lingers even after fine-tuning to the target dataset.","author":[{"dropping-particle":"","family":"Yosinski","given":"Jason","non-dropping-particle":"","parse-names":false,"suffix":""},{"dropping-particle":"","family":"Clune","given":"Jeff","non-dropping-particle":"","parse-names":false,"suffix":""},{"dropping-particle":"","family":"Bengio","given":"Yoshua","non-dropping-particle":"","parse-names":false,"suffix":""},{"dropping-particle":"","family":"Lipson","given":"Hod","non-dropping-particle":"","parse-names":false,"suffix":""}],"container-title":"Advances in Neural Information Processing Systems","id":"ITEM-1","issued":{"date-parts":[["2014","11","6"]]},"page":"3320-3328","title":"How transferable are features in deep neural networks?","type":"article-journal","volume":"27"},"uris":["http://www.mendeley.com/documents/?uuid=803012bc-b88d-392a-8cbd-4f098fe2c123"]}],"mendeley":{"formattedCitation":"(Yosinski et al. 2014)","plainTextFormattedCitation":"(Yosinski et al. 2014)","previouslyFormattedCitation":"(Yosinski et al. 2014)"},"properties":{"noteIndex":0},"schema":"https://github.com/citation-style-language/schema/raw/master/csl-citation.json"}</w:instrText>
      </w:r>
      <w:r w:rsidRPr="008A48B1">
        <w:fldChar w:fldCharType="separate"/>
      </w:r>
      <w:r w:rsidRPr="00E84541">
        <w:rPr>
          <w:noProof/>
        </w:rPr>
        <w:t>(Yosinski et al. 2014)</w:t>
      </w:r>
      <w:r w:rsidRPr="008A48B1">
        <w:fldChar w:fldCharType="end"/>
      </w:r>
      <w:r w:rsidRPr="00E84541">
        <w:t xml:space="preserve">. This </w:t>
      </w:r>
      <w:r>
        <w:t xml:space="preserve">behavior </w:t>
      </w:r>
      <w:r w:rsidRPr="00E84541">
        <w:t xml:space="preserve">is why CNN with good performance on the </w:t>
      </w:r>
      <w:r>
        <w:t xml:space="preserve">ILSVRC </w:t>
      </w:r>
      <w:r w:rsidRPr="00E84541">
        <w:t xml:space="preserve">(e.g. </w:t>
      </w:r>
      <w:r w:rsidRPr="008A48B1">
        <w:fldChar w:fldCharType="begin" w:fldLock="1"/>
      </w:r>
      <w:r>
        <w:instrText>ADDIN CSL_CITATION {"citationItems":[{"id":"ITEM-1","itemData":{"author":[{"dropping-particle":"","family":"Krizhevsky","given":"Alex","non-dropping-particle":"","parse-names":false,"suffix":""},{"dropping-particle":"","family":"Sutskever","given":"Ilya","non-dropping-particle":"","parse-names":false,"suffix":""},{"dropping-particle":"","family":"Hinton","given":"Geoffrey E","non-dropping-particle":"","parse-names":false,"suffix":""}],"collection-title":"NIPS'12","container-title":"Proceedings of the 25th International Conference on Neural Information Processing Systems - Volume 1","id":"ITEM-1","issued":{"date-parts":[["2012"]]},"page":"1097-1105","publisher":"Curran Associates Inc.","publisher-place":"USA","title":"ImageNet Classification with Deep Convolutional Neural Networks","type":"paper-conference"},"uris":["http://www.mendeley.com/documents/?uuid=d1bdbb5f-bb6d-464f-b23e-e9ad964cafa2"]},{"id":"ITEM-2","itemData":{"abstract":"In this work we investigate the effect of the convolutional network depth on its accuracy in the large-scale image recognition setting. Our main contribution is a thorough evaluation of networks of increasing depth using an architecture with very small (3x3) convolution filters, which shows that a significant improvement on the prior-art configurations can be achieved by pushing the depth to 16-19 weight layers. These findings were the basis of our ImageNet Challenge 2014 submission, where our team secured the first and the second places in the localisation and classification tracks respectively. We also show that our representations generalise well to other datasets, where they achieve state-of-the-art results. We have made our two best-performing ConvNet models publicly available to facilitate further research on the use of deep visual representations in computer vision.","author":[{"dropping-particle":"","family":"Simonyan","given":"Karen","non-dropping-particle":"","parse-names":false,"suffix":""},{"dropping-particle":"","family":"Zisserman","given":"Andrew","non-dropping-particle":"","parse-names":false,"suffix":""}],"container-title":"ArXiv e–prints","id":"ITEM-2","issued":{"date-parts":[["2014","9","4"]]},"title":"Very Deep Convolutional Networks for Large-Scale Image Recognition","type":"article-journal"},"uris":["http://www.mendeley.com/documents/?uuid=e8192c43-95e0-3fe8-8025-a4d202a93436"]},{"id":"ITEM-3","itemData":{"author":[{"dropping-particle":"","family":"Szegedy","given":"Christian","non-dropping-particle":"","parse-names":false,"suffix":""},{"dropping-particle":"","family":"Liu","given":"Wei","non-dropping-particle":"","parse-names":false,"suffix":""},{"dropping-particle":"","family":"Jia","given":"Yangqing","non-dropping-particle":"","parse-names":false,"suffix":""},{"dropping-particle":"","family":"Sermanet","given":"Pierre","non-dropping-particle":"","parse-names":false,"suffix":""},{"dropping-particle":"","family":"Reed","given":"Scott E","non-dropping-particle":"","parse-names":false,"suffix":""},{"dropping-particle":"","family":"Anguelov","given":"Dragomir","non-dropping-particle":"","parse-names":false,"suffix":""},{"dropping-particle":"","family":"Erhan","given":"Dumitru","non-dropping-particle":"","parse-names":false,"suffix":""},{"dropping-particle":"","family":"Vanhoucke","given":"Vincent","non-dropping-particle":"","parse-names":false,"suffix":""},{"dropping-particle":"","family":"Rabinovich","given":"Andrew","non-dropping-particle":"","parse-names":false,"suffix":""}],"container-title":"CoRR","id":"ITEM-3","issued":{"date-parts":[["2014"]]},"title":"Going Deeper with Convolutions","type":"article-journal","volume":"abs/1409.4"},"uris":["http://www.mendeley.com/documents/?uuid=68cc5b41-206a-44ff-a9a4-fbca1d0a6e37"]},{"id":"ITEM-4","itemData":{"abstract":"Convolutional networks are at the core of most state-of-the-art computer vision solutions for a wide variety of tasks. Since 2014 very deep convolutional networks started to become mainstream, yielding substantial gains in various benchmarks. Although increased model size and computational cost tend to translate to immediate quality gains for most tasks (as long as enough labeled data is provided for training), computational efficiency and low parameter count are still enabling factors for various use cases such as mobile vision and big-data scenarios. Here we explore ways to scale up networks in ways that aim at utilizing the added computation as efficiently as possible by suitably factorized convolutions and aggressive regularization. We benchmark our methods on the ILSVRC 2012 classification challenge validation set demonstrate substantial gains over the state of the art: 21.2% top-1 and 5.6% top-5 error for single frame evaluation using a network with a computational cost of 5 billion multiply-adds per inference and with using less than 25 million parameters. With an ensemble of 4 models and multi-crop evaluation, we report 3.5% top-5 error on the validation set (3.6% error on the test set) and 17.3% top-1 error on the validation set.","author":[{"dropping-particle":"","family":"Szegedy","given":"Christian","non-dropping-particle":"","parse-names":false,"suffix":""},{"dropping-particle":"","family":"Vanhoucke","given":"Vincent","non-dropping-particle":"","parse-names":false,"suffix":""},{"dropping-particle":"","family":"Ioffe","given":"Sergey","non-dropping-particle":"","parse-names":false,"suffix":""},{"dropping-particle":"","family":"Shlens","given":"Jonathon","non-dropping-particle":"","parse-names":false,"suffix":""},{"dropping-particle":"","family":"Wojna","given":"Zbigniew","non-dropping-particle":"","parse-names":false,"suffix":""}],"container-title":"CoRR","id":"ITEM-4","issued":{"date-parts":[["2015","12","1"]]},"title":"Rethinking the Inception Architecture for Computer Vision","type":"article-journal","volume":"abs/1512.0"},"uris":["http://www.mendeley.com/documents/?uuid=25784f6b-8556-3850-b942-4b92eefba7a6"]}],"mendeley":{"formattedCitation":"(Krizhevsky et al. 2012; Szegedy et al. 2014, 2015; Simonyan and Zisserman 2014)","manualFormatting":"Krizhevsky et al., 2012; Simonyan and Zisserman, 2014; Szegedy et al., 2014, 2015)","plainTextFormattedCitation":"(Krizhevsky et al. 2012; Szegedy et al. 2014, 2015; Simonyan and Zisserman 2014)","previouslyFormattedCitation":"(Krizhevsky et al. 2012; Szegedy et al. 2014, 2015; Simonyan and Zisserman 2014)"},"properties":{"noteIndex":0},"schema":"https://github.com/citation-style-language/schema/raw/master/csl-citation.json"}</w:instrText>
      </w:r>
      <w:r w:rsidRPr="008A48B1">
        <w:fldChar w:fldCharType="separate"/>
      </w:r>
      <w:r w:rsidRPr="00E84541">
        <w:rPr>
          <w:noProof/>
        </w:rPr>
        <w:t>Krizhevsky et al., 2012; Simonyan and Zisserman, 2014; Szegedy et al., 2014, 2015)</w:t>
      </w:r>
      <w:r w:rsidRPr="008A48B1">
        <w:fldChar w:fldCharType="end"/>
      </w:r>
      <w:r w:rsidRPr="00E84541">
        <w:t xml:space="preserve"> can be successfully retrained for new, field-specific classification problems (e.g. </w:t>
      </w:r>
      <w:r w:rsidRPr="008A48B1">
        <w:fldChar w:fldCharType="begin" w:fldLock="1"/>
      </w:r>
      <w:r w:rsidRPr="00E84541">
        <w:instrText>ADDIN CSL_CITATION {"citationItems":[{"id":"ITEM-1","itemData":{"DOI":"10.1186/s12862-017-1014-z","ISSN":"1471-2148","abstract":"Hundreds of herbarium collections have accumulated a valuable heritage and knowledge of plants over several centuries. Recent initiatives started ambitious preservation plans to digitize this information and make it available to botanists and the general public through web portals. However, thousands of sheets are still unidentified at the species level while numerous sheets should be reviewed and updated following more recent taxonomic knowledge. These annotations and revisions require an unrealistic amount of work for botanists to carry out in a reasonable time. Computer vision and machine learning approaches applied to herbarium sheets are promising but are still not well studied compared to automated species identification from leaf scans or pictures of plants in the field. In this work, we propose to study and evaluate the accuracy with which herbarium images can be potentially exploited for species identification with deep learning technology. In addition, we propose to study if the combination of herbarium sheets with photos of plants in the field is relevant in terms of accuracy, and finally, we explore if herbarium images from one region that has one specific flora can be used to do transfer learning to another region with other species; for example, on a region under-represented in terms of collected data. This is, to our knowledge, the first study that uses deep learning to analyze a big dataset with thousands of species from herbaria. Results show the potential of Deep Learning on herbarium species identification, particularly by training and testing across different datasets from different herbaria. This could potentially lead to the creation of a semi, or even fully automated system to help taxonomists and experts with their annotation, classification, and revision works.","author":[{"dropping-particle":"","family":"Carranza-Rojas","given":"Jose","non-dropping-particle":"","parse-names":false,"suffix":""},{"dropping-particle":"","family":"Goeau","given":"Herve","non-dropping-particle":"","parse-names":false,"suffix":""},{"dropping-particle":"","family":"Bonnet","given":"Pierre","non-dropping-particle":"","parse-names":false,"suffix":""},{"dropping-particle":"","family":"Mata-Montero","given":"Erick","non-dropping-particle":"","parse-names":false,"suffix":""},{"dropping-particle":"","family":"Joly","given":"Alexis","non-dropping-particle":"","parse-names":false,"suffix":""}],"container-title":"BMC Evolutionary Biology","id":"ITEM-1","issue":"1","issued":{"date-parts":[["2017","12","11"]]},"page":"181","publisher":"BioMed Central","title":"Going deeper in the automated identification of Herbarium specimens","type":"article-journal","volume":"17"},"uris":["http://www.mendeley.com/documents/?uuid=cb983aa2-86e4-31b4-93fd-970edddbfe2e"]},{"id":"ITEM-2","itemData":{"DOI":"10.1038/nature21056","ISSN":"0028-0836","abstract":"An artificial intelligence trained to classify images of skin lesions as benign lesions or malignant skin cancers achieves the accuracy of board-certified dermatologists.","author":[{"dropping-particle":"","family":"Esteva","given":"Andre","non-dropping-particle":"","parse-names":false,"suffix":""},{"dropping-particle":"","family":"Kuprel","given":"Brett","non-dropping-particle":"","parse-names":false,"suffix":""},{"dropping-particle":"","family":"Novoa","given":"Roberto A.","non-dropping-particle":"","parse-names":false,"suffix":""},{"dropping-particle":"","family":"Ko","given":"Justin","non-dropping-particle":"","parse-names":false,"suffix":""},{"dropping-particle":"","family":"Swetter","given":"Susan M.","non-dropping-particle":"","parse-names":false,"suffix":""},{"dropping-particle":"","family":"Blau","given":"Helen M.","non-dropping-particle":"","parse-names":false,"suffix":""},{"dropping-particle":"","family":"Thrun","given":"Sebastian","non-dropping-particle":"","parse-names":false,"suffix":""}],"container-title":"Nature","id":"ITEM-2","issue":"7639","issued":{"date-parts":[["2017","2","25"]]},"page":"115-118","publisher":"Nature Publishing Group","title":"Dermatologist-level classification of skin cancer with deep neural networks","type":"article-journal","volume":"542"},"uris":["http://www.mendeley.com/documents/?uuid=a4209ae8-b4b6-3e70-aa81-a3ee3381d82a"]},{"id":"ITEM-3","itemData":{"DOI":"10.1016/J.ECOINF.2017.07.004","ISSN":"1574-9541","abstract":"Non-intrusive monitoring of animals in the wild is possible using camera trapping networks. The cameras are triggered by sensors in order to disturb the animals as little as possible. This approach produces a high volume of data (in the order of thousands or millions of images) that demands laborious work to analyze both useless (incorrect detections, which are the most) and useful (images with presence of animals). In this work, we show that as soon as some obstacles are overcome, deep neural networks can cope with the problem of the automated species classification appropriately. As case of study, the most common 26 of 48 species from the Snapshot Serengeti (SSe) dataset were selected and the potential of the Very Deep Convolutional neural networks framework for the species identification task was analyzed. In the worst-case scenario (unbalanced training dataset containing empty images) the method reached 35.4% Top-1 and 60.4% Top-5 accuracy. For the best scenario (balanced dataset, images containing foreground animals only, and manually segmented) the accuracy reached a 88.9% Top-1 and 98.1% Top-5, respectively. To the best of our knowledge, this is the first published attempt on solving the automatic species recognition on the SSe dataset. In addition, a comparison with other approaches on a different dataset was carried out, showing that the architectures used in this work outperformed previous approaches. The limitations of the method, drawbacks, as well as new challenges in automatic camera-trap species classification are widely discussed.","author":[{"dropping-particle":"","family":"Gomez Villa","given":"Alexander","non-dropping-particle":"","parse-names":false,"suffix":""},{"dropping-particle":"","family":"Salazar","given":"Augusto","non-dropping-particle":"","parse-names":false,"suffix":""},{"dropping-particle":"","family":"Vargas","given":"Francisco","non-dropping-particle":"","parse-names":false,"suffix":""}],"container-title":"Ecological Informatics","id":"ITEM-3","issued":{"date-parts":[["2017","9","1"]]},"page":"24-32","publisher":"Elsevier","title":"Towards automatic wild animal monitoring: Identification of animal species in camera-trap images using very deep convolutional neural networks","type":"article-journal","volume":"41"},"uris":["http://www.mendeley.com/documents/?uuid=fa391bbf-5c45-3afd-9878-4c17bc39b673"]},{"id":"ITEM-4","itemData":{"DOI":"10.1073/pnas.1719367115","ISSN":"1091-6490","PMID":"29871948","abstract":"Having accurate, detailed, and up-to-date information about the location and behavior of animals in the wild would improve our ability to study and conserve ecosystems. We investigate the ability to automatically, accurately, and inexpensively collect such data, which could help catalyze the transformation of many fields of ecology, wildlife biology, zoology, conservation biology, and animal behavior into \"big data\" sciences. Motion-sensor \"camera traps\" enable collecting wildlife pictures inexpensively, unobtrusively, and frequently. However, extracting information from these pictures remains an expensive, time-consuming, manual task. We demonstrate that such information can be automatically extracted by deep learning, a cutting-edge type of artificial intelligence. We train deep convolutional neural networks to identify, count, and describe the behaviors of 48 species in the 3.2 million-image Snapshot Serengeti dataset. Our deep neural networks automatically identify animals with &gt;93.8% accuracy, and we expect that number to improve rapidly in years to come. More importantly, if our system classifies only images it is confident about, our system can automate animal identification for 99.3% of the data while still performing at the same 96.6% accuracy as that of crowdsourced teams of human volunteers, saving &gt;8.4 y (i.e., &gt;17,000 h at 40 h/wk) of human labeling effort on this 3.2 million-image dataset. Those efficiency gains highlight the importance of using deep neural networks to automate data extraction from camera-trap images, reducing a roadblock for this widely used technology. Our results suggest that deep learning could enable the inexpensive, unobtrusive, high-volume, and even real-time collection of a wealth of information about vast numbers of animals in the wild.","author":[{"dropping-particle":"","family":"Norouzzadeh","given":"Mohammad Sadegh","non-dropping-particle":"","parse-names":false,"suffix":""},{"dropping-particle":"","family":"Nguyen","given":"Anh","non-dropping-particle":"","parse-names":false,"suffix":""},{"dropping-particle":"","family":"Kosmala","given":"Margaret","non-dropping-particle":"","parse-names":false,"suffix":""},{"dropping-particle":"","family":"Swanson","given":"Alexandra","non-dropping-particle":"","parse-names":false,"suffix":""},{"dropping-particle":"","family":"Palmer","given":"Meredith S","non-dropping-particle":"","parse-names":false,"suffix":""},{"dropping-particle":"","family":"Packer","given":"Craig","non-dropping-particle":"","parse-names":false,"suffix":""},{"dropping-particle":"","family":"Clune","given":"Jeff","non-dropping-particle":"","parse-names":false,"suffix":""}],"container-title":"Proceedings of the National Academy of Sciences of the United States of America","id":"ITEM-4","issue":"25","issued":{"date-parts":[["2018","6","19"]]},"page":"E5716-E5725","publisher":"National Academy of Sciences","title":"Automatically identifying, counting, and describing wild animals in camera-trap images with deep learning.","type":"article-journal","volume":"115"},"uris":["http://www.mendeley.com/documents/?uuid=c8e3e67d-d341-3e90-9a6e-b37ce841b829"]}],"mendeley":{"formattedCitation":"(Esteva et al. 2017; Gomez Villa et al. 2017; Carranza-Rojas et al. 2017; Norouzzadeh et al. 2018)","manualFormatting":"Carranza-Rojas et al., 2017; Esteva et al., 2017; Gomez Villa et al., 2017; Norouzzadeh et al., 2018)","plainTextFormattedCitation":"(Esteva et al. 2017; Gomez Villa et al. 2017; Carranza-Rojas et al. 2017; Norouzzadeh et al. 2018)","previouslyFormattedCitation":"(Esteva et al. 2017; Gomez Villa et al. 2017; Carranza-Rojas et al. 2017; Norouzzadeh et al. 2018)"},"properties":{"noteIndex":0},"schema":"https://github.com/citation-style-language/schema/raw/master/csl-citation.json"}</w:instrText>
      </w:r>
      <w:r w:rsidRPr="008A48B1">
        <w:fldChar w:fldCharType="separate"/>
      </w:r>
      <w:r w:rsidRPr="00E84541">
        <w:rPr>
          <w:noProof/>
        </w:rPr>
        <w:t>Carranza-Rojas et al., 2017; Esteva et al., 2017; Gomez Villa et al., 2017; Norouzzadeh et al., 2018)</w:t>
      </w:r>
      <w:r w:rsidRPr="008A48B1">
        <w:fldChar w:fldCharType="end"/>
      </w:r>
      <w:r w:rsidRPr="00E84541">
        <w:t xml:space="preserve">. As the layers become more specific </w:t>
      </w:r>
      <w:r>
        <w:t>the</w:t>
      </w:r>
      <w:r w:rsidRPr="00E84541">
        <w:t xml:space="preserve"> deeper they are in the model (i.e.</w:t>
      </w:r>
      <w:r>
        <w:t>,</w:t>
      </w:r>
      <w:r w:rsidRPr="00E84541">
        <w:t xml:space="preserve"> closer to the output of the CNN than the input), </w:t>
      </w:r>
      <w:r>
        <w:t>some workers find it useful</w:t>
      </w:r>
      <w:r w:rsidRPr="00E84541">
        <w:t xml:space="preserve"> to extract only </w:t>
      </w:r>
      <w:r>
        <w:t xml:space="preserve">these more </w:t>
      </w:r>
      <w:r w:rsidRPr="00E84541">
        <w:t xml:space="preserve">general image features. </w:t>
      </w:r>
      <w:r w:rsidRPr="00E84541">
        <w:fldChar w:fldCharType="begin" w:fldLock="1"/>
      </w:r>
      <w:r w:rsidRPr="00E84541">
        <w:instrText>ADDIN CSL_CITATION {"citationItems":[{"id":"ITEM-1","itemData":{"DOI":"10.1109/CVPRW.2016.165","ISBN":"978-1-5090-1437-8","author":[{"dropping-particle":"","family":"Kong","given":"Shu","non-dropping-particle":"","parse-names":false,"suffix":""},{"dropping-particle":"","family":"Punyasena","given":"Surangi","non-dropping-particle":"","parse-names":false,"suffix":""},{"dropping-particle":"","family":"Fowlkes","given":"Charless","non-dropping-particle":"","parse-names":false,"suffix":""}],"container-title":"2016 IEEE Conference on Computer Vision and Pattern Recognition Workshops (CVPRW)","id":"ITEM-1","issued":{"date-parts":[["2016","6"]]},"page":"1305-1314","publisher":"IEEE","title":"Spatially Aware Dictionary Learning and Coding for Fossil Pollen Identification","type":"paper-conference"},"uris":["http://www.mendeley.com/documents/?uuid=f1d273b9-5832-3fb6-97fb-e078917238ac"]}],"mendeley":{"formattedCitation":"(Kong et al. 2016)","manualFormatting":"Kong et al. (2016)","plainTextFormattedCitation":"(Kong et al. 2016)","previouslyFormattedCitation":"(Kong et al. 2016)"},"properties":{"noteIndex":0},"schema":"https://github.com/citation-style-language/schema/raw/master/csl-citation.json"}</w:instrText>
      </w:r>
      <w:r w:rsidRPr="00E84541">
        <w:fldChar w:fldCharType="separate"/>
      </w:r>
      <w:r w:rsidRPr="00E84541">
        <w:rPr>
          <w:noProof/>
        </w:rPr>
        <w:t>Kong et al. (2016)</w:t>
      </w:r>
      <w:r w:rsidRPr="00E84541">
        <w:fldChar w:fldCharType="end"/>
      </w:r>
      <w:r w:rsidRPr="00E84541">
        <w:t xml:space="preserve"> studie</w:t>
      </w:r>
      <w:r>
        <w:t>d</w:t>
      </w:r>
      <w:r w:rsidRPr="00E84541">
        <w:t xml:space="preserve"> where the features of an </w:t>
      </w:r>
      <w:r>
        <w:t>ILSVRC</w:t>
      </w:r>
      <w:r w:rsidRPr="00E84541">
        <w:t xml:space="preserve"> pretrained model can be used without modifications to extract features from pollen data.</w:t>
      </w:r>
      <w:r>
        <w:t xml:space="preserve"> Another powerful approach is to fine tune the ILSVRC model weights updating them with training data from the secondary task. Here, we apply three training modes: feature extraction, fine tune, and randomly initialized weights. Feature extraction “</w:t>
      </w:r>
      <w:r w:rsidRPr="00222A0C">
        <w:t>lock</w:t>
      </w:r>
      <w:r>
        <w:t>s”</w:t>
      </w:r>
      <w:r w:rsidRPr="00222A0C">
        <w:t xml:space="preserve"> (</w:t>
      </w:r>
      <w:r>
        <w:t xml:space="preserve">or </w:t>
      </w:r>
      <w:r w:rsidRPr="00222A0C">
        <w:t>“</w:t>
      </w:r>
      <w:r>
        <w:t>freezes</w:t>
      </w:r>
      <w:r w:rsidRPr="00222A0C">
        <w:t>”</w:t>
      </w:r>
      <w:r>
        <w:t>)</w:t>
      </w:r>
      <w:r w:rsidRPr="00222A0C">
        <w:t xml:space="preserve"> </w:t>
      </w:r>
      <w:r>
        <w:t xml:space="preserve">the pre-trained layers extracted from the primary models. Fine tuning starts as feature extraction, with the primary model frozen, but eventually allows the all the layers of the model to learn. Randomly initialized weights mode starts the entire model with randomly initialized weights and all the weights are updated during training. Randomly initialized weights is not a </w:t>
      </w:r>
      <w:r>
        <w:lastRenderedPageBreak/>
        <w:t xml:space="preserve">transfer learning process, just the ordinary training. For the sake of standardization, all modes train the model for 100 epochs. In fine tuning, where part of the model is frozen, we first train for 50 epochs. Then we allow all layers of the model to be free to learn for another 50 epochs. We use five different well known CNN models: VGG19 </w:t>
      </w:r>
      <w:r>
        <w:fldChar w:fldCharType="begin" w:fldLock="1"/>
      </w:r>
      <w:r>
        <w:instrText>ADDIN CSL_CITATION {"citationItems":[{"id":"ITEM-1","itemData":{"abstract":"In this work we investigate the effect of the convolutional network depth on its accuracy in the large-scale image recognition setting. Our main contribution is a thorough evaluation of networks of increasing depth using an architecture with very small (3x3) convolution filters, which shows that a significant improvement on the prior-art configurations can be achieved by pushing the depth to 16-19 weight layers. These findings were the basis of our ImageNet Challenge 2014 submission, where our team secured the first and the second places in the localisation and classification tracks respectively. We also show that our representations generalise well to other datasets, where they achieve state-of-the-art results. We have made our two best-performing ConvNet models publicly available to facilitate further research on the use of deep visual representations in computer vision.","author":[{"dropping-particle":"","family":"Simonyan","given":"Karen","non-dropping-particle":"","parse-names":false,"suffix":""},{"dropping-particle":"","family":"Zisserman","given":"Andrew","non-dropping-particle":"","parse-names":false,"suffix":""}],"container-title":"ArXiv e–prints","id":"ITEM-1","issued":{"date-parts":[["2014","9","4"]]},"title":"Very Deep Convolutional Networks for Large-Scale Image Recognition","type":"article-journal"},"uris":["http://www.mendeley.com/documents/?uuid=e8192c43-95e0-3fe8-8025-a4d202a93436"]}],"mendeley":{"formattedCitation":"(Simonyan and Zisserman 2014)","plainTextFormattedCitation":"(Simonyan and Zisserman 2014)","previouslyFormattedCitation":"(Simonyan and Zisserman 2014)"},"properties":{"noteIndex":0},"schema":"https://github.com/citation-style-language/schema/raw/master/csl-citation.json"}</w:instrText>
      </w:r>
      <w:r>
        <w:fldChar w:fldCharType="separate"/>
      </w:r>
      <w:r w:rsidRPr="00CF37EA">
        <w:rPr>
          <w:noProof/>
        </w:rPr>
        <w:t>(Simonyan and Zisserman</w:t>
      </w:r>
      <w:r>
        <w:rPr>
          <w:noProof/>
        </w:rPr>
        <w:t>,</w:t>
      </w:r>
      <w:r w:rsidRPr="00CF37EA">
        <w:rPr>
          <w:noProof/>
        </w:rPr>
        <w:t xml:space="preserve"> 2014)</w:t>
      </w:r>
      <w:r>
        <w:fldChar w:fldCharType="end"/>
      </w:r>
      <w:r>
        <w:t xml:space="preserve">, InceptionV3 </w:t>
      </w:r>
      <w:r>
        <w:fldChar w:fldCharType="begin" w:fldLock="1"/>
      </w:r>
      <w:r>
        <w:instrText>ADDIN CSL_CITATION {"citationItems":[{"id":"ITEM-1","itemData":{"abstract":"Convolutional networks are at the core of most state-of-the-art computer vision solutions for a wide variety of tasks. Since 2014 very deep convolutional networks started to become mainstream, yielding substantial gains in various benchmarks. Although increased model size and computational cost tend to translate to immediate quality gains for most tasks (as long as enough labeled data is provided for training), computational efficiency and low parameter count are still enabling factors for various use cases such as mobile vision and big-data scenarios. Here we explore ways to scale up networks in ways that aim at utilizing the added computation as efficiently as possible by suitably factorized convolutions and aggressive regularization. We benchmark our methods on the ILSVRC 2012 classification challenge validation set demonstrate substantial gains over the state of the art: 21.2% top-1 and 5.6% top-5 error for single frame evaluation using a network with a computational cost of 5 billion multiply-adds per inference and with using less than 25 million parameters. With an ensemble of 4 models and multi-crop evaluation, we report 3.5% top-5 error on the validation set (3.6% error on the test set) and 17.3% top-1 error on the validation set.","author":[{"dropping-particle":"","family":"Szegedy","given":"Christian","non-dropping-particle":"","parse-names":false,"suffix":""},{"dropping-particle":"","family":"Vanhoucke","given":"Vincent","non-dropping-particle":"","parse-names":false,"suffix":""},{"dropping-particle":"","family":"Ioffe","given":"Sergey","non-dropping-particle":"","parse-names":false,"suffix":""},{"dropping-particle":"","family":"Shlens","given":"Jonathon","non-dropping-particle":"","parse-names":false,"suffix":""},{"dropping-particle":"","family":"Wojna","given":"Zbigniew","non-dropping-particle":"","parse-names":false,"suffix":""}],"container-title":"CoRR","id":"ITEM-1","issued":{"date-parts":[["2015","12","1"]]},"title":"Rethinking the Inception Architecture for Computer Vision","type":"article-journal","volume":"abs/1512.0"},"uris":["http://www.mendeley.com/documents/?uuid=25784f6b-8556-3850-b942-4b92eefba7a6"]}],"mendeley":{"formattedCitation":"(Szegedy et al. 2015)","plainTextFormattedCitation":"(Szegedy et al. 2015)","previouslyFormattedCitation":"(Szegedy et al. 2015)"},"properties":{"noteIndex":0},"schema":"https://github.com/citation-style-language/schema/raw/master/csl-citation.json"}</w:instrText>
      </w:r>
      <w:r>
        <w:fldChar w:fldCharType="separate"/>
      </w:r>
      <w:r w:rsidRPr="00CF37EA">
        <w:rPr>
          <w:noProof/>
        </w:rPr>
        <w:t>(Szegedy et al.</w:t>
      </w:r>
      <w:r>
        <w:rPr>
          <w:noProof/>
        </w:rPr>
        <w:t>,</w:t>
      </w:r>
      <w:r w:rsidRPr="00CF37EA">
        <w:rPr>
          <w:noProof/>
        </w:rPr>
        <w:t xml:space="preserve"> 2015)</w:t>
      </w:r>
      <w:r>
        <w:fldChar w:fldCharType="end"/>
      </w:r>
      <w:r>
        <w:t xml:space="preserve">, MobileNetV2 </w:t>
      </w:r>
      <w:r>
        <w:fldChar w:fldCharType="begin" w:fldLock="1"/>
      </w:r>
      <w:r>
        <w:instrText>ADDIN CSL_CITATION {"citationItems":[{"id":"ITEM-1","itemData":{"author":[{"dropping-particle":"","family":"Sandler","given":"M","non-dropping-particle":"","parse-names":false,"suffix":""},{"dropping-particle":"","family":"Howard","given":"A","non-dropping-particle":"","parse-names":false,"suffix":""},{"dropping-particle":"","family":"Zhu","given":"M","non-dropping-particle":"","parse-names":false,"suffix":""},{"dropping-particle":"","family":"Zhmoginov","given":"A","non-dropping-particle":"","parse-names":false,"suffix":""},{"dropping-particle":"","family":"Chen","given":"L.-C.","non-dropping-particle":"","parse-names":false,"suffix":""}],"container-title":"ArXiv e-prints","id":"ITEM-1","issued":{"date-parts":[["2018","1"]]},"title":"MobileNetV2: Inverted Residuals and Linear Bottlenecks","type":"article-journal"},"uris":["http://www.mendeley.com/documents/?uuid=fe527b6d-18a9-41d8-b17e-c2a82c5f02cb"]}],"mendeley":{"formattedCitation":"(Sandler et al. 2018)","plainTextFormattedCitation":"(Sandler et al. 2018)","previouslyFormattedCitation":"(Sandler et al. 2018)"},"properties":{"noteIndex":0},"schema":"https://github.com/citation-style-language/schema/raw/master/csl-citation.json"}</w:instrText>
      </w:r>
      <w:r>
        <w:fldChar w:fldCharType="separate"/>
      </w:r>
      <w:r w:rsidRPr="00CF37EA">
        <w:rPr>
          <w:noProof/>
        </w:rPr>
        <w:t>(Sandler et al.</w:t>
      </w:r>
      <w:r>
        <w:rPr>
          <w:noProof/>
        </w:rPr>
        <w:t>,</w:t>
      </w:r>
      <w:r w:rsidRPr="00CF37EA">
        <w:rPr>
          <w:noProof/>
        </w:rPr>
        <w:t xml:space="preserve"> 2018)</w:t>
      </w:r>
      <w:r>
        <w:fldChar w:fldCharType="end"/>
      </w:r>
      <w:r>
        <w:t xml:space="preserve">, ResNet50 </w:t>
      </w:r>
      <w:r>
        <w:fldChar w:fldCharType="begin" w:fldLock="1"/>
      </w:r>
      <w:r>
        <w:instrText>ADDIN CSL_CITATION {"citationItems":[{"id":"ITEM-1","itemData":{"ISBN":"978-3-319-46493-0","abstract":"Deep residual networks have emerged as a family of extremely deep architectures showing compelling accuracy and nice convergence behaviors. In this paper, we analyze the propagation formulations behind the residual building blocks, which suggest that the forward and backward signals can be directly propagated from one block to any other block, when using identity mappings as the skip connections and after-addition activation. A series of ablation experiments support the importance of these identity mappings. This motivates us to propose a new residual unit, which makes training easier and improves generalization. We report improved results using a 1001-layer ResNet on CIFAR-10 (4.62 % error) and CIFAR-100, and a 200-layer ResNet on ImageNet. Code is available at: https://github.com/KaimingHe/resnet-1k-layers.","author":[{"dropping-particle":"","family":"He","given":"Kaiming","non-dropping-particle":"","parse-names":false,"suffix":""},{"dropping-particle":"","family":"Zhang","given":"Xiangyu","non-dropping-particle":"","parse-names":false,"suffix":""},{"dropping-particle":"","family":"Ren","given":"Shaoqing","non-dropping-particle":"","parse-names":false,"suffix":""},{"dropping-particle":"","family":"Sun","given":"Jian","non-dropping-particle":"","parse-names":false,"suffix":""}],"container-title":"Computer Vision -- ECCV 2016","editor":[{"dropping-particle":"","family":"Leibe","given":"Bastian","non-dropping-particle":"","parse-names":false,"suffix":""},{"dropping-particle":"","family":"Matas","given":"Jiri","non-dropping-particle":"","parse-names":false,"suffix":""},{"dropping-particle":"","family":"Sebe","given":"Nicu","non-dropping-particle":"","parse-names":false,"suffix":""},{"dropping-particle":"","family":"Welling","given":"Max","non-dropping-particle":"","parse-names":false,"suffix":""}],"id":"ITEM-1","issued":{"date-parts":[["2016"]]},"page":"630-645","publisher":"Springer International Publishing","publisher-place":"Cham","title":"Identity Mappings in Deep Residual Networks","type":"paper-conference"},"uris":["http://www.mendeley.com/documents/?uuid=6badc2da-912d-41d5-89b8-3f9f33f056b5"]}],"mendeley":{"formattedCitation":"(He et al. 2016)","plainTextFormattedCitation":"(He et al. 2016)","previouslyFormattedCitation":"(He et al. 2016)"},"properties":{"noteIndex":0},"schema":"https://github.com/citation-style-language/schema/raw/master/csl-citation.json"}</w:instrText>
      </w:r>
      <w:r>
        <w:fldChar w:fldCharType="separate"/>
      </w:r>
      <w:r w:rsidRPr="00CF37EA">
        <w:rPr>
          <w:noProof/>
        </w:rPr>
        <w:t>(He et al.</w:t>
      </w:r>
      <w:r>
        <w:rPr>
          <w:noProof/>
        </w:rPr>
        <w:t>,</w:t>
      </w:r>
      <w:r w:rsidRPr="00CF37EA">
        <w:rPr>
          <w:noProof/>
        </w:rPr>
        <w:t xml:space="preserve"> 2016)</w:t>
      </w:r>
      <w:r>
        <w:fldChar w:fldCharType="end"/>
      </w:r>
      <w:r>
        <w:t xml:space="preserve">, and DenseNet121 </w:t>
      </w:r>
      <w:r>
        <w:fldChar w:fldCharType="begin" w:fldLock="1"/>
      </w:r>
      <w:r>
        <w:instrText>ADDIN CSL_CITATION {"citationItems":[{"id":"ITEM-1","itemData":{"author":[{"dropping-particle":"","family":"Huang","given":"Gao","non-dropping-particle":"","parse-names":false,"suffix":""},{"dropping-particle":"","family":"Liu","given":"Zhuang","non-dropping-particle":"","parse-names":false,"suffix":""},{"dropping-particle":"","family":"Weinberger","given":"Kilian Q","non-dropping-particle":"","parse-names":false,"suffix":""}],"container-title":"CoRR","id":"ITEM-1","issued":{"date-parts":[["2016"]]},"title":"Densely Connected Convolutional Networks","type":"article-journal","volume":"abs/1608.0"},"uris":["http://www.mendeley.com/documents/?uuid=ffaecd66-3ffb-472d-b45f-05acd978b80c"]}],"mendeley":{"formattedCitation":"(Huang et al. 2016)","plainTextFormattedCitation":"(Huang et al. 2016)","previouslyFormattedCitation":"(Huang et al. 2016)"},"properties":{"noteIndex":0},"schema":"https://github.com/citation-style-language/schema/raw/master/csl-citation.json"}</w:instrText>
      </w:r>
      <w:r>
        <w:fldChar w:fldCharType="separate"/>
      </w:r>
      <w:r w:rsidRPr="00CF37EA">
        <w:rPr>
          <w:noProof/>
        </w:rPr>
        <w:t>(Huang et al.</w:t>
      </w:r>
      <w:r>
        <w:rPr>
          <w:noProof/>
        </w:rPr>
        <w:t>,</w:t>
      </w:r>
      <w:r w:rsidRPr="00CF37EA">
        <w:rPr>
          <w:noProof/>
        </w:rPr>
        <w:t xml:space="preserve"> 2016)</w:t>
      </w:r>
      <w:r>
        <w:fldChar w:fldCharType="end"/>
      </w:r>
      <w:r>
        <w:t xml:space="preserve"> originally trained on ILSVRC. We use complete CNN models, substituting their last fully connected classification layers with our “top model”. </w:t>
      </w:r>
      <w:r w:rsidRPr="00456C4F">
        <w:t>The</w:t>
      </w:r>
      <w:r>
        <w:t xml:space="preserve"> top model is composed of an average pooling, followed by one fully connected layer with 512 neurons, a dropout layer </w:t>
      </w:r>
      <w:r>
        <w:fldChar w:fldCharType="begin" w:fldLock="1"/>
      </w:r>
      <w:r>
        <w:instrText>ADDIN CSL_CITATION {"citationItems":[{"id":"ITEM-1","itemData":{"ISSN":"1532-4435","author":[{"dropping-particle":"","family":"Srivastava","given":"Nitish","non-dropping-particle":"","parse-names":false,"suffix":""},{"dropping-particle":"","family":"Hinton","given":"Geoffrey","non-dropping-particle":"","parse-names":false,"suffix":""},{"dropping-particle":"","family":"Krizhevsky","given":"Alex","non-dropping-particle":"","parse-names":false,"suffix":""},{"dropping-particle":"","family":"Sutskever","given":"Ilya","non-dropping-particle":"","parse-names":false,"suffix":""},{"dropping-particle":"","family":"Salakhutdinov","given":"Ruslan","non-dropping-particle":"","parse-names":false,"suffix":""}],"container-title":"Journal of Machine Learning Research","id":"ITEM-1","issue":"1","issued":{"date-parts":[["2014","1"]]},"page":"1929-1958","publisher":"JMLR.org","title":"Dropout: A Simple Way to Prevent Neural Networks from Overfitting","type":"article-journal","volume":"15"},"uris":["http://www.mendeley.com/documents/?uuid=5785141d-a731-4264-9845-5dcc01fe3e59"]}],"mendeley":{"formattedCitation":"(Srivastava et al. 2014)","plainTextFormattedCitation":"(Srivastava et al. 2014)","previouslyFormattedCitation":"(Srivastava et al. 2014)"},"properties":{"noteIndex":0},"schema":"https://github.com/citation-style-language/schema/raw/master/csl-citation.json"}</w:instrText>
      </w:r>
      <w:r>
        <w:fldChar w:fldCharType="separate"/>
      </w:r>
      <w:r w:rsidRPr="007576C7">
        <w:rPr>
          <w:noProof/>
        </w:rPr>
        <w:t>(Srivastava et al.</w:t>
      </w:r>
      <w:r>
        <w:rPr>
          <w:noProof/>
        </w:rPr>
        <w:t>,</w:t>
      </w:r>
      <w:r w:rsidRPr="007576C7">
        <w:rPr>
          <w:noProof/>
        </w:rPr>
        <w:t xml:space="preserve"> 2014)</w:t>
      </w:r>
      <w:r>
        <w:fldChar w:fldCharType="end"/>
      </w:r>
      <w:r>
        <w:t xml:space="preserve"> used during training, and a final fully connected layer with a softmax output where the number of neurons is dependent of the number of classes for the task (eight genus, eight neurons). The models are trained using Keras </w:t>
      </w:r>
      <w:r>
        <w:fldChar w:fldCharType="begin" w:fldLock="1"/>
      </w:r>
      <w:r>
        <w:instrText>ADDIN CSL_CITATION {"citationItems":[{"id":"ITEM-1","itemData":{"author":[{"dropping-particle":"","family":"Chollet","given":"François","non-dropping-particle":"","parse-names":false,"suffix":""},{"dropping-particle":"","family":"others","given":"","non-dropping-particle":"","parse-names":false,"suffix":""}],"id":"ITEM-1","issued":{"date-parts":[["2015"]]},"title":"Keras","type":"article"},"uris":["http://www.mendeley.com/documents/?uuid=5b7f7240-f28b-4f23-bbd4-36a135e7e898"]}],"mendeley":{"formattedCitation":"(Chollet and others 2015)","plainTextFormattedCitation":"(Chollet and others 2015)","previouslyFormattedCitation":"(Chollet and others 2015)"},"properties":{"noteIndex":0},"schema":"https://github.com/citation-style-language/schema/raw/master/csl-citation.json"}</w:instrText>
      </w:r>
      <w:r>
        <w:fldChar w:fldCharType="separate"/>
      </w:r>
      <w:r w:rsidRPr="007576C7">
        <w:rPr>
          <w:noProof/>
        </w:rPr>
        <w:t xml:space="preserve">(Chollet </w:t>
      </w:r>
      <w:r>
        <w:rPr>
          <w:noProof/>
        </w:rPr>
        <w:t>et al.</w:t>
      </w:r>
      <w:r w:rsidRPr="007576C7">
        <w:rPr>
          <w:noProof/>
        </w:rPr>
        <w:t xml:space="preserve"> 2015)</w:t>
      </w:r>
      <w:r>
        <w:fldChar w:fldCharType="end"/>
      </w:r>
      <w:r>
        <w:t xml:space="preserve">, with TensorFlow as its backend </w:t>
      </w:r>
      <w:r>
        <w:fldChar w:fldCharType="begin" w:fldLock="1"/>
      </w:r>
      <w:r>
        <w:instrText>ADDIN CSL_CITATION {"citationItems":[{"id":"ITEM-1","itemData":{"author":[{"dropping-particle":"","family":"Abadi","given":"Martin","non-dropping-particle":"","parse-names":false,"suffix":""},{"dropping-particle":"","family":"Barham","given":"Paul","non-dropping-particle":"","parse-names":false,"suffix":""},{"dropping-particle":"","family":"Chen","given":"Jianmin","non-dropping-particle":"","parse-names":false,"suffix":""},{"dropping-particle":"","family":"Chen","given":"Zhifeng","non-dropping-particle":"","parse-names":false,"suffix":""},{"dropping-particle":"","family":"Davis","given":"Andy","non-dropping-particle":"","parse-names":false,"suffix":""},{"dropping-particle":"","family":"Dean","given":"Jeffrey","non-dropping-particle":"","parse-names":false,"suffix":""},{"dropping-particle":"","family":"Devin","given":"Matthieu","non-dropping-particle":"","parse-names":false,"suffix":""},{"dropping-particle":"","family":"Ghemawat","given":"Sanjay","non-dropping-particle":"","parse-names":false,"suffix":""},{"dropping-particle":"","family":"Irving","given":"Geoffrey","non-dropping-particle":"","parse-names":false,"suffix":""},{"dropping-particle":"","family":"Isard","given":"Michael","non-dropping-particle":"","parse-names":false,"suffix":""},{"dropping-particle":"","family":"Kudlur","given":"Manjunath","non-dropping-particle":"","parse-names":false,"suffix":""},{"dropping-particle":"","family":"Levenberg","given":"Josh","non-dropping-particle":"","parse-names":false,"suffix":""},{"dropping-particle":"","family":"Monga","given":"Rajat","non-dropping-particle":"","parse-names":false,"suffix":""},{"dropping-particle":"","family":"Moore","given":"Sherry","non-dropping-particle":"","parse-names":false,"suffix":""},{"dropping-particle":"","family":"Murray","given":"Derek G","non-dropping-particle":"","parse-names":false,"suffix":""},{"dropping-particle":"","family":"Steiner","given":"Benoit","non-dropping-particle":"","parse-names":false,"suffix":""},{"dropping-particle":"","family":"Tucker","given":"Paul","non-dropping-particle":"","parse-names":false,"suffix":""},{"dropping-particle":"","family":"Vasudevan","given":"Vijay","non-dropping-particle":"","parse-names":false,"suffix":""},{"dropping-particle":"","family":"Warden","given":"Pete","non-dropping-particle":"","parse-names":false,"suffix":""},{"dropping-particle":"","family":"Wicke","given":"Martin","non-dropping-particle":"","parse-names":false,"suffix":""},{"dropping-particle":"","family":"Yu","given":"Yuan","non-dropping-particle":"","parse-names":false,"suffix":""},{"dropping-particle":"","family":"Zheng","given":"Xiaoqiang","non-dropping-particle":"","parse-names":false,"suffix":""}],"container-title":"12th USENIX Symposium on Operating Systems Design and Implementation (OSDI 16)","id":"ITEM-1","issued":{"date-parts":[["2016"]]},"page":"265-283","title":"TensorFlow: A system for large-scale machine learning","type":"paper-conference"},"uris":["http://www.mendeley.com/documents/?uuid=1209d133-c63c-45f5-b9a7-3e214a0558f1"]}],"mendeley":{"formattedCitation":"(Abadi et al. 2016)","plainTextFormattedCitation":"(Abadi et al. 2016)","previouslyFormattedCitation":"(Abadi et al. 2016)"},"properties":{"noteIndex":0},"schema":"https://github.com/citation-style-language/schema/raw/master/csl-citation.json"}</w:instrText>
      </w:r>
      <w:r>
        <w:fldChar w:fldCharType="separate"/>
      </w:r>
      <w:r w:rsidRPr="007576C7">
        <w:rPr>
          <w:noProof/>
        </w:rPr>
        <w:t>(Abadi et al.</w:t>
      </w:r>
      <w:r>
        <w:rPr>
          <w:noProof/>
        </w:rPr>
        <w:t>,</w:t>
      </w:r>
      <w:r w:rsidRPr="007576C7">
        <w:rPr>
          <w:noProof/>
        </w:rPr>
        <w:t xml:space="preserve"> 2016)</w:t>
      </w:r>
      <w:r>
        <w:fldChar w:fldCharType="end"/>
      </w:r>
      <w:r>
        <w:t xml:space="preserve">. When kernels are initialized, we use the Glorot uniform </w:t>
      </w:r>
      <w:r>
        <w:fldChar w:fldCharType="begin" w:fldLock="1"/>
      </w:r>
      <w:r>
        <w:instrText>ADDIN CSL_CITATION {"citationItems":[{"id":"ITEM-1","itemData":{"author":[{"dropping-particle":"","family":"Glorot","given":"Xavier","non-dropping-particle":"","parse-names":false,"suffix":""},{"dropping-particle":"","family":"Bengio","given":"Yoshua","non-dropping-particle":"","parse-names":false,"suffix":""}],"container-title":"In Proceedings of the International Conference on Artificial Intelligence and Statistics (AISTATS’10). Society for Artificial Intelligence and Statistics","id":"ITEM-1","issued":{"date-parts":[["2010"]]},"title":"Understanding the difficulty of training deep feedforward neural networks","type":"paper-conference"},"uris":["http://www.mendeley.com/documents/?uuid=346d1b95-d311-46a8-a4af-86b545ab12c0"]}],"mendeley":{"formattedCitation":"(Glorot and Bengio 2010)","plainTextFormattedCitation":"(Glorot and Bengio 2010)","previouslyFormattedCitation":"(Glorot and Bengio 2010)"},"properties":{"noteIndex":0},"schema":"https://github.com/citation-style-language/schema/raw/master/csl-citation.json"}</w:instrText>
      </w:r>
      <w:r>
        <w:fldChar w:fldCharType="separate"/>
      </w:r>
      <w:r w:rsidRPr="007576C7">
        <w:rPr>
          <w:noProof/>
        </w:rPr>
        <w:t>(Glorot and Bengio</w:t>
      </w:r>
      <w:r>
        <w:rPr>
          <w:noProof/>
        </w:rPr>
        <w:t>,</w:t>
      </w:r>
      <w:r w:rsidRPr="007576C7">
        <w:rPr>
          <w:noProof/>
        </w:rPr>
        <w:t xml:space="preserve"> 2010)</w:t>
      </w:r>
      <w:r>
        <w:fldChar w:fldCharType="end"/>
      </w:r>
      <w:r>
        <w:t xml:space="preserve"> distribution of weights. The models are optimized using a stochastic gradient descent with a learning rate of 1.0e-3 and momentum of 0.9 to minimize the categorical cross entropy loss. Rather than trying to find the best accuracy possible, our objective is to show the behavior of different CNN models and training modes using thin-section fusulinid data. Therefore, we choose to keep the hyperparameters fixed, as described for all experiments. We use a </w:t>
      </w:r>
      <w:r w:rsidRPr="003C1CDD">
        <w:t>NVIDIA GeForce RTX 2060</w:t>
      </w:r>
      <w:r>
        <w:t xml:space="preserve"> for the experiments. </w:t>
      </w:r>
      <w:r w:rsidRPr="00E84541">
        <w:t xml:space="preserve">Even though transfer learning provides a powerful approach to address the problem of an insufficient amount of training data, and has been successfully implemented in different fields, the </w:t>
      </w:r>
      <w:r>
        <w:t xml:space="preserve">relatively </w:t>
      </w:r>
      <w:r w:rsidRPr="00E84541">
        <w:t>small number of digitized thin-sections available for this work created challenges in assembling the training set. Recent examples using transfer learning for image classification employed training datasets of 10</w:t>
      </w:r>
      <w:r w:rsidRPr="00E84541">
        <w:rPr>
          <w:vertAlign w:val="superscript"/>
        </w:rPr>
        <w:t>5</w:t>
      </w:r>
      <w:r w:rsidRPr="00E84541">
        <w:t xml:space="preserve"> images </w:t>
      </w:r>
      <w:r w:rsidRPr="00E84541">
        <w:rPr>
          <w:rStyle w:val="FootnoteReference"/>
        </w:rPr>
        <w:fldChar w:fldCharType="begin" w:fldLock="1"/>
      </w:r>
      <w:r w:rsidRPr="00E84541">
        <w:instrText>ADDIN CSL_CITATION {"citationItems":[{"id":"ITEM-1","itemData":{"DOI":"10.1186/s12862-017-1014-z","ISSN":"1471-2148","abstract":"Hundreds of herbarium collections have accumulated a valuable heritage and knowledge of plants over several centuries. Recent initiatives started ambitious preservation plans to digitize this information and make it available to botanists and the general public through web portals. However, thousands of sheets are still unidentified at the species level while numerous sheets should be reviewed and updated following more recent taxonomic knowledge. These annotations and revisions require an unrealistic amount of work for botanists to carry out in a reasonable time. Computer vision and machine learning approaches applied to herbarium sheets are promising but are still not well studied compared to automated species identification from leaf scans or pictures of plants in the field. In this work, we propose to study and evaluate the accuracy with which herbarium images can be potentially exploited for species identification with deep learning technology. In addition, we propose to study if the combination of herbarium sheets with photos of plants in the field is relevant in terms of accuracy, and finally, we explore if herbarium images from one region that has one specific flora can be used to do transfer learning to another region with other species; for example, on a region under-represented in terms of collected data. This is, to our knowledge, the first study that uses deep learning to analyze a big dataset with thousands of species from herbaria. Results show the potential of Deep Learning on herbarium species identification, particularly by training and testing across different datasets from different herbaria. This could potentially lead to the creation of a semi, or even fully automated system to help taxonomists and experts with their annotation, classification, and revision works.","author":[{"dropping-particle":"","family":"Carranza-Rojas","given":"Jose","non-dropping-particle":"","parse-names":false,"suffix":""},{"dropping-particle":"","family":"Goeau","given":"Herve","non-dropping-particle":"","parse-names":false,"suffix":""},{"dropping-particle":"","family":"Bonnet","given":"Pierre","non-dropping-particle":"","parse-names":false,"suffix":""},{"dropping-particle":"","family":"Mata-Montero","given":"Erick","non-dropping-particle":"","parse-names":false,"suffix":""},{"dropping-particle":"","family":"Joly","given":"Alexis","non-dropping-particle":"","parse-names":false,"suffix":""}],"container-title":"BMC Evolutionary Biology","id":"ITEM-1","issue":"1","issued":{"date-parts":[["2017","12","11"]]},"page":"181","publisher":"BioMed Central","title":"Going deeper in the automated identification of Herbarium specimens","type":"article-journal","volume":"17"},"uris":["http://www.mendeley.com/documents/?uuid=cb983aa2-86e4-31b4-93fd-970edddbfe2e"]},{"id":"ITEM-2","itemData":{"DOI":"10.1038/nature21056","ISSN":"0028-0836","abstract":"An artificial intelligence trained to classify images of skin lesions as benign lesions or malignant skin cancers achieves the accuracy of board-certified dermatologists.","author":[{"dropping-particle":"","family":"Esteva","given":"Andre","non-dropping-particle":"","parse-names":false,"suffix":""},{"dropping-particle":"","family":"Kuprel","given":"Brett","non-dropping-particle":"","parse-names":false,"suffix":""},{"dropping-particle":"","family":"Novoa","given":"Roberto A.","non-dropping-particle":"","parse-names":false,"suffix":""},{"dropping-particle":"","family":"Ko","given":"Justin","non-dropping-particle":"","parse-names":false,"suffix":""},{"dropping-particle":"","family":"Swetter","given":"Susan M.","non-dropping-particle":"","parse-names":false,"suffix":""},{"dropping-particle":"","family":"Blau","given":"Helen M.","non-dropping-particle":"","parse-names":false,"suffix":""},{"dropping-particle":"","family":"Thrun","given":"Sebastian","non-dropping-particle":"","parse-names":false,"suffix":""}],"container-title":"Nature","id":"ITEM-2","issue":"7639","issued":{"date-parts":[["2017","2","25"]]},"page":"115-118","publisher":"Nature Publishing Group","title":"Dermatologist-level classification of skin cancer with deep neural networks","type":"article-journal","volume":"542"},"uris":["http://www.mendeley.com/documents/?uuid=a4209ae8-b4b6-3e70-aa81-a3ee3381d82a"]},{"id":"ITEM-3","itemData":{"DOI":"10.1016/J.ECOINF.2017.07.004","ISSN":"1574-9541","abstract":"Non-intrusive monitoring of animals in the wild is possible using camera trapping networks. The cameras are triggered by sensors in order to disturb the animals as little as possible. This approach produces a high volume of data (in the order of thousands or millions of images) that demands laborious work to analyze both useless (incorrect detections, which are the most) and useful (images with presence of animals). In this work, we show that as soon as some obstacles are overcome, deep neural networks can cope with the problem of the automated species classification appropriately. As case of study, the most common 26 of 48 species from the Snapshot Serengeti (SSe) dataset were selected and the potential of the Very Deep Convolutional neural networks framework for the species identification task was analyzed. In the worst-case scenario (unbalanced training dataset containing empty images) the method reached 35.4% Top-1 and 60.4% Top-5 accuracy. For the best scenario (balanced dataset, images containing foreground animals only, and manually segmented) the accuracy reached a 88.9% Top-1 and 98.1% Top-5, respectively. To the best of our knowledge, this is the first published attempt on solving the automatic species recognition on the SSe dataset. In addition, a comparison with other approaches on a different dataset was carried out, showing that the architectures used in this work outperformed previous approaches. The limitations of the method, drawbacks, as well as new challenges in automatic camera-trap species classification are widely discussed.","author":[{"dropping-particle":"","family":"Gomez Villa","given":"Alexander","non-dropping-particle":"","parse-names":false,"suffix":""},{"dropping-particle":"","family":"Salazar","given":"Augusto","non-dropping-particle":"","parse-names":false,"suffix":""},{"dropping-particle":"","family":"Vargas","given":"Francisco","non-dropping-particle":"","parse-names":false,"suffix":""}],"container-title":"Ecological Informatics","id":"ITEM-3","issued":{"date-parts":[["2017","9","1"]]},"page":"24-32","publisher":"Elsevier","title":"Towards automatic wild animal monitoring: Identification of animal species in camera-trap images using very deep convolutional neural networks","type":"article-journal","volume":"41"},"uris":["http://www.mendeley.com/documents/?uuid=fa391bbf-5c45-3afd-9878-4c17bc39b673"]}],"mendeley":{"formattedCitation":"(Esteva et al. 2017; Gomez Villa et al. 2017; Carranza-Rojas et al. 2017)","plainTextFormattedCitation":"(Esteva et al. 2017; Gomez Villa et al. 2017; Carranza-Rojas et al. 2017)","previouslyFormattedCitation":"(Esteva et al. 2017; Gomez Villa et al. 2017; Carranza-Rojas et al. 2017)"},"properties":{"noteIndex":0},"schema":"https://github.com/citation-style-language/schema/raw/master/csl-citation.json"}</w:instrText>
      </w:r>
      <w:r w:rsidRPr="00E84541">
        <w:rPr>
          <w:rStyle w:val="FootnoteReference"/>
        </w:rPr>
        <w:fldChar w:fldCharType="separate"/>
      </w:r>
      <w:r w:rsidRPr="00E84541">
        <w:rPr>
          <w:noProof/>
        </w:rPr>
        <w:t>(Esteva et al.</w:t>
      </w:r>
      <w:r>
        <w:rPr>
          <w:noProof/>
        </w:rPr>
        <w:t>,</w:t>
      </w:r>
      <w:r w:rsidRPr="00E84541">
        <w:rPr>
          <w:noProof/>
        </w:rPr>
        <w:t xml:space="preserve"> 2017; Gomez Villa</w:t>
      </w:r>
      <w:r>
        <w:rPr>
          <w:noProof/>
        </w:rPr>
        <w:t>,</w:t>
      </w:r>
      <w:r w:rsidRPr="00E84541">
        <w:rPr>
          <w:noProof/>
        </w:rPr>
        <w:t xml:space="preserve"> et al. 2017; Carranza-Rojas et </w:t>
      </w:r>
      <w:r w:rsidRPr="00E84541">
        <w:rPr>
          <w:noProof/>
        </w:rPr>
        <w:lastRenderedPageBreak/>
        <w:t>al.</w:t>
      </w:r>
      <w:r>
        <w:rPr>
          <w:noProof/>
        </w:rPr>
        <w:t>,</w:t>
      </w:r>
      <w:r w:rsidRPr="00E84541">
        <w:rPr>
          <w:noProof/>
        </w:rPr>
        <w:t xml:space="preserve"> 2017)</w:t>
      </w:r>
      <w:r w:rsidRPr="00E84541">
        <w:rPr>
          <w:rStyle w:val="FootnoteReference"/>
        </w:rPr>
        <w:fldChar w:fldCharType="end"/>
      </w:r>
      <w:r w:rsidRPr="00E84541">
        <w:t>. In contrast, we relied upon 10</w:t>
      </w:r>
      <w:r w:rsidRPr="00EE37AC">
        <w:rPr>
          <w:vertAlign w:val="superscript"/>
        </w:rPr>
        <w:t>2</w:t>
      </w:r>
      <w:r w:rsidRPr="00E84541">
        <w:t xml:space="preserve"> original images of fusulinid specimens, three orders of magnitude smaller than other studies using transfer learning.</w:t>
      </w:r>
    </w:p>
    <w:p w14:paraId="32596563" w14:textId="77777777" w:rsidR="0053410A" w:rsidRPr="00E84541" w:rsidRDefault="0053410A" w:rsidP="0053410A">
      <w:pPr>
        <w:ind w:firstLine="720"/>
      </w:pPr>
      <w:r w:rsidRPr="00E84541">
        <w:t>Owing to this limited dataset for training the CNN, we used a</w:t>
      </w:r>
      <w:r>
        <w:t xml:space="preserve"> common</w:t>
      </w:r>
      <w:r w:rsidRPr="00E84541">
        <w:t xml:space="preserve"> bootstrap process to generate pseudo-samples using the available images. The population was augmented by simple data rotation. Each longitudinally aligned original image was rotated through a range of angles ±5°about the horizontal axis, as well as flipped about the horizontal and vertical axes to expand the training data set. </w:t>
      </w:r>
      <w:r>
        <w:t xml:space="preserve">Such </w:t>
      </w:r>
      <w:r w:rsidRPr="00E84541">
        <w:t xml:space="preserve">approaches </w:t>
      </w:r>
      <w:r>
        <w:t>increase</w:t>
      </w:r>
      <w:r w:rsidRPr="00E84541">
        <w:t xml:space="preserve"> the number of images that could be used for </w:t>
      </w:r>
      <w:r>
        <w:t>training and help in the generalization of the model</w:t>
      </w:r>
      <w:r w:rsidRPr="00E84541">
        <w:t>.</w:t>
      </w:r>
      <w:r>
        <w:t xml:space="preserve"> Therefore, to facilitate training and reduce the chance of overfitting, we augment the training and validation data using </w:t>
      </w:r>
      <w:r>
        <w:fldChar w:fldCharType="begin" w:fldLock="1"/>
      </w:r>
      <w:r>
        <w:instrText>ADDIN CSL_CITATION {"citationItems":[{"id":"ITEM-1","itemData":{"DOI":"10.1093/bioinformatics/btz259","ISSN":"1367-4803","abstract":"Image augmentation is a frequently used technique in computer vision and has been seeing increased interest since the popularity of deep learning. Its usefulness is becoming more and more recognized due to deep neural networks requiring larger amounts of data to train, and because in certain fields, such as biomedical imaging, large amounts of labelled data are difficult to come by or expensive to produce. In biomedical imaging, features specific to this domain need to be addressed.Here we present the Augmentor software package for image augmentation. It provides a stochastic, pipeline-based approach to image augmentation with a number of features that are relevant to biomedical imaging, such as z-stack augmentation and randomized elastic distortions. The software has been designed to be highly extensible meaning an operation that might be specific to a highly specialized task can easily be added to the library, even at runtime. Although it has been designed as a general software library, it has features that are particularly relevant to biomedical imaging and the techniques required for this domain.Augmentor is a Python package made available under the terms of the MIT licence. Source code can be found on GitHub under https://github.com/mdbloice/Augmentor and installation is via the pip package manager (A Julia version of the package, developed in parallel by Christof Stocker, is also available under https://github.com/Evizero/Augmentor.jl).","author":[{"dropping-particle":"","family":"Bloice","given":"Marcus D","non-dropping-particle":"","parse-names":false,"suffix":""},{"dropping-particle":"","family":"Roth","given":"Peter M","non-dropping-particle":"","parse-names":false,"suffix":""},{"dropping-particle":"","family":"Holzinger","given":"Andreas","non-dropping-particle":"","parse-names":false,"suffix":""}],"container-title":"Bioinformatics","id":"ITEM-1","issued":{"date-parts":[["2019"]]},"title":"Biomedical image augmentation using Augmentor","type":"article-journal"},"uris":["http://www.mendeley.com/documents/?uuid=024c736d-d9d2-4903-8774-52d5221e60c9"]}],"mendeley":{"formattedCitation":"(Bloice et al. 2019)","manualFormatting":"Bloice et al's. (2019)","plainTextFormattedCitation":"(Bloice et al. 2019)","previouslyFormattedCitation":"(Bloice et al. 2019)"},"properties":{"noteIndex":0},"schema":"https://github.com/citation-style-language/schema/raw/master/csl-citation.json"}</w:instrText>
      </w:r>
      <w:r>
        <w:fldChar w:fldCharType="separate"/>
      </w:r>
      <w:r w:rsidRPr="007576C7">
        <w:rPr>
          <w:noProof/>
        </w:rPr>
        <w:t>Bloice et al</w:t>
      </w:r>
      <w:r>
        <w:rPr>
          <w:noProof/>
        </w:rPr>
        <w:t>'s</w:t>
      </w:r>
      <w:r w:rsidRPr="007576C7">
        <w:rPr>
          <w:noProof/>
        </w:rPr>
        <w:t xml:space="preserve">. </w:t>
      </w:r>
      <w:r>
        <w:rPr>
          <w:noProof/>
        </w:rPr>
        <w:t>(</w:t>
      </w:r>
      <w:r w:rsidRPr="007576C7">
        <w:rPr>
          <w:noProof/>
        </w:rPr>
        <w:t>2019)</w:t>
      </w:r>
      <w:r>
        <w:fldChar w:fldCharType="end"/>
      </w:r>
      <w:r>
        <w:t xml:space="preserve"> Augmentor tool, as well as Kera’s generators pipelines. </w:t>
      </w:r>
    </w:p>
    <w:p w14:paraId="2A9358CA" w14:textId="77777777" w:rsidR="004713B9" w:rsidRPr="00E84541" w:rsidRDefault="004713B9" w:rsidP="004713B9">
      <w:pPr>
        <w:ind w:firstLine="720"/>
      </w:pPr>
    </w:p>
    <w:p w14:paraId="71C1FE58" w14:textId="77777777" w:rsidR="004713B9" w:rsidRPr="00E84541" w:rsidRDefault="004713B9" w:rsidP="004F4884">
      <w:pPr>
        <w:pStyle w:val="Heading2"/>
      </w:pPr>
      <w:bookmarkStart w:id="186" w:name="_Toc26534615"/>
      <w:r>
        <w:t>Results</w:t>
      </w:r>
      <w:bookmarkEnd w:id="186"/>
    </w:p>
    <w:p w14:paraId="3A476251" w14:textId="77777777" w:rsidR="0053410A" w:rsidRDefault="0053410A" w:rsidP="0053410A">
      <w:pPr>
        <w:ind w:firstLine="720"/>
      </w:pPr>
      <w:r>
        <w:t xml:space="preserve">We fit five different models using three different training modes, effectively performing 15 experiments. </w:t>
      </w:r>
      <w:r>
        <w:fldChar w:fldCharType="begin"/>
      </w:r>
      <w:r>
        <w:instrText xml:space="preserve"> REF _Ref22320437 \h </w:instrText>
      </w:r>
      <w:r>
        <w:fldChar w:fldCharType="separate"/>
      </w:r>
      <w:r w:rsidR="00F20080">
        <w:t xml:space="preserve">Figure </w:t>
      </w:r>
      <w:r w:rsidR="00F20080">
        <w:rPr>
          <w:noProof/>
        </w:rPr>
        <w:t>25</w:t>
      </w:r>
      <w:r>
        <w:fldChar w:fldCharType="end"/>
      </w:r>
      <w:r>
        <w:t xml:space="preserve"> shows an example of the loss and accuracy evolution during fine tune training of InceptionV3. Plots like </w:t>
      </w:r>
      <w:r>
        <w:fldChar w:fldCharType="begin"/>
      </w:r>
      <w:r>
        <w:instrText xml:space="preserve"> REF _Ref22320437 \h </w:instrText>
      </w:r>
      <w:r>
        <w:fldChar w:fldCharType="separate"/>
      </w:r>
      <w:r w:rsidR="00F20080">
        <w:t xml:space="preserve">Figure </w:t>
      </w:r>
      <w:r w:rsidR="00F20080">
        <w:rPr>
          <w:noProof/>
        </w:rPr>
        <w:t>25</w:t>
      </w:r>
      <w:r>
        <w:fldChar w:fldCharType="end"/>
      </w:r>
      <w:r>
        <w:t xml:space="preserve"> are useful to investigate whether or not the models are overfitting the training data. Because of the many parameters CNN usually have, it is possible for the model to simply remember all the training data and have a poor generalization performance, i.e. poor performance when the model classifies new data. Ideally, the training and validation set curves should be close to each other, although in the great majority of cases the models have a better performance on the training set than on the validation set. </w:t>
      </w:r>
      <w:r>
        <w:fldChar w:fldCharType="begin"/>
      </w:r>
      <w:r>
        <w:instrText xml:space="preserve"> REF _Ref22320437 \h </w:instrText>
      </w:r>
      <w:r>
        <w:fldChar w:fldCharType="separate"/>
      </w:r>
      <w:r w:rsidR="00F20080">
        <w:t xml:space="preserve">Figure </w:t>
      </w:r>
      <w:r w:rsidR="00F20080">
        <w:rPr>
          <w:noProof/>
        </w:rPr>
        <w:t>25</w:t>
      </w:r>
      <w:r>
        <w:fldChar w:fldCharType="end"/>
      </w:r>
      <w:r>
        <w:t xml:space="preserve"> shows that the model starts to overfit in the first training stage, when part of the model is frozen, and validation accuracy only starts to increase on the second stage of fine tune training, when all the layers in the model are allowed to change their weights. The results in </w:t>
      </w:r>
      <w:r>
        <w:fldChar w:fldCharType="begin"/>
      </w:r>
      <w:r>
        <w:instrText xml:space="preserve"> REF _Ref22320437 \h </w:instrText>
      </w:r>
      <w:r>
        <w:fldChar w:fldCharType="separate"/>
      </w:r>
      <w:r w:rsidR="00F20080">
        <w:t xml:space="preserve">Figure </w:t>
      </w:r>
      <w:r w:rsidR="00F20080">
        <w:rPr>
          <w:noProof/>
        </w:rPr>
        <w:t>25</w:t>
      </w:r>
      <w:r>
        <w:fldChar w:fldCharType="end"/>
      </w:r>
      <w:r>
        <w:t xml:space="preserve"> show that the </w:t>
      </w:r>
      <w:r>
        <w:lastRenderedPageBreak/>
        <w:t xml:space="preserve">model is in fact overfitting the training set. The accuracy for the training set is 1.0 on the final epochs and the loss is very close to zero, whereas validation set metrics are not perfect. With the current implementation, more data would help prevent overfitting. </w:t>
      </w:r>
    </w:p>
    <w:p w14:paraId="5F938A13" w14:textId="77777777" w:rsidR="00F20080" w:rsidRDefault="00F20080" w:rsidP="00F20080">
      <w:pPr>
        <w:keepNext/>
        <w:jc w:val="center"/>
      </w:pPr>
      <w:r w:rsidRPr="002346EC">
        <w:rPr>
          <w:noProof/>
          <w:lang w:bidi="ar-SA"/>
        </w:rPr>
        <w:drawing>
          <wp:inline distT="0" distB="0" distL="0" distR="0" wp14:anchorId="2D724060" wp14:editId="131C6065">
            <wp:extent cx="3133725" cy="5210175"/>
            <wp:effectExtent l="0" t="0" r="9525" b="952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133725" cy="5210175"/>
                    </a:xfrm>
                    <a:prstGeom prst="rect">
                      <a:avLst/>
                    </a:prstGeom>
                    <a:noFill/>
                    <a:ln>
                      <a:noFill/>
                    </a:ln>
                  </pic:spPr>
                </pic:pic>
              </a:graphicData>
            </a:graphic>
          </wp:inline>
        </w:drawing>
      </w:r>
    </w:p>
    <w:p w14:paraId="3A24F423" w14:textId="77777777" w:rsidR="00F20080" w:rsidRDefault="00F20080" w:rsidP="00F20080">
      <w:pPr>
        <w:spacing w:line="240" w:lineRule="auto"/>
      </w:pPr>
      <w:bookmarkStart w:id="187" w:name="_Ref22320437"/>
      <w:bookmarkStart w:id="188" w:name="_Toc26534511"/>
      <w:r>
        <w:t xml:space="preserve">Figure </w:t>
      </w:r>
      <w:r w:rsidR="00CE1F3C">
        <w:fldChar w:fldCharType="begin"/>
      </w:r>
      <w:r w:rsidR="00CE1F3C">
        <w:instrText xml:space="preserve"> SEQ Figure \* ARABIC </w:instrText>
      </w:r>
      <w:r w:rsidR="00CE1F3C">
        <w:fldChar w:fldCharType="separate"/>
      </w:r>
      <w:r>
        <w:rPr>
          <w:noProof/>
        </w:rPr>
        <w:t>25</w:t>
      </w:r>
      <w:r w:rsidR="00CE1F3C">
        <w:rPr>
          <w:noProof/>
        </w:rPr>
        <w:fldChar w:fldCharType="end"/>
      </w:r>
      <w:bookmarkEnd w:id="187"/>
      <w:r>
        <w:t>: Loss and accuracy evolution of train and validation set during training InceptionV3 in the fine tune mode.</w:t>
      </w:r>
      <w:bookmarkEnd w:id="188"/>
      <w:r>
        <w:t xml:space="preserve"> </w:t>
      </w:r>
    </w:p>
    <w:p w14:paraId="36B6B882" w14:textId="77777777" w:rsidR="00F20080" w:rsidRDefault="00F20080" w:rsidP="0053410A">
      <w:pPr>
        <w:ind w:firstLine="720"/>
      </w:pPr>
    </w:p>
    <w:p w14:paraId="1AD12C3E" w14:textId="77777777" w:rsidR="0053410A" w:rsidRDefault="0053410A" w:rsidP="0053410A">
      <w:pPr>
        <w:ind w:firstLine="720"/>
      </w:pPr>
      <w:r>
        <w:t xml:space="preserve">Because the validation set is used during training, a better evaluation of the model’s generalization is obtained using the test set. The test set is never used during training and provides the expected performance of the model on data of the same quality, but that were never </w:t>
      </w:r>
      <w:r>
        <w:lastRenderedPageBreak/>
        <w:t xml:space="preserve">seen by the model. </w:t>
      </w:r>
      <w:r>
        <w:fldChar w:fldCharType="begin"/>
      </w:r>
      <w:r>
        <w:instrText xml:space="preserve"> REF _Ref22321045 \h </w:instrText>
      </w:r>
      <w:r>
        <w:fldChar w:fldCharType="separate"/>
      </w:r>
      <w:r w:rsidR="00F20080">
        <w:t xml:space="preserve">Figure </w:t>
      </w:r>
      <w:r w:rsidR="00F20080">
        <w:rPr>
          <w:noProof/>
        </w:rPr>
        <w:t>26</w:t>
      </w:r>
      <w:r>
        <w:fldChar w:fldCharType="end"/>
      </w:r>
      <w:r>
        <w:t xml:space="preserve"> shows the test set accuracy of all the models and training modes analyzed. Finer details for the best performances for each one of the models are presented in </w:t>
      </w:r>
      <w:r>
        <w:fldChar w:fldCharType="begin"/>
      </w:r>
      <w:r>
        <w:instrText xml:space="preserve"> REF _Ref22321265 \h </w:instrText>
      </w:r>
      <w:r>
        <w:fldChar w:fldCharType="separate"/>
      </w:r>
      <w:r w:rsidR="00F20080">
        <w:t xml:space="preserve">Table </w:t>
      </w:r>
      <w:r w:rsidR="00F20080">
        <w:rPr>
          <w:noProof/>
        </w:rPr>
        <w:t>7</w:t>
      </w:r>
      <w:r>
        <w:fldChar w:fldCharType="end"/>
      </w:r>
      <w:r>
        <w:t xml:space="preserve">. Although the models are overfitting the training data, their performance on the validation and test set is appropriate, producing high levels of accuracy. </w:t>
      </w:r>
    </w:p>
    <w:p w14:paraId="659B1845" w14:textId="77777777" w:rsidR="00F20080" w:rsidRDefault="00F20080" w:rsidP="002F1077">
      <w:pPr>
        <w:keepNext/>
        <w:jc w:val="center"/>
      </w:pPr>
      <w:r w:rsidRPr="00C737CF">
        <w:rPr>
          <w:noProof/>
          <w:lang w:bidi="ar-SA"/>
        </w:rPr>
        <w:drawing>
          <wp:inline distT="0" distB="0" distL="0" distR="0" wp14:anchorId="42AABB0A" wp14:editId="313E5F3D">
            <wp:extent cx="5275521" cy="3489960"/>
            <wp:effectExtent l="0" t="0" r="1905"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78287" cy="3491790"/>
                    </a:xfrm>
                    <a:prstGeom prst="rect">
                      <a:avLst/>
                    </a:prstGeom>
                    <a:noFill/>
                    <a:ln>
                      <a:noFill/>
                    </a:ln>
                  </pic:spPr>
                </pic:pic>
              </a:graphicData>
            </a:graphic>
          </wp:inline>
        </w:drawing>
      </w:r>
    </w:p>
    <w:p w14:paraId="09FEEF6E" w14:textId="77777777" w:rsidR="00F20080" w:rsidRDefault="00F20080" w:rsidP="00F20080">
      <w:bookmarkStart w:id="189" w:name="_Ref22321045"/>
      <w:bookmarkStart w:id="190" w:name="_Toc26534512"/>
      <w:r>
        <w:t xml:space="preserve">Figure </w:t>
      </w:r>
      <w:r w:rsidR="00CE1F3C">
        <w:fldChar w:fldCharType="begin"/>
      </w:r>
      <w:r w:rsidR="00CE1F3C">
        <w:instrText xml:space="preserve"> SEQ Figure \* ARABIC </w:instrText>
      </w:r>
      <w:r w:rsidR="00CE1F3C">
        <w:fldChar w:fldCharType="separate"/>
      </w:r>
      <w:r>
        <w:rPr>
          <w:noProof/>
        </w:rPr>
        <w:t>26</w:t>
      </w:r>
      <w:r w:rsidR="00CE1F3C">
        <w:rPr>
          <w:noProof/>
        </w:rPr>
        <w:fldChar w:fldCharType="end"/>
      </w:r>
      <w:bookmarkEnd w:id="189"/>
      <w:r>
        <w:t>: Test set accuracy for the five different models using three different training modes.</w:t>
      </w:r>
      <w:bookmarkEnd w:id="190"/>
      <w:r>
        <w:t xml:space="preserve"> </w:t>
      </w:r>
    </w:p>
    <w:p w14:paraId="1433F2B4" w14:textId="77777777" w:rsidR="00F20080" w:rsidRDefault="00F20080" w:rsidP="0053410A">
      <w:pPr>
        <w:ind w:firstLine="720"/>
      </w:pPr>
    </w:p>
    <w:p w14:paraId="27F2AF85" w14:textId="77777777" w:rsidR="0053410A" w:rsidRDefault="0053410A" w:rsidP="0053410A">
      <w:pPr>
        <w:ind w:firstLine="720"/>
      </w:pPr>
      <w:r>
        <w:fldChar w:fldCharType="begin"/>
      </w:r>
      <w:r>
        <w:instrText xml:space="preserve"> REF _Ref22322380 \h </w:instrText>
      </w:r>
      <w:r>
        <w:fldChar w:fldCharType="separate"/>
      </w:r>
      <w:r w:rsidR="00F20080">
        <w:t xml:space="preserve">Figure </w:t>
      </w:r>
      <w:r w:rsidR="00F20080">
        <w:rPr>
          <w:noProof/>
        </w:rPr>
        <w:t>27</w:t>
      </w:r>
      <w:r>
        <w:fldChar w:fldCharType="end"/>
      </w:r>
      <w:r>
        <w:t xml:space="preserve"> shows the confusion matrix computed on the test set using InceptionV3 trained on the fine tune mode. Confusion matrices are helpful to summarize the differences between the classifications performed by the model and the classification performed by the paleontologists.  </w:t>
      </w:r>
      <w:r>
        <w:fldChar w:fldCharType="begin"/>
      </w:r>
      <w:r>
        <w:instrText xml:space="preserve"> REF _Ref22322730 \h </w:instrText>
      </w:r>
      <w:r>
        <w:fldChar w:fldCharType="separate"/>
      </w:r>
      <w:r w:rsidR="003937A1">
        <w:t xml:space="preserve">Figure </w:t>
      </w:r>
      <w:r w:rsidR="003937A1">
        <w:rPr>
          <w:noProof/>
        </w:rPr>
        <w:t>28</w:t>
      </w:r>
      <w:r>
        <w:fldChar w:fldCharType="end"/>
      </w:r>
      <w:r>
        <w:t xml:space="preserve"> shows examples of fine tuned InceptionV3 classification of images in the test set and provide more details of the strengths and weaknesses of the mode. The loss and accuracy evolution during training, the confusion matrix, and the classification of the test set of all models and training modes are available in the supplemental material.</w:t>
      </w:r>
    </w:p>
    <w:p w14:paraId="244449C6" w14:textId="77777777" w:rsidR="0053410A" w:rsidRDefault="0053410A" w:rsidP="00607DF1">
      <w:pPr>
        <w:pStyle w:val="Caption"/>
      </w:pPr>
      <w:bookmarkStart w:id="191" w:name="_Ref22321265"/>
      <w:bookmarkStart w:id="192" w:name="_Ref22321244"/>
      <w:bookmarkStart w:id="193" w:name="_Toc26534544"/>
      <w:r>
        <w:lastRenderedPageBreak/>
        <w:t xml:space="preserve">Table </w:t>
      </w:r>
      <w:r w:rsidR="00CE1F3C">
        <w:fldChar w:fldCharType="begin"/>
      </w:r>
      <w:r w:rsidR="00CE1F3C">
        <w:instrText xml:space="preserve"> SEQ Table \* ARABIC </w:instrText>
      </w:r>
      <w:r w:rsidR="00CE1F3C">
        <w:fldChar w:fldCharType="separate"/>
      </w:r>
      <w:r w:rsidR="00F20080">
        <w:rPr>
          <w:noProof/>
        </w:rPr>
        <w:t>7</w:t>
      </w:r>
      <w:r w:rsidR="00CE1F3C">
        <w:rPr>
          <w:noProof/>
        </w:rPr>
        <w:fldChar w:fldCharType="end"/>
      </w:r>
      <w:bookmarkEnd w:id="191"/>
      <w:r>
        <w:t>: Accuracy for the highest performing training mode for each one of the models.</w:t>
      </w:r>
      <w:bookmarkEnd w:id="192"/>
      <w:bookmarkEnd w:id="193"/>
      <w:r>
        <w:t xml:space="preserve"> </w:t>
      </w:r>
    </w:p>
    <w:tbl>
      <w:tblPr>
        <w:tblStyle w:val="GridTable21"/>
        <w:tblW w:w="4820" w:type="dxa"/>
        <w:jc w:val="center"/>
        <w:tblLook w:val="04A0" w:firstRow="1" w:lastRow="0" w:firstColumn="1" w:lastColumn="0" w:noHBand="0" w:noVBand="1"/>
      </w:tblPr>
      <w:tblGrid>
        <w:gridCol w:w="1449"/>
        <w:gridCol w:w="2560"/>
        <w:gridCol w:w="1035"/>
      </w:tblGrid>
      <w:tr w:rsidR="0053410A" w:rsidRPr="002A2196" w14:paraId="740F849D" w14:textId="77777777" w:rsidTr="003937A1">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00" w:type="dxa"/>
            <w:noWrap/>
            <w:hideMark/>
          </w:tcPr>
          <w:p w14:paraId="6ACEFD34" w14:textId="77777777" w:rsidR="0053410A" w:rsidRPr="002A2196" w:rsidRDefault="0053410A" w:rsidP="00F20080">
            <w:pPr>
              <w:rPr>
                <w:rFonts w:ascii="Calibri" w:hAnsi="Calibri" w:cs="Calibri"/>
                <w:color w:val="000000"/>
                <w:sz w:val="22"/>
                <w:szCs w:val="22"/>
              </w:rPr>
            </w:pPr>
            <w:r>
              <w:rPr>
                <w:rFonts w:ascii="Calibri" w:hAnsi="Calibri" w:cs="Calibri"/>
                <w:color w:val="000000"/>
                <w:sz w:val="22"/>
                <w:szCs w:val="22"/>
              </w:rPr>
              <w:t>M</w:t>
            </w:r>
            <w:r w:rsidRPr="002A2196">
              <w:rPr>
                <w:rFonts w:ascii="Calibri" w:hAnsi="Calibri" w:cs="Calibri"/>
                <w:color w:val="000000"/>
                <w:sz w:val="22"/>
                <w:szCs w:val="22"/>
              </w:rPr>
              <w:t>odel</w:t>
            </w:r>
          </w:p>
        </w:tc>
        <w:tc>
          <w:tcPr>
            <w:tcW w:w="2560" w:type="dxa"/>
            <w:noWrap/>
            <w:hideMark/>
          </w:tcPr>
          <w:p w14:paraId="21D4B0A6" w14:textId="77777777" w:rsidR="0053410A" w:rsidRPr="002A2196" w:rsidRDefault="0053410A" w:rsidP="00F20080">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2A2196">
              <w:rPr>
                <w:rFonts w:ascii="Calibri" w:hAnsi="Calibri" w:cs="Calibri"/>
                <w:color w:val="000000"/>
                <w:sz w:val="22"/>
                <w:szCs w:val="22"/>
              </w:rPr>
              <w:t>Mode</w:t>
            </w:r>
          </w:p>
        </w:tc>
        <w:tc>
          <w:tcPr>
            <w:tcW w:w="960" w:type="dxa"/>
            <w:noWrap/>
            <w:hideMark/>
          </w:tcPr>
          <w:p w14:paraId="77899469" w14:textId="77777777" w:rsidR="0053410A" w:rsidRPr="002A2196" w:rsidRDefault="0053410A" w:rsidP="00F20080">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A</w:t>
            </w:r>
            <w:r w:rsidRPr="002A2196">
              <w:rPr>
                <w:rFonts w:ascii="Calibri" w:hAnsi="Calibri" w:cs="Calibri"/>
                <w:color w:val="000000"/>
                <w:sz w:val="22"/>
                <w:szCs w:val="22"/>
              </w:rPr>
              <w:t>ccuracy</w:t>
            </w:r>
          </w:p>
        </w:tc>
      </w:tr>
      <w:tr w:rsidR="0053410A" w:rsidRPr="002A2196" w14:paraId="1556446F" w14:textId="77777777" w:rsidTr="003937A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25F80A3" w14:textId="77777777" w:rsidR="0053410A" w:rsidRPr="002A2196" w:rsidRDefault="0053410A" w:rsidP="00F20080">
            <w:pPr>
              <w:rPr>
                <w:rFonts w:ascii="Calibri" w:hAnsi="Calibri" w:cs="Calibri"/>
                <w:color w:val="000000"/>
                <w:sz w:val="22"/>
                <w:szCs w:val="22"/>
              </w:rPr>
            </w:pPr>
            <w:r w:rsidRPr="002A2196">
              <w:rPr>
                <w:rFonts w:ascii="Calibri" w:hAnsi="Calibri" w:cs="Calibri"/>
                <w:color w:val="000000"/>
                <w:sz w:val="22"/>
                <w:szCs w:val="22"/>
              </w:rPr>
              <w:t>VGG19</w:t>
            </w:r>
          </w:p>
        </w:tc>
        <w:tc>
          <w:tcPr>
            <w:tcW w:w="2560" w:type="dxa"/>
            <w:noWrap/>
            <w:hideMark/>
          </w:tcPr>
          <w:p w14:paraId="74D69B98" w14:textId="77777777" w:rsidR="0053410A" w:rsidRPr="002A2196" w:rsidRDefault="0053410A" w:rsidP="00F2008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feature extraction</w:t>
            </w:r>
          </w:p>
        </w:tc>
        <w:tc>
          <w:tcPr>
            <w:tcW w:w="960" w:type="dxa"/>
            <w:noWrap/>
            <w:hideMark/>
          </w:tcPr>
          <w:p w14:paraId="681C00C4" w14:textId="77777777" w:rsidR="0053410A" w:rsidRPr="002A2196" w:rsidRDefault="0053410A" w:rsidP="00F20080">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2A2196">
              <w:rPr>
                <w:rFonts w:ascii="Calibri" w:hAnsi="Calibri" w:cs="Calibri"/>
                <w:color w:val="000000"/>
                <w:sz w:val="22"/>
                <w:szCs w:val="22"/>
              </w:rPr>
              <w:t>0.8</w:t>
            </w:r>
            <w:r>
              <w:rPr>
                <w:rFonts w:ascii="Calibri" w:hAnsi="Calibri" w:cs="Calibri"/>
                <w:color w:val="000000"/>
                <w:sz w:val="22"/>
                <w:szCs w:val="22"/>
              </w:rPr>
              <w:t>1</w:t>
            </w:r>
          </w:p>
        </w:tc>
      </w:tr>
      <w:tr w:rsidR="0053410A" w:rsidRPr="002A2196" w14:paraId="5B0C2DC4" w14:textId="77777777" w:rsidTr="003937A1">
        <w:trPr>
          <w:trHeight w:val="288"/>
          <w:jc w:val="center"/>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98C1903" w14:textId="77777777" w:rsidR="0053410A" w:rsidRPr="002A2196" w:rsidRDefault="0053410A" w:rsidP="00F20080">
            <w:pPr>
              <w:rPr>
                <w:rFonts w:ascii="Calibri" w:hAnsi="Calibri" w:cs="Calibri"/>
                <w:color w:val="000000"/>
                <w:sz w:val="22"/>
                <w:szCs w:val="22"/>
              </w:rPr>
            </w:pPr>
            <w:r w:rsidRPr="002A2196">
              <w:rPr>
                <w:rFonts w:ascii="Calibri" w:hAnsi="Calibri" w:cs="Calibri"/>
                <w:color w:val="000000"/>
                <w:sz w:val="22"/>
                <w:szCs w:val="22"/>
              </w:rPr>
              <w:t>InceptionV3</w:t>
            </w:r>
          </w:p>
        </w:tc>
        <w:tc>
          <w:tcPr>
            <w:tcW w:w="2560" w:type="dxa"/>
            <w:noWrap/>
            <w:hideMark/>
          </w:tcPr>
          <w:p w14:paraId="7EA854E3" w14:textId="77777777" w:rsidR="0053410A" w:rsidRPr="002A2196" w:rsidRDefault="0053410A" w:rsidP="00F2008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2A2196">
              <w:rPr>
                <w:rFonts w:ascii="Calibri" w:hAnsi="Calibri" w:cs="Calibri"/>
                <w:color w:val="000000"/>
                <w:sz w:val="22"/>
                <w:szCs w:val="22"/>
              </w:rPr>
              <w:t>fine tun</w:t>
            </w:r>
            <w:r>
              <w:rPr>
                <w:rFonts w:ascii="Calibri" w:hAnsi="Calibri" w:cs="Calibri"/>
                <w:color w:val="000000"/>
                <w:sz w:val="22"/>
                <w:szCs w:val="22"/>
              </w:rPr>
              <w:t>ing</w:t>
            </w:r>
          </w:p>
        </w:tc>
        <w:tc>
          <w:tcPr>
            <w:tcW w:w="960" w:type="dxa"/>
            <w:noWrap/>
            <w:hideMark/>
          </w:tcPr>
          <w:p w14:paraId="1ACD8FA3" w14:textId="77777777" w:rsidR="0053410A" w:rsidRPr="002A2196" w:rsidRDefault="0053410A" w:rsidP="00F20080">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2A2196">
              <w:rPr>
                <w:rFonts w:ascii="Calibri" w:hAnsi="Calibri" w:cs="Calibri"/>
                <w:color w:val="000000"/>
                <w:sz w:val="22"/>
                <w:szCs w:val="22"/>
              </w:rPr>
              <w:t>0.8</w:t>
            </w:r>
            <w:r>
              <w:rPr>
                <w:rFonts w:ascii="Calibri" w:hAnsi="Calibri" w:cs="Calibri"/>
                <w:color w:val="000000"/>
                <w:sz w:val="22"/>
                <w:szCs w:val="22"/>
              </w:rPr>
              <w:t>9</w:t>
            </w:r>
          </w:p>
        </w:tc>
      </w:tr>
      <w:tr w:rsidR="0053410A" w:rsidRPr="002A2196" w14:paraId="3A643D7C" w14:textId="77777777" w:rsidTr="003937A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D4491F7" w14:textId="77777777" w:rsidR="0053410A" w:rsidRPr="002A2196" w:rsidRDefault="0053410A" w:rsidP="00F20080">
            <w:pPr>
              <w:rPr>
                <w:rFonts w:ascii="Calibri" w:hAnsi="Calibri" w:cs="Calibri"/>
                <w:color w:val="000000"/>
                <w:sz w:val="22"/>
                <w:szCs w:val="22"/>
              </w:rPr>
            </w:pPr>
            <w:r w:rsidRPr="002A2196">
              <w:rPr>
                <w:rFonts w:ascii="Calibri" w:hAnsi="Calibri" w:cs="Calibri"/>
                <w:color w:val="000000"/>
                <w:sz w:val="22"/>
                <w:szCs w:val="22"/>
              </w:rPr>
              <w:t>MobileNetV2</w:t>
            </w:r>
          </w:p>
        </w:tc>
        <w:tc>
          <w:tcPr>
            <w:tcW w:w="2560" w:type="dxa"/>
            <w:noWrap/>
            <w:hideMark/>
          </w:tcPr>
          <w:p w14:paraId="4AA0A1CC" w14:textId="77777777" w:rsidR="0053410A" w:rsidRPr="002A2196" w:rsidRDefault="0053410A" w:rsidP="00F2008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2A2196">
              <w:rPr>
                <w:rFonts w:ascii="Calibri" w:hAnsi="Calibri" w:cs="Calibri"/>
                <w:color w:val="000000"/>
                <w:sz w:val="22"/>
                <w:szCs w:val="22"/>
              </w:rPr>
              <w:t>fine tun</w:t>
            </w:r>
            <w:r>
              <w:rPr>
                <w:rFonts w:ascii="Calibri" w:hAnsi="Calibri" w:cs="Calibri"/>
                <w:color w:val="000000"/>
                <w:sz w:val="22"/>
                <w:szCs w:val="22"/>
              </w:rPr>
              <w:t>ing</w:t>
            </w:r>
          </w:p>
        </w:tc>
        <w:tc>
          <w:tcPr>
            <w:tcW w:w="960" w:type="dxa"/>
            <w:noWrap/>
            <w:hideMark/>
          </w:tcPr>
          <w:p w14:paraId="0F6BECB3" w14:textId="77777777" w:rsidR="0053410A" w:rsidRPr="002A2196" w:rsidRDefault="0053410A" w:rsidP="00F20080">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2A2196">
              <w:rPr>
                <w:rFonts w:ascii="Calibri" w:hAnsi="Calibri" w:cs="Calibri"/>
                <w:color w:val="000000"/>
                <w:sz w:val="22"/>
                <w:szCs w:val="22"/>
              </w:rPr>
              <w:t>0.87</w:t>
            </w:r>
          </w:p>
        </w:tc>
      </w:tr>
      <w:tr w:rsidR="0053410A" w:rsidRPr="002A2196" w14:paraId="0F78235F" w14:textId="77777777" w:rsidTr="003937A1">
        <w:trPr>
          <w:trHeight w:val="288"/>
          <w:jc w:val="center"/>
        </w:trPr>
        <w:tc>
          <w:tcPr>
            <w:cnfStyle w:val="001000000000" w:firstRow="0" w:lastRow="0" w:firstColumn="1" w:lastColumn="0" w:oddVBand="0" w:evenVBand="0" w:oddHBand="0" w:evenHBand="0" w:firstRowFirstColumn="0" w:firstRowLastColumn="0" w:lastRowFirstColumn="0" w:lastRowLastColumn="0"/>
            <w:tcW w:w="1300" w:type="dxa"/>
            <w:noWrap/>
            <w:hideMark/>
          </w:tcPr>
          <w:p w14:paraId="32978933" w14:textId="77777777" w:rsidR="0053410A" w:rsidRPr="002A2196" w:rsidRDefault="0053410A" w:rsidP="00F20080">
            <w:pPr>
              <w:rPr>
                <w:rFonts w:ascii="Calibri" w:hAnsi="Calibri" w:cs="Calibri"/>
                <w:color w:val="000000"/>
                <w:sz w:val="22"/>
                <w:szCs w:val="22"/>
              </w:rPr>
            </w:pPr>
            <w:r w:rsidRPr="002A2196">
              <w:rPr>
                <w:rFonts w:ascii="Calibri" w:hAnsi="Calibri" w:cs="Calibri"/>
                <w:color w:val="000000"/>
                <w:sz w:val="22"/>
                <w:szCs w:val="22"/>
              </w:rPr>
              <w:t>ResNet50</w:t>
            </w:r>
          </w:p>
        </w:tc>
        <w:tc>
          <w:tcPr>
            <w:tcW w:w="2560" w:type="dxa"/>
            <w:noWrap/>
            <w:hideMark/>
          </w:tcPr>
          <w:p w14:paraId="7A774A7B" w14:textId="77777777" w:rsidR="0053410A" w:rsidRPr="002A2196" w:rsidRDefault="0053410A" w:rsidP="00F2008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2A2196">
              <w:rPr>
                <w:rFonts w:ascii="Calibri" w:hAnsi="Calibri" w:cs="Calibri"/>
                <w:color w:val="000000"/>
                <w:sz w:val="22"/>
                <w:szCs w:val="22"/>
              </w:rPr>
              <w:t>fine tun</w:t>
            </w:r>
            <w:r>
              <w:rPr>
                <w:rFonts w:ascii="Calibri" w:hAnsi="Calibri" w:cs="Calibri"/>
                <w:color w:val="000000"/>
                <w:sz w:val="22"/>
                <w:szCs w:val="22"/>
              </w:rPr>
              <w:t>ing</w:t>
            </w:r>
          </w:p>
        </w:tc>
        <w:tc>
          <w:tcPr>
            <w:tcW w:w="960" w:type="dxa"/>
            <w:noWrap/>
            <w:hideMark/>
          </w:tcPr>
          <w:p w14:paraId="4D715289" w14:textId="77777777" w:rsidR="0053410A" w:rsidRPr="002A2196" w:rsidRDefault="0053410A" w:rsidP="00F20080">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2A2196">
              <w:rPr>
                <w:rFonts w:ascii="Calibri" w:hAnsi="Calibri" w:cs="Calibri"/>
                <w:color w:val="000000"/>
                <w:sz w:val="22"/>
                <w:szCs w:val="22"/>
              </w:rPr>
              <w:t>0.8</w:t>
            </w:r>
            <w:r>
              <w:rPr>
                <w:rFonts w:ascii="Calibri" w:hAnsi="Calibri" w:cs="Calibri"/>
                <w:color w:val="000000"/>
                <w:sz w:val="22"/>
                <w:szCs w:val="22"/>
              </w:rPr>
              <w:t>0</w:t>
            </w:r>
          </w:p>
        </w:tc>
      </w:tr>
      <w:tr w:rsidR="0053410A" w:rsidRPr="002A2196" w14:paraId="235F2278" w14:textId="77777777" w:rsidTr="003937A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EF19F93" w14:textId="77777777" w:rsidR="0053410A" w:rsidRPr="002A2196" w:rsidRDefault="0053410A" w:rsidP="00F20080">
            <w:pPr>
              <w:rPr>
                <w:rFonts w:ascii="Calibri" w:hAnsi="Calibri" w:cs="Calibri"/>
                <w:color w:val="000000"/>
                <w:sz w:val="22"/>
                <w:szCs w:val="22"/>
              </w:rPr>
            </w:pPr>
            <w:r w:rsidRPr="002A2196">
              <w:rPr>
                <w:rFonts w:ascii="Calibri" w:hAnsi="Calibri" w:cs="Calibri"/>
                <w:color w:val="000000"/>
                <w:sz w:val="22"/>
                <w:szCs w:val="22"/>
              </w:rPr>
              <w:t>DenseNet121</w:t>
            </w:r>
          </w:p>
        </w:tc>
        <w:tc>
          <w:tcPr>
            <w:tcW w:w="2560" w:type="dxa"/>
            <w:noWrap/>
            <w:hideMark/>
          </w:tcPr>
          <w:p w14:paraId="66837662" w14:textId="77777777" w:rsidR="0053410A" w:rsidRPr="002A2196" w:rsidRDefault="0053410A" w:rsidP="00F2008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2A2196">
              <w:rPr>
                <w:rFonts w:ascii="Calibri" w:hAnsi="Calibri" w:cs="Calibri"/>
                <w:color w:val="000000"/>
                <w:sz w:val="22"/>
                <w:szCs w:val="22"/>
              </w:rPr>
              <w:t>fine tun</w:t>
            </w:r>
            <w:r>
              <w:rPr>
                <w:rFonts w:ascii="Calibri" w:hAnsi="Calibri" w:cs="Calibri"/>
                <w:color w:val="000000"/>
                <w:sz w:val="22"/>
                <w:szCs w:val="22"/>
              </w:rPr>
              <w:t>ing</w:t>
            </w:r>
          </w:p>
        </w:tc>
        <w:tc>
          <w:tcPr>
            <w:tcW w:w="960" w:type="dxa"/>
            <w:noWrap/>
            <w:hideMark/>
          </w:tcPr>
          <w:p w14:paraId="5C617F57" w14:textId="77777777" w:rsidR="0053410A" w:rsidRPr="002A2196" w:rsidRDefault="0053410A" w:rsidP="00F20080">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2A2196">
              <w:rPr>
                <w:rFonts w:ascii="Calibri" w:hAnsi="Calibri" w:cs="Calibri"/>
                <w:color w:val="000000"/>
                <w:sz w:val="22"/>
                <w:szCs w:val="22"/>
              </w:rPr>
              <w:t>0.87</w:t>
            </w:r>
          </w:p>
        </w:tc>
      </w:tr>
    </w:tbl>
    <w:p w14:paraId="13BA24B9" w14:textId="77777777" w:rsidR="004713B9" w:rsidRDefault="004713B9" w:rsidP="004713B9">
      <w:pPr>
        <w:ind w:firstLine="720"/>
      </w:pPr>
    </w:p>
    <w:p w14:paraId="671F797D" w14:textId="77777777" w:rsidR="00F20080" w:rsidRDefault="00F20080" w:rsidP="003937A1">
      <w:pPr>
        <w:keepNext/>
        <w:jc w:val="center"/>
      </w:pPr>
      <w:r w:rsidRPr="0005071F">
        <w:rPr>
          <w:noProof/>
          <w:lang w:bidi="ar-SA"/>
        </w:rPr>
        <w:drawing>
          <wp:inline distT="0" distB="0" distL="0" distR="0" wp14:anchorId="77513687" wp14:editId="01A5BFA0">
            <wp:extent cx="5212080" cy="4663440"/>
            <wp:effectExtent l="0" t="0" r="7620" b="381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12080" cy="4663440"/>
                    </a:xfrm>
                    <a:prstGeom prst="rect">
                      <a:avLst/>
                    </a:prstGeom>
                    <a:noFill/>
                    <a:ln>
                      <a:noFill/>
                    </a:ln>
                  </pic:spPr>
                </pic:pic>
              </a:graphicData>
            </a:graphic>
          </wp:inline>
        </w:drawing>
      </w:r>
    </w:p>
    <w:p w14:paraId="3D8497A9" w14:textId="77777777" w:rsidR="00F20080" w:rsidRDefault="00F20080" w:rsidP="00F20080">
      <w:pPr>
        <w:spacing w:line="240" w:lineRule="auto"/>
      </w:pPr>
      <w:bookmarkStart w:id="194" w:name="_Ref22322380"/>
      <w:bookmarkStart w:id="195" w:name="_Toc26534513"/>
      <w:r>
        <w:t xml:space="preserve">Figure </w:t>
      </w:r>
      <w:r w:rsidR="00CE1F3C">
        <w:fldChar w:fldCharType="begin"/>
      </w:r>
      <w:r w:rsidR="00CE1F3C">
        <w:instrText xml:space="preserve"> SEQ Figure \* ARABIC </w:instrText>
      </w:r>
      <w:r w:rsidR="00CE1F3C">
        <w:fldChar w:fldCharType="separate"/>
      </w:r>
      <w:r w:rsidR="003937A1">
        <w:rPr>
          <w:noProof/>
        </w:rPr>
        <w:t>27</w:t>
      </w:r>
      <w:r w:rsidR="00CE1F3C">
        <w:rPr>
          <w:noProof/>
        </w:rPr>
        <w:fldChar w:fldCharType="end"/>
      </w:r>
      <w:bookmarkEnd w:id="194"/>
      <w:r>
        <w:t>: Confusion matrix for</w:t>
      </w:r>
      <w:r w:rsidRPr="006504CD">
        <w:t xml:space="preserve"> </w:t>
      </w:r>
      <w:r>
        <w:t>InceptionV3 trained in the fine tune mode. The confusion matrix shows the expert provided labels vs the model predicted labels. A perfect agreement between model and expert yields a matrix with values only on the main diagonal. Zero values are omitted.</w:t>
      </w:r>
      <w:bookmarkEnd w:id="195"/>
    </w:p>
    <w:p w14:paraId="22BB13C6" w14:textId="77777777" w:rsidR="00F20080" w:rsidRDefault="00F20080" w:rsidP="00F20080">
      <w:pPr>
        <w:keepNext/>
        <w:jc w:val="center"/>
      </w:pPr>
      <w:r w:rsidRPr="00C62130">
        <w:rPr>
          <w:noProof/>
          <w:lang w:bidi="ar-SA"/>
        </w:rPr>
        <w:lastRenderedPageBreak/>
        <w:drawing>
          <wp:inline distT="0" distB="0" distL="0" distR="0" wp14:anchorId="4EB503DD" wp14:editId="11620B9B">
            <wp:extent cx="5007769" cy="6677025"/>
            <wp:effectExtent l="0" t="0" r="254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10760" cy="6681013"/>
                    </a:xfrm>
                    <a:prstGeom prst="rect">
                      <a:avLst/>
                    </a:prstGeom>
                    <a:noFill/>
                    <a:ln>
                      <a:noFill/>
                    </a:ln>
                  </pic:spPr>
                </pic:pic>
              </a:graphicData>
            </a:graphic>
          </wp:inline>
        </w:drawing>
      </w:r>
    </w:p>
    <w:p w14:paraId="7DF2638D" w14:textId="77777777" w:rsidR="00F20080" w:rsidRPr="002D1985" w:rsidRDefault="00F20080" w:rsidP="00F20080">
      <w:pPr>
        <w:spacing w:line="240" w:lineRule="auto"/>
      </w:pPr>
      <w:bookmarkStart w:id="196" w:name="_Ref22322730"/>
      <w:bookmarkStart w:id="197" w:name="_Toc26534514"/>
      <w:r>
        <w:t xml:space="preserve">Figure </w:t>
      </w:r>
      <w:r w:rsidR="00CE1F3C">
        <w:fldChar w:fldCharType="begin"/>
      </w:r>
      <w:r w:rsidR="00CE1F3C">
        <w:instrText xml:space="preserve"> SEQ Figure \* ARABIC </w:instrText>
      </w:r>
      <w:r w:rsidR="00CE1F3C">
        <w:fldChar w:fldCharType="separate"/>
      </w:r>
      <w:r w:rsidR="003937A1">
        <w:rPr>
          <w:noProof/>
        </w:rPr>
        <w:t>28</w:t>
      </w:r>
      <w:r w:rsidR="00CE1F3C">
        <w:rPr>
          <w:noProof/>
        </w:rPr>
        <w:fldChar w:fldCharType="end"/>
      </w:r>
      <w:bookmarkEnd w:id="196"/>
      <w:r>
        <w:t>: Examples of images in the test set classified by InceptionV3 trained on the fine tuning mode. The titles of each of the images are the classification provided by the paleontologists in their original publication, while the text boxes inside the thin-section images are the classification provided by the CNN model. The text box is green when the model assigned the same class (biological genus) as the paleontologist, and red otherwise. The value in the text box shows the probability assigned by the CNN model for that class.</w:t>
      </w:r>
      <w:bookmarkEnd w:id="197"/>
      <w:r>
        <w:t xml:space="preserve"> </w:t>
      </w:r>
    </w:p>
    <w:p w14:paraId="379F8413" w14:textId="77777777" w:rsidR="004713B9" w:rsidRPr="00E84541" w:rsidRDefault="005A60FA" w:rsidP="004F4884">
      <w:pPr>
        <w:pStyle w:val="Heading2"/>
      </w:pPr>
      <w:bookmarkStart w:id="198" w:name="_Toc26534616"/>
      <w:r>
        <w:lastRenderedPageBreak/>
        <w:t>Discussion</w:t>
      </w:r>
      <w:bookmarkEnd w:id="198"/>
    </w:p>
    <w:p w14:paraId="7D9A9A60" w14:textId="77777777" w:rsidR="0053410A" w:rsidRDefault="0053410A" w:rsidP="0053410A">
      <w:pPr>
        <w:ind w:firstLine="720"/>
      </w:pPr>
      <w:r>
        <w:t xml:space="preserve">Despite the difference between the classification of ILSVRC’s natural images and the thin-section fusulinid classification task, the CNN models trained on ILSVRC learned to extract features that are useful for fossil classification. </w:t>
      </w:r>
      <w:r>
        <w:fldChar w:fldCharType="begin"/>
      </w:r>
      <w:r>
        <w:instrText xml:space="preserve"> REF _Ref22321045 \h </w:instrText>
      </w:r>
      <w:r>
        <w:fldChar w:fldCharType="separate"/>
      </w:r>
      <w:r w:rsidR="003937A1">
        <w:t xml:space="preserve">Figure </w:t>
      </w:r>
      <w:r w:rsidR="003937A1">
        <w:rPr>
          <w:noProof/>
        </w:rPr>
        <w:t>26</w:t>
      </w:r>
      <w:r>
        <w:fldChar w:fldCharType="end"/>
      </w:r>
      <w:r>
        <w:t xml:space="preserve"> and </w:t>
      </w:r>
      <w:r>
        <w:fldChar w:fldCharType="begin"/>
      </w:r>
      <w:r>
        <w:instrText xml:space="preserve"> REF _Ref22321265 \h </w:instrText>
      </w:r>
      <w:r>
        <w:fldChar w:fldCharType="separate"/>
      </w:r>
      <w:r w:rsidR="003937A1">
        <w:t xml:space="preserve">Table </w:t>
      </w:r>
      <w:r w:rsidR="003937A1">
        <w:rPr>
          <w:noProof/>
        </w:rPr>
        <w:t>7</w:t>
      </w:r>
      <w:r>
        <w:fldChar w:fldCharType="end"/>
      </w:r>
      <w:r>
        <w:t xml:space="preserve"> show how different training modes can affect the model’s performance and how fine tuning a model previously trained on a large and complex dataset such as the ILSVRC outperformed other training modes. Loss and accuracy for training and validation figures in the supplemental material show that, in general, the feature extraction training mode seems to overfit the data very quickly. Randomly initialized weights validation metrics apparently starts plateauing with a high level of overfitting as well. Thus, updating the initial ILSVRC-based weights on the CNN models with fine tuning is more effective than training a model with randomly initialized weights, except for VGG19 in our case. As the ILSVRC is a complex task in which samples in the same class are very different from each other, the models need to learn very effective transformations to properly differentiate the classes. Because thin-sections have specific characteristics that differ from more common natural images, such transformations need to be updated for a proper thin-section classification. Curiously, fine tuning VGG19 with our choice of hyperparameters led the model to a local minimum and degraded highly accurate results found using feature extraction for such a model. It is likely that both a hyperparameter search or more samples could help prevent degrading of results for the model, but such analysis is beyond the scope of this study.  </w:t>
      </w:r>
    </w:p>
    <w:p w14:paraId="2F214E09" w14:textId="77777777" w:rsidR="0053410A" w:rsidRPr="00E84541" w:rsidRDefault="0053410A" w:rsidP="0053410A">
      <w:pPr>
        <w:ind w:firstLine="720"/>
      </w:pPr>
      <w:r w:rsidRPr="00E84541">
        <w:t xml:space="preserve">To our knowledge this is the first </w:t>
      </w:r>
      <w:r>
        <w:t>paper</w:t>
      </w:r>
      <w:r w:rsidRPr="00E84541">
        <w:t xml:space="preserve"> </w:t>
      </w:r>
      <w:r>
        <w:t xml:space="preserve">providing details on the use of </w:t>
      </w:r>
      <w:r w:rsidRPr="00E84541">
        <w:t xml:space="preserve">thin-sections, commonly used in fusulinid biostratigraphy, as input for a CNN model that can be used to identify microfossils. </w:t>
      </w:r>
      <w:r>
        <w:t xml:space="preserve">Our dataset comprises thin-section images from different sources and with different quality. </w:t>
      </w:r>
      <w:r w:rsidRPr="00E84541">
        <w:t xml:space="preserve">In </w:t>
      </w:r>
      <w:r>
        <w:t xml:space="preserve">the </w:t>
      </w:r>
      <w:r w:rsidRPr="00E84541">
        <w:t>approach</w:t>
      </w:r>
      <w:r>
        <w:t xml:space="preserve"> we use here</w:t>
      </w:r>
      <w:r w:rsidRPr="00E84541">
        <w:t xml:space="preserve">, the </w:t>
      </w:r>
      <w:r>
        <w:t xml:space="preserve">final </w:t>
      </w:r>
      <w:r w:rsidRPr="00E84541">
        <w:t xml:space="preserve">user </w:t>
      </w:r>
      <w:r>
        <w:t xml:space="preserve">can </w:t>
      </w:r>
      <w:r w:rsidRPr="00E84541">
        <w:t xml:space="preserve">simply provide an adequate </w:t>
      </w:r>
      <w:r w:rsidRPr="00E84541">
        <w:lastRenderedPageBreak/>
        <w:t xml:space="preserve">image and the CNN model </w:t>
      </w:r>
      <w:r>
        <w:t xml:space="preserve">would </w:t>
      </w:r>
      <w:r w:rsidRPr="00E84541">
        <w:t>output the probability of assignment of the specimen to a fusulinid genus</w:t>
      </w:r>
      <w:r>
        <w:t xml:space="preserve"> – given that the model can only choose from the classes (biological genus in this case) on which it was trained</w:t>
      </w:r>
      <w:r w:rsidRPr="00E84541">
        <w:t xml:space="preserve">. This study differs from </w:t>
      </w:r>
      <w:r w:rsidRPr="00E84541">
        <w:fldChar w:fldCharType="begin" w:fldLock="1"/>
      </w:r>
      <w:r w:rsidRPr="00E84541">
        <w:instrText>ADDIN CSL_CITATION {"citationItems":[{"id":"ITEM-1","itemData":{"DOI":"10.1109/CVPRW.2016.165","ISBN":"978-1-5090-1437-8","author":[{"dropping-particle":"","family":"Kong","given":"Shu","non-dropping-particle":"","parse-names":false,"suffix":""},{"dropping-particle":"","family":"Punyasena","given":"Surangi","non-dropping-particle":"","parse-names":false,"suffix":""},{"dropping-particle":"","family":"Fowlkes","given":"Charless","non-dropping-particle":"","parse-names":false,"suffix":""}],"container-title":"2016 IEEE Conference on Computer Vision and Pattern Recognition Workshops (CVPRW)","id":"ITEM-1","issued":{"date-parts":[["2016","6"]]},"page":"1305-1314","publisher":"IEEE","title":"Spatially Aware Dictionary Learning and Coding for Fossil Pollen Identification","type":"paper-conference"},"uris":["http://www.mendeley.com/documents/?uuid=f1d273b9-5832-3fb6-97fb-e078917238ac"]}],"mendeley":{"formattedCitation":"(Kong et al. 2016)","manualFormatting":"Kong et al. (2016)","plainTextFormattedCitation":"(Kong et al. 2016)","previouslyFormattedCitation":"(Kong et al. 2016)"},"properties":{"noteIndex":0},"schema":"https://github.com/citation-style-language/schema/raw/master/csl-citation.json"}</w:instrText>
      </w:r>
      <w:r w:rsidRPr="00E84541">
        <w:fldChar w:fldCharType="separate"/>
      </w:r>
      <w:r w:rsidRPr="00E84541">
        <w:rPr>
          <w:noProof/>
        </w:rPr>
        <w:t>Kong et al. (2016)</w:t>
      </w:r>
      <w:r w:rsidRPr="00E84541">
        <w:fldChar w:fldCharType="end"/>
      </w:r>
      <w:r w:rsidRPr="00E84541">
        <w:t xml:space="preserve"> because we use 2D thin-section images (not 3D stacked</w:t>
      </w:r>
      <w:r>
        <w:t xml:space="preserve"> images</w:t>
      </w:r>
      <w:r w:rsidRPr="00E84541">
        <w:t xml:space="preserve">), and our process uses the complete image during training and testing (not selected patches). Biological complications aside, we also achieved </w:t>
      </w:r>
      <w:r>
        <w:t xml:space="preserve">similar </w:t>
      </w:r>
      <w:r w:rsidRPr="00E84541">
        <w:t>accuracy (</w:t>
      </w:r>
      <w:r>
        <w:t>87</w:t>
      </w:r>
      <w:r w:rsidRPr="00E84541">
        <w:t>%) in our</w:t>
      </w:r>
      <w:r>
        <w:t xml:space="preserve"> best performing</w:t>
      </w:r>
      <w:r w:rsidRPr="00E84541">
        <w:t xml:space="preserve"> results, differentiating more classes (</w:t>
      </w:r>
      <w:r>
        <w:t>eight</w:t>
      </w:r>
      <w:r w:rsidRPr="00E84541">
        <w:t xml:space="preserve"> genera) than Kong et al. (2016) (</w:t>
      </w:r>
      <w:r>
        <w:t>three</w:t>
      </w:r>
      <w:r w:rsidRPr="00E84541">
        <w:t xml:space="preserve"> species). Even lacking an extensive database of images, the methodology we applied achieved high levels of accuracy</w:t>
      </w:r>
      <w:r>
        <w:t>. Although we present only classification of genera, we are certain that classification of fusulinids to species using the methods we propose is possible.</w:t>
      </w:r>
      <w:r w:rsidRPr="00E84541">
        <w:t xml:space="preserve"> </w:t>
      </w:r>
      <w:r w:rsidRPr="00E84541">
        <w:rPr>
          <w:noProof/>
        </w:rPr>
        <w:t>Groves and Reisdorph (2009) used multivariate morphometry to show that the</w:t>
      </w:r>
      <w:r w:rsidRPr="00E84541">
        <w:t xml:space="preserve"> </w:t>
      </w:r>
      <w:r w:rsidRPr="00E84541">
        <w:rPr>
          <w:i/>
        </w:rPr>
        <w:t>Beedeina</w:t>
      </w:r>
      <w:r w:rsidRPr="00E84541">
        <w:t xml:space="preserve"> species separation is statistically significant</w:t>
      </w:r>
      <w:r>
        <w:t xml:space="preserve">. With appropriate data and more samples per species, </w:t>
      </w:r>
      <w:r w:rsidRPr="00E84541">
        <w:t xml:space="preserve">our CNN methodology </w:t>
      </w:r>
      <w:r>
        <w:t xml:space="preserve">should </w:t>
      </w:r>
      <w:r w:rsidRPr="00E84541">
        <w:t xml:space="preserve">able to achieve high levels of accuracy because these are clearly </w:t>
      </w:r>
      <w:r>
        <w:t xml:space="preserve">morphologically </w:t>
      </w:r>
      <w:r w:rsidRPr="00E84541">
        <w:t xml:space="preserve">distinct species. </w:t>
      </w:r>
    </w:p>
    <w:p w14:paraId="2BBB7E2C" w14:textId="77777777" w:rsidR="0053410A" w:rsidRPr="00E84541" w:rsidRDefault="0053410A" w:rsidP="0053410A">
      <w:pPr>
        <w:ind w:firstLine="720"/>
      </w:pPr>
      <w:r w:rsidRPr="00E84541">
        <w:t>Unlike a human interpreter who relies upon a defined set of morphological measurements to perform taxonomic classifications, the CNN operates from no knowledge of specific attribute analysis and performs the classification based on image characteristics</w:t>
      </w:r>
      <w:r>
        <w:t xml:space="preserve"> alone</w:t>
      </w:r>
      <w:r w:rsidRPr="00E84541">
        <w:t xml:space="preserve">. This </w:t>
      </w:r>
      <w:r>
        <w:t xml:space="preserve">observation </w:t>
      </w:r>
      <w:r w:rsidRPr="00E84541">
        <w:t xml:space="preserve">also implies that a CNN model, at least with this current implementation, cannot be used to define a new taxonomic division (e.g., a new species), although it may </w:t>
      </w:r>
      <w:r>
        <w:t xml:space="preserve">help </w:t>
      </w:r>
      <w:r w:rsidRPr="00E84541">
        <w:t xml:space="preserve">separate out specimens that do fit into existing species. The set of </w:t>
      </w:r>
      <w:r>
        <w:t xml:space="preserve">transformations </w:t>
      </w:r>
      <w:r w:rsidRPr="00E84541">
        <w:t xml:space="preserve">created by the CNN are abstract and do not rely on specific phylogenetic systematics measurements; rather, the rules are akin to a cascading set of filters. These filters perhaps are generating rules that approximate their behavior to the measurements </w:t>
      </w:r>
      <w:r>
        <w:t xml:space="preserve">used </w:t>
      </w:r>
      <w:r w:rsidRPr="00E84541">
        <w:t xml:space="preserve">during taxonomy studies. But because the CNN models have many such filters, it is often difficult to discuss the interpretability of CNN models. CNN </w:t>
      </w:r>
      <w:r w:rsidRPr="00E84541">
        <w:lastRenderedPageBreak/>
        <w:t xml:space="preserve">interpretability by itself is a topic in research </w:t>
      </w:r>
      <w:r w:rsidRPr="00E84541">
        <w:fldChar w:fldCharType="begin" w:fldLock="1"/>
      </w:r>
      <w:r w:rsidRPr="00E84541">
        <w:instrText>ADDIN CSL_CITATION {"citationItems":[{"id":"ITEM-1","itemData":{"DOI":"10.23915/distill.00007","author":[{"dropping-particle":"","family":"Olah","given":"Chris","non-dropping-particle":"","parse-names":false,"suffix":""},{"dropping-particle":"","family":"Mordvintsev","given":"Alexander","non-dropping-particle":"","parse-names":false,"suffix":""},{"dropping-particle":"","family":"Schubert","given":"Ludwig","non-dropping-particle":"","parse-names":false,"suffix":""}],"container-title":"Distill","id":"ITEM-1","issued":{"date-parts":[["2017"]]},"note":"https://distill.pub/2017/feature-visualization","title":"Feature Visualization","type":"article-journal"},"uris":["http://www.mendeley.com/documents/?uuid=173495c0-8322-4a7f-b026-bc1185657a6a"]},{"id":"ITEM-2","itemData":{"DOI":"10.23915/distill.00010","author":[{"dropping-particle":"","family":"Olah","given":"Chris","non-dropping-particle":"","parse-names":false,"suffix":""},{"dropping-particle":"","family":"Satyanarayan","given":"Arvind","non-dropping-particle":"","parse-names":false,"suffix":""},{"dropping-particle":"","family":"Johnson","given":"Ian","non-dropping-particle":"","parse-names":false,"suffix":""},{"dropping-particle":"","family":"Carter","given":"Shan","non-dropping-particle":"","parse-names":false,"suffix":""},{"dropping-particle":"","family":"Schubert","given":"Ludwig","non-dropping-particle":"","parse-names":false,"suffix":""},{"dropping-particle":"","family":"Ye","given":"Katherine","non-dropping-particle":"","parse-names":false,"suffix":""},{"dropping-particle":"","family":"Mordvintsev","given":"Alexander","non-dropping-particle":"","parse-names":false,"suffix":""}],"container-title":"Distill","id":"ITEM-2","issued":{"date-parts":[["2018"]]},"note":"https://distill.pub/2018/building-blocks","title":"The Building Blocks of Interpretability","type":"article-journal"},"uris":["http://www.mendeley.com/documents/?uuid=9c175a0a-4c26-4ca4-b472-f29eed38a0b4"]}],"mendeley":{"formattedCitation":"(Olah et al. 2017, 2018)","manualFormatting":"(e. g Olah et al. 2017, 2018)","plainTextFormattedCitation":"(Olah et al. 2017, 2018)","previouslyFormattedCitation":"(Olah et al. 2017, 2018)"},"properties":{"noteIndex":0},"schema":"https://github.com/citation-style-language/schema/raw/master/csl-citation.json"}</w:instrText>
      </w:r>
      <w:r w:rsidRPr="00E84541">
        <w:fldChar w:fldCharType="separate"/>
      </w:r>
      <w:r w:rsidRPr="00E84541">
        <w:rPr>
          <w:noProof/>
        </w:rPr>
        <w:t>(e. g</w:t>
      </w:r>
      <w:r>
        <w:rPr>
          <w:noProof/>
        </w:rPr>
        <w:t>.</w:t>
      </w:r>
      <w:r w:rsidRPr="00E84541">
        <w:rPr>
          <w:noProof/>
        </w:rPr>
        <w:t xml:space="preserve"> Olah et al. 2017, 2018)</w:t>
      </w:r>
      <w:r w:rsidRPr="00E84541">
        <w:fldChar w:fldCharType="end"/>
      </w:r>
      <w:r w:rsidRPr="00E84541">
        <w:t>. When analyzing a new image, the CNN model</w:t>
      </w:r>
      <w:r>
        <w:t xml:space="preserve">, </w:t>
      </w:r>
      <w:r w:rsidRPr="00E84541">
        <w:t>as implemented in this study</w:t>
      </w:r>
      <w:r>
        <w:t>,</w:t>
      </w:r>
      <w:r w:rsidRPr="00E84541">
        <w:t xml:space="preserve"> will always generate a set of probabilities that such image belongs to the CNN’s learned classes, never declaring the image is none of the pre-defined classes. Nonetheless, the methodology we implemented in this project can easily be generalized and will improve as new images are digitized and made available to the scientific community. Considering that different taxonomic divisions request different attribute analysis – e.g. during the interpretation of conodonts, specimen surface texture is not as important as caudal point and rostral point </w:t>
      </w:r>
      <w:r w:rsidRPr="00E84541">
        <w:fldChar w:fldCharType="begin" w:fldLock="1"/>
      </w:r>
      <w:r w:rsidRPr="00E84541">
        <w:instrText>ADDIN CSL_CITATION {"citationItems":[{"id":"ITEM-1","itemData":{"author":[{"dropping-particle":"","family":"Hogancamp","given":"Nicholas J","non-dropping-particle":"","parse-names":false,"suffix":""},{"dropping-particle":"","family":"Manship","given":"Lori L","non-dropping-particle":"","parse-names":false,"suffix":""}],"container-title":"MICROPALEONTOLOGY","id":"ITEM-1","issue":"6","issued":{"date-parts":[["2016"]]},"page":"439-451","publisher":"MICRO PRESS 6530 KISSENA BLVD, FLUSHING, NY 11367 USA","title":"Comparison of morphometric techniques and the ability to accurately reconstruct the form and distinguish between species of the Palmatolepis winchelli group-Conodonta, Upper Devonian","type":"article-journal","volume":"62"},"uris":["http://www.mendeley.com/documents/?uuid=c94e3b78-88cb-47a6-9749-99ba12c731cd"]}],"mendeley":{"formattedCitation":"(Hogancamp and Manship 2016)","manualFormatting":"(e.g. Hogancamp and Manship 2016)","plainTextFormattedCitation":"(Hogancamp and Manship 2016)","previouslyFormattedCitation":"(Hogancamp and Manship 2016)"},"properties":{"noteIndex":0},"schema":"https://github.com/citation-style-language/schema/raw/master/csl-citation.json"}</w:instrText>
      </w:r>
      <w:r w:rsidRPr="00E84541">
        <w:fldChar w:fldCharType="separate"/>
      </w:r>
      <w:r w:rsidRPr="00E84541">
        <w:rPr>
          <w:noProof/>
        </w:rPr>
        <w:t>(e.g. Hogancamp and Manship 2016)</w:t>
      </w:r>
      <w:r w:rsidRPr="00E84541">
        <w:fldChar w:fldCharType="end"/>
      </w:r>
      <w:r w:rsidRPr="00E84541">
        <w:t xml:space="preserve"> – we envision that CNN techniques will go through more significant modifications as they are applied to other taxonomic groups. </w:t>
      </w:r>
    </w:p>
    <w:p w14:paraId="52E41BB9" w14:textId="77777777" w:rsidR="0053410A" w:rsidRPr="00E84541" w:rsidRDefault="0053410A" w:rsidP="0053410A">
      <w:pPr>
        <w:ind w:firstLine="720"/>
      </w:pPr>
      <w:r w:rsidRPr="00E84541">
        <w:t xml:space="preserve">Although our approach is similar to recent studies employing transfer learning in image classification (e.g. </w:t>
      </w:r>
      <w:r w:rsidRPr="00E84541">
        <w:rPr>
          <w:rStyle w:val="FootnoteReference"/>
        </w:rPr>
        <w:fldChar w:fldCharType="begin" w:fldLock="1"/>
      </w:r>
      <w:r w:rsidRPr="00E84541">
        <w:instrText>ADDIN CSL_CITATION {"citationItems":[{"id":"ITEM-1","itemData":{"DOI":"10.1186/s12862-017-1014-z","ISSN":"1471-2148","abstract":"Hundreds of herbarium collections have accumulated a valuable heritage and knowledge of plants over several centuries. Recent initiatives started ambitious preservation plans to digitize this information and make it available to botanists and the general public through web portals. However, thousands of sheets are still unidentified at the species level while numerous sheets should be reviewed and updated following more recent taxonomic knowledge. These annotations and revisions require an unrealistic amount of work for botanists to carry out in a reasonable time. Computer vision and machine learning approaches applied to herbarium sheets are promising but are still not well studied compared to automated species identification from leaf scans or pictures of plants in the field. In this work, we propose to study and evaluate the accuracy with which herbarium images can be potentially exploited for species identification with deep learning technology. In addition, we propose to study if the combination of herbarium sheets with photos of plants in the field is relevant in terms of accuracy, and finally, we explore if herbarium images from one region that has one specific flora can be used to do transfer learning to another region with other species; for example, on a region under-represented in terms of collected data. This is, to our knowledge, the first study that uses deep learning to analyze a big dataset with thousands of species from herbaria. Results show the potential of Deep Learning on herbarium species identification, particularly by training and testing across different datasets from different herbaria. This could potentially lead to the creation of a semi, or even fully automated system to help taxonomists and experts with their annotation, classification, and revision works.","author":[{"dropping-particle":"","family":"Carranza-Rojas","given":"Jose","non-dropping-particle":"","parse-names":false,"suffix":""},{"dropping-particle":"","family":"Goeau","given":"Herve","non-dropping-particle":"","parse-names":false,"suffix":""},{"dropping-particle":"","family":"Bonnet","given":"Pierre","non-dropping-particle":"","parse-names":false,"suffix":""},{"dropping-particle":"","family":"Mata-Montero","given":"Erick","non-dropping-particle":"","parse-names":false,"suffix":""},{"dropping-particle":"","family":"Joly","given":"Alexis","non-dropping-particle":"","parse-names":false,"suffix":""}],"container-title":"BMC Evolutionary Biology","id":"ITEM-1","issue":"1","issued":{"date-parts":[["2017","12","11"]]},"page":"181","publisher":"BioMed Central","title":"Going deeper in the automated identification of Herbarium specimens","type":"article-journal","volume":"17"},"uris":["http://www.mendeley.com/documents/?uuid=cb983aa2-86e4-31b4-93fd-970edddbfe2e"]},{"id":"ITEM-2","itemData":{"DOI":"10.1038/nature21056","ISSN":"0028-0836","abstract":"An artificial intelligence trained to classify images of skin lesions as benign lesions or malignant skin cancers achieves the accuracy of board-certified dermatologists.","author":[{"dropping-particle":"","family":"Esteva","given":"Andre","non-dropping-particle":"","parse-names":false,"suffix":""},{"dropping-particle":"","family":"Kuprel","given":"Brett","non-dropping-particle":"","parse-names":false,"suffix":""},{"dropping-particle":"","family":"Novoa","given":"Roberto A.","non-dropping-particle":"","parse-names":false,"suffix":""},{"dropping-particle":"","family":"Ko","given":"Justin","non-dropping-particle":"","parse-names":false,"suffix":""},{"dropping-particle":"","family":"Swetter","given":"Susan M.","non-dropping-particle":"","parse-names":false,"suffix":""},{"dropping-particle":"","family":"Blau","given":"Helen M.","non-dropping-particle":"","parse-names":false,"suffix":""},{"dropping-particle":"","family":"Thrun","given":"Sebastian","non-dropping-particle":"","parse-names":false,"suffix":""}],"container-title":"Nature","id":"ITEM-2","issue":"7639","issued":{"date-parts":[["2017","2","25"]]},"page":"115-118","publisher":"Nature Publishing Group","title":"Dermatologist-level classification of skin cancer with deep neural networks","type":"article-journal","volume":"542"},"uris":["http://www.mendeley.com/documents/?uuid=a4209ae8-b4b6-3e70-aa81-a3ee3381d82a"]},{"id":"ITEM-3","itemData":{"DOI":"10.1016/J.ECOINF.2017.07.004","ISSN":"1574-9541","abstract":"Non-intrusive monitoring of animals in the wild is possible using camera trapping networks. The cameras are triggered by sensors in order to disturb the animals as little as possible. This approach produces a high volume of data (in the order of thousands or millions of images) that demands laborious work to analyze both useless (incorrect detections, which are the most) and useful (images with presence of animals). In this work, we show that as soon as some obstacles are overcome, deep neural networks can cope with the problem of the automated species classification appropriately. As case of study, the most common 26 of 48 species from the Snapshot Serengeti (SSe) dataset were selected and the potential of the Very Deep Convolutional neural networks framework for the species identification task was analyzed. In the worst-case scenario (unbalanced training dataset containing empty images) the method reached 35.4% Top-1 and 60.4% Top-5 accuracy. For the best scenario (balanced dataset, images containing foreground animals only, and manually segmented) the accuracy reached a 88.9% Top-1 and 98.1% Top-5, respectively. To the best of our knowledge, this is the first published attempt on solving the automatic species recognition on the SSe dataset. In addition, a comparison with other approaches on a different dataset was carried out, showing that the architectures used in this work outperformed previous approaches. The limitations of the method, drawbacks, as well as new challenges in automatic camera-trap species classification are widely discussed.","author":[{"dropping-particle":"","family":"Gomez Villa","given":"Alexander","non-dropping-particle":"","parse-names":false,"suffix":""},{"dropping-particle":"","family":"Salazar","given":"Augusto","non-dropping-particle":"","parse-names":false,"suffix":""},{"dropping-particle":"","family":"Vargas","given":"Francisco","non-dropping-particle":"","parse-names":false,"suffix":""}],"container-title":"Ecological Informatics","id":"ITEM-3","issued":{"date-parts":[["2017","9","1"]]},"page":"24-32","publisher":"Elsevier","title":"Towards automatic wild animal monitoring: Identification of animal species in camera-trap images using very deep convolutional neural networks","type":"article-journal","volume":"41"},"uris":["http://www.mendeley.com/documents/?uuid=fa391bbf-5c45-3afd-9878-4c17bc39b673"]}],"mendeley":{"formattedCitation":"(Esteva et al. 2017; Gomez Villa et al. 2017; Carranza-Rojas et al. 2017)","manualFormatting":"Carranza-Rojas et al., 2017; Esteva et al., 2017; Gomez Villa et al., 2017)","plainTextFormattedCitation":"(Esteva et al. 2017; Gomez Villa et al. 2017; Carranza-Rojas et al. 2017)","previouslyFormattedCitation":"(Esteva et al. 2017; Gomez Villa et al. 2017; Carranza-Rojas et al. 2017)"},"properties":{"noteIndex":0},"schema":"https://github.com/citation-style-language/schema/raw/master/csl-citation.json"}</w:instrText>
      </w:r>
      <w:r w:rsidRPr="00E84541">
        <w:rPr>
          <w:rStyle w:val="FootnoteReference"/>
        </w:rPr>
        <w:fldChar w:fldCharType="separate"/>
      </w:r>
      <w:r w:rsidRPr="00E84541">
        <w:rPr>
          <w:noProof/>
        </w:rPr>
        <w:t>Carranza-Rojas et al., 2017; Esteva et al., 2017; Gomez Villa et al., 2017)</w:t>
      </w:r>
      <w:r w:rsidRPr="00E84541">
        <w:rPr>
          <w:rStyle w:val="FootnoteReference"/>
        </w:rPr>
        <w:fldChar w:fldCharType="end"/>
      </w:r>
      <w:r w:rsidRPr="00E84541">
        <w:t xml:space="preserve">, the work we presented achieves highly reliable fossil classification using a limited domain-specific dataset three orders-of-magnitude smaller than used in these referenced studies. </w:t>
      </w:r>
      <w:r w:rsidRPr="00E84541">
        <w:fldChar w:fldCharType="begin" w:fldLock="1"/>
      </w:r>
      <w:r w:rsidRPr="00E84541">
        <w:instrText>ADDIN CSL_CITATION {"citationItems":[{"id":"ITEM-1","itemData":{"DOI":"10.1109/CVPRW.2016.165","ISBN":"978-1-5090-1437-8","author":[{"dropping-particle":"","family":"Kong","given":"Shu","non-dropping-particle":"","parse-names":false,"suffix":""},{"dropping-particle":"","family":"Punyasena","given":"Surangi","non-dropping-particle":"","parse-names":false,"suffix":""},{"dropping-particle":"","family":"Fowlkes","given":"Charless","non-dropping-particle":"","parse-names":false,"suffix":""}],"container-title":"2016 IEEE Conference on Computer Vision and Pattern Recognition Workshops (CVPRW)","id":"ITEM-1","issued":{"date-parts":[["2016","6"]]},"page":"1305-1314","publisher":"IEEE","title":"Spatially Aware Dictionary Learning and Coding for Fossil Pollen Identification","type":"paper-conference"},"uris":["http://www.mendeley.com/documents/?uuid=f1d273b9-5832-3fb6-97fb-e078917238ac"]}],"mendeley":{"formattedCitation":"(Kong et al. 2016)","manualFormatting":"Kong et al. (2016)","plainTextFormattedCitation":"(Kong et al. 2016)","previouslyFormattedCitation":"(Kong et al. 2016)"},"properties":{"noteIndex":0},"schema":"https://github.com/citation-style-language/schema/raw/master/csl-citation.json"}</w:instrText>
      </w:r>
      <w:r w:rsidRPr="00E84541">
        <w:fldChar w:fldCharType="separate"/>
      </w:r>
      <w:r w:rsidRPr="00E84541">
        <w:rPr>
          <w:noProof/>
        </w:rPr>
        <w:t>Kong et al. (2016)</w:t>
      </w:r>
      <w:r w:rsidRPr="00E84541">
        <w:fldChar w:fldCharType="end"/>
      </w:r>
      <w:r w:rsidRPr="00E84541">
        <w:t xml:space="preserve"> used data acquired with a fluorescence microscope with a form of structured illumination to produce high-resolution, 3D image stacks. In contrast, the data we used in this study was acquired through photomicrographs (2D) taken with an inexpensive and easily available consumer camera and lens</w:t>
      </w:r>
      <w:r>
        <w:t>, as well as many samples simply obtained by searching published literature</w:t>
      </w:r>
      <w:r w:rsidRPr="00E84541">
        <w:t xml:space="preserve">. </w:t>
      </w:r>
      <w:r>
        <w:t xml:space="preserve">We assume preparation </w:t>
      </w:r>
      <w:r w:rsidRPr="00E84541">
        <w:t xml:space="preserve">of the fusulinid samples </w:t>
      </w:r>
      <w:r>
        <w:t xml:space="preserve">in all original studies </w:t>
      </w:r>
      <w:r w:rsidRPr="00E84541">
        <w:t xml:space="preserve">was done by standard methods that have been in use for decades by paleontologists. Because we used such standard image data, we predict the methodology used in this paper has potential for wide applicability and rapid deployment with minimal start-up costs. As more image data are digitized, the technique we use can be applied without the need for laboratory-specific tools and </w:t>
      </w:r>
      <w:r w:rsidRPr="00E84541">
        <w:lastRenderedPageBreak/>
        <w:t xml:space="preserve">knowledge, which represents a significant improvement over previous approaches requiring specialty image acquisition for CNN (e.g., </w:t>
      </w:r>
      <w:r w:rsidRPr="00E84541">
        <w:rPr>
          <w:rStyle w:val="FootnoteReference"/>
        </w:rPr>
        <w:fldChar w:fldCharType="begin" w:fldLock="1"/>
      </w:r>
      <w:r w:rsidRPr="00E84541">
        <w:instrText>ADDIN CSL_CITATION {"citationItems":[{"id":"ITEM-1","itemData":{"DOI":"10.1109/SSCI.2017.8285164","ISBN":"978-1-5386-2726-6","author":[{"dropping-particle":"","family":"Zhong","given":"Boxuan","non-dropping-particle":"","parse-names":false,"suffix":""},{"dropping-particle":"","family":"Ge","given":"Qian","non-dropping-particle":"","parse-names":false,"suffix":""},{"dropping-particle":"","family":"Kanakiya","given":"Bhargav","non-dropping-particle":"","parse-names":false,"suffix":""},{"dropping-particle":"","family":"Marchitto","given":"Ritayan Mitral Thomas","non-dropping-particle":"","parse-names":false,"suffix":""},{"dropping-particle":"","family":"Lobaton","given":"Edgar","non-dropping-particle":"","parse-names":false,"suffix":""}],"container-title":"2017 IEEE Symposium Series on Computational Intelligence (SSCI)","id":"ITEM-1","issued":{"date-parts":[["2017","11"]]},"page":"1-8","publisher":"IEEE","title":"A comparative study of image classification algorithms for Foraminifera identification","type":"paper-conference"},"uris":["http://www.mendeley.com/documents/?uuid=fe004a7b-4c72-3e54-8c6d-f8cf0a473a2b"]}],"mendeley":{"formattedCitation":"(Zhong et al. 2017)","manualFormatting":"Zhong et al. (2017)","plainTextFormattedCitation":"(Zhong et al. 2017)","previouslyFormattedCitation":"(Zhong et al. 2017)"},"properties":{"noteIndex":0},"schema":"https://github.com/citation-style-language/schema/raw/master/csl-citation.json"}</w:instrText>
      </w:r>
      <w:r w:rsidRPr="00E84541">
        <w:rPr>
          <w:rStyle w:val="FootnoteReference"/>
        </w:rPr>
        <w:fldChar w:fldCharType="separate"/>
      </w:r>
      <w:r w:rsidRPr="00E84541">
        <w:rPr>
          <w:noProof/>
        </w:rPr>
        <w:t>Zhong et al.</w:t>
      </w:r>
      <w:r>
        <w:rPr>
          <w:noProof/>
        </w:rPr>
        <w:t xml:space="preserve">, </w:t>
      </w:r>
      <w:r w:rsidRPr="00E84541">
        <w:rPr>
          <w:noProof/>
        </w:rPr>
        <w:t>2017)</w:t>
      </w:r>
      <w:r w:rsidRPr="00E84541">
        <w:rPr>
          <w:rStyle w:val="FootnoteReference"/>
        </w:rPr>
        <w:fldChar w:fldCharType="end"/>
      </w:r>
      <w:r>
        <w:t>. In fact, many of our samples were simply extracted from online versions of published literature, making our dataset significantly more irregular</w:t>
      </w:r>
      <w:r w:rsidRPr="00E84541">
        <w:t xml:space="preserve">. </w:t>
      </w:r>
    </w:p>
    <w:p w14:paraId="14087BD3" w14:textId="77777777" w:rsidR="0053410A" w:rsidRDefault="0053410A" w:rsidP="0053410A">
      <w:pPr>
        <w:ind w:firstLine="720"/>
      </w:pPr>
      <w:r w:rsidRPr="00E84541">
        <w:t xml:space="preserve">As digitization of legacy data accelerates, the approach presented here will improve with more detailed image processing. Image segmentation techniques can be used to clip the thin-sections containing significant presence of biotic or abiotic components (noise) besides the organism being analyzed; this will help both in the CNN training and in sequential sample classification. With more data available, object detection, the computer vision task to detect occurrences of objects of different classes </w:t>
      </w:r>
      <w:r w:rsidRPr="00E84541">
        <w:rPr>
          <w:rStyle w:val="FootnoteReference"/>
        </w:rPr>
        <w:fldChar w:fldCharType="begin" w:fldLock="1"/>
      </w:r>
      <w:r w:rsidRPr="00E84541">
        <w:instrText>ADDIN CSL_CITATION {"citationItems":[{"id":"ITEM-1","itemData":{"author":[{"dropping-particle":"","family":"Szegedy","given":"Christian","non-dropping-particle":"","parse-names":false,"suffix":""},{"dropping-particle":"","family":"Toshev","given":"Alexander","non-dropping-particle":"","parse-names":false,"suffix":""},{"dropping-particle":"","family":"Erhan","given":"Dumitru","non-dropping-particle":"","parse-names":false,"suffix":""}],"container-title":"Advances in Neural Information Processing Systems 26","editor":[{"dropping-particle":"","family":"Burges","given":"C J C","non-dropping-particle":"","parse-names":false,"suffix":""},{"dropping-particle":"","family":"Bottou","given":"L","non-dropping-particle":"","parse-names":false,"suffix":""},{"dropping-particle":"","family":"Welling","given":"M","non-dropping-particle":"","parse-names":false,"suffix":""},{"dropping-particle":"","family":"Ghahramani","given":"Z","non-dropping-particle":"","parse-names":false,"suffix":""},{"dropping-particle":"","family":"Weinberger","given":"K Q","non-dropping-particle":"","parse-names":false,"suffix":""}],"id":"ITEM-1","issued":{"date-parts":[["2013"]]},"page":"2553-2561","publisher":"Curran Associates, Inc.","title":"Deep Neural Networks for Object Detection","type":"chapter"},"uris":["http://www.mendeley.com/documents/?uuid=d2c2d3e5-1c7e-4529-9908-ceea69f02d7b"]},{"id":"ITEM-2","itemData":{"author":[{"dropping-particle":"","family":"Zhao","given":"Z.-Q.","non-dropping-particle":"","parse-names":false,"suffix":""},{"dropping-particle":"","family":"Zheng","given":"P","non-dropping-particle":"","parse-names":false,"suffix":""},{"dropping-particle":"","family":"Xu","given":"S.-t.","non-dropping-particle":"","parse-names":false,"suffix":""},{"dropping-particle":"","family":"Wu","given":"X","non-dropping-particle":"","parse-names":false,"suffix":""}],"container-title":"ArXiv e-prints","id":"ITEM-2","issued":{"date-parts":[["2018","7"]]},"title":"Object Detection with Deep Learning: A Review","type":"article-journal"},"uris":["http://www.mendeley.com/documents/?uuid=ae301972-5ee2-497d-b7db-5a5e1a0d02cf"]},{"id":"ITEM-3","itemData":{"author":[{"dropping-particle":"","family":"Agarwal","given":"S","non-dropping-particle":"","parse-names":false,"suffix":""},{"dropping-particle":"","family":"Ogier Du Terrail","given":"J","non-dropping-particle":"","parse-names":false,"suffix":""},{"dropping-particle":"","family":"Jurie","given":"F","non-dropping-particle":"","parse-names":false,"suffix":""}],"container-title":"ArXiv e-prints","id":"ITEM-3","issued":{"date-parts":[["2018","9"]]},"title":"Recent Advances in Object Detection in the Age of Deep Convolutional Neural Networks","type":"article-journal"},"uris":["http://www.mendeley.com/documents/?uuid=247eea00-a1e9-439e-a1e5-205dcf08a349"]}],"mendeley":{"formattedCitation":"(Szegedy et al. 2013; Zhao et al. 2018; Agarwal et al. 2018)","plainTextFormattedCitation":"(Szegedy et al. 2013; Zhao et al. 2018; Agarwal et al. 2018)","previouslyFormattedCitation":"(Szegedy et al. 2013; Zhao et al. 2018; Agarwal et al. 2018)"},"properties":{"noteIndex":0},"schema":"https://github.com/citation-style-language/schema/raw/master/csl-citation.json"}</w:instrText>
      </w:r>
      <w:r w:rsidRPr="00E84541">
        <w:rPr>
          <w:rStyle w:val="FootnoteReference"/>
        </w:rPr>
        <w:fldChar w:fldCharType="separate"/>
      </w:r>
      <w:r w:rsidRPr="00E84541">
        <w:rPr>
          <w:bCs/>
          <w:noProof/>
        </w:rPr>
        <w:t>(Szegedy et al.</w:t>
      </w:r>
      <w:r>
        <w:rPr>
          <w:bCs/>
          <w:noProof/>
        </w:rPr>
        <w:t>,</w:t>
      </w:r>
      <w:r w:rsidRPr="00E84541">
        <w:rPr>
          <w:bCs/>
          <w:noProof/>
        </w:rPr>
        <w:t xml:space="preserve"> 2013; Zhao et al.</w:t>
      </w:r>
      <w:r>
        <w:rPr>
          <w:bCs/>
          <w:noProof/>
        </w:rPr>
        <w:t>,</w:t>
      </w:r>
      <w:r w:rsidRPr="00E84541">
        <w:rPr>
          <w:bCs/>
          <w:noProof/>
        </w:rPr>
        <w:t xml:space="preserve"> 2018; Agarwal et al.</w:t>
      </w:r>
      <w:r>
        <w:rPr>
          <w:bCs/>
          <w:noProof/>
        </w:rPr>
        <w:t>,</w:t>
      </w:r>
      <w:r w:rsidRPr="00E84541">
        <w:rPr>
          <w:bCs/>
          <w:noProof/>
        </w:rPr>
        <w:t xml:space="preserve"> 2018)</w:t>
      </w:r>
      <w:r w:rsidRPr="00E84541">
        <w:rPr>
          <w:rStyle w:val="FootnoteReference"/>
        </w:rPr>
        <w:fldChar w:fldCharType="end"/>
      </w:r>
      <w:r w:rsidRPr="00E84541">
        <w:t>, can be applied, increasing the potential of paleo-tailored CNN’s in the identification of varying taxa captured in the same sample. The technique we demonstrated in this paper is very general and can easily be modified to suit the identification of different fossil groups, such as conodonts, ostracods, ammonites, and others, as long as the specimen can be classified with a 2-dimensional representation (thin-section or comparable digital image)</w:t>
      </w:r>
      <w:r>
        <w:t xml:space="preserve">. </w:t>
      </w:r>
    </w:p>
    <w:p w14:paraId="24830B8C" w14:textId="77777777" w:rsidR="0053410A" w:rsidRPr="00E84541" w:rsidRDefault="0053410A" w:rsidP="0053410A">
      <w:pPr>
        <w:ind w:firstLine="720"/>
      </w:pPr>
      <w:r>
        <w:t xml:space="preserve">However, we acknowledge that CNNs may be harder to apply to other fossil groups. For example, in trilobites it is unusual to find a complete specimen; in most cases the membrane connecting the thorax, cephalon, and pygidium will deteriorate, causing the exoskeleton to fall apart. This leads to paleontologists having to make identifications using fragmented and isolated sclerites. Using trilobite sclerite images as a means of training and classification would likely not work as well as a dataset with complete specimens, such as those that can be obtained for other fossil groups. </w:t>
      </w:r>
    </w:p>
    <w:p w14:paraId="525EAEAF" w14:textId="77777777" w:rsidR="0053410A" w:rsidRPr="00E84541" w:rsidRDefault="0053410A" w:rsidP="0053410A">
      <w:pPr>
        <w:ind w:firstLine="720"/>
      </w:pPr>
      <w:r w:rsidRPr="00E84541">
        <w:lastRenderedPageBreak/>
        <w:t xml:space="preserve">As the CNN models are trained with expert labeled data, such expertise is captured in the </w:t>
      </w:r>
      <w:r>
        <w:t xml:space="preserve">model’s weights </w:t>
      </w:r>
      <w:r w:rsidRPr="00E84541">
        <w:t xml:space="preserve">in the deep neural network. Therefore, a CNN model, trained on different collections and having input from different paleontologist experts, provides a means of sharing collections and interpretations across great distances. A fusulinid expert working in the US can help train a CNN fusulinid classifier and such a model (and an abstract form of the expert knowledge) can be used in Asia with no significant cost; in the meantime, researchers working with </w:t>
      </w:r>
      <w:r w:rsidRPr="00E84541">
        <w:rPr>
          <w:i/>
        </w:rPr>
        <w:t>Saccorhytus</w:t>
      </w:r>
      <w:r w:rsidRPr="00E84541">
        <w:t xml:space="preserve"> fossils in China </w:t>
      </w:r>
      <w:r w:rsidRPr="00E84541">
        <w:rPr>
          <w:rStyle w:val="FootnoteReference"/>
        </w:rPr>
        <w:fldChar w:fldCharType="begin" w:fldLock="1"/>
      </w:r>
      <w:r w:rsidRPr="00E84541">
        <w:instrText>ADDIN CSL_CITATION {"citationItems":[{"id":"ITEM-1","itemData":{"DOI":"10.1038/nature21072","ISSN":"0028-0836","abstract":"Saccorhytus coronarius are millimetric fossils from the early Cambrian period in China that are proposed to represent the most basal known deuterostomes.","author":[{"dropping-particle":"","family":"Han","given":"Jian","non-dropping-particle":"","parse-names":false,"suffix":""},{"dropping-particle":"","family":"Morris","given":"Simon Conway","non-dropping-particle":"","parse-names":false,"suffix":""},{"dropping-particle":"","family":"Ou","given":"Qiang","non-dropping-particle":"","parse-names":false,"suffix":""},{"dropping-particle":"","family":"Shu","given":"Degan","non-dropping-particle":"","parse-names":false,"suffix":""},{"dropping-particle":"","family":"Huang","given":"Hai","non-dropping-particle":"","parse-names":false,"suffix":""}],"container-title":"Nature","id":"ITEM-1","issue":"7640","issued":{"date-parts":[["2017","1","30"]]},"page":"228-231","publisher":"Nature Publishing Group","title":"Meiofaunal deuterostomes from the basal Cambrian of Shaanxi (China)","type":"article-journal","volume":"542"},"uris":["http://www.mendeley.com/documents/?uuid=71b846b5-065d-3c4d-86ad-a9cf48c16624"]}],"mendeley":{"formattedCitation":"(Han et al. 2017)","plainTextFormattedCitation":"(Han et al. 2017)","previouslyFormattedCitation":"(Han et al. 2017)"},"properties":{"noteIndex":0},"schema":"https://github.com/citation-style-language/schema/raw/master/csl-citation.json"}</w:instrText>
      </w:r>
      <w:r w:rsidRPr="00E84541">
        <w:rPr>
          <w:rStyle w:val="FootnoteReference"/>
        </w:rPr>
        <w:fldChar w:fldCharType="separate"/>
      </w:r>
      <w:r w:rsidRPr="00E84541">
        <w:rPr>
          <w:bCs/>
          <w:noProof/>
        </w:rPr>
        <w:t>(Han et al.</w:t>
      </w:r>
      <w:r>
        <w:rPr>
          <w:bCs/>
          <w:noProof/>
        </w:rPr>
        <w:t>,</w:t>
      </w:r>
      <w:r w:rsidRPr="00E84541">
        <w:rPr>
          <w:bCs/>
          <w:noProof/>
        </w:rPr>
        <w:t xml:space="preserve"> 2017)</w:t>
      </w:r>
      <w:r w:rsidRPr="00E84541">
        <w:rPr>
          <w:rStyle w:val="FootnoteReference"/>
        </w:rPr>
        <w:fldChar w:fldCharType="end"/>
      </w:r>
      <w:r w:rsidRPr="00E84541">
        <w:t xml:space="preserve"> can train another CNN to classify their data. Such ease in the exchange of knowledge can help validate interpretations of data spread around the world. </w:t>
      </w:r>
    </w:p>
    <w:p w14:paraId="15604B97" w14:textId="77777777" w:rsidR="0053410A" w:rsidRDefault="0053410A" w:rsidP="0053410A">
      <w:pPr>
        <w:ind w:firstLine="720"/>
      </w:pPr>
      <w:r w:rsidRPr="00E84541">
        <w:t>If we are able to capture and mix different paleontological expertise (training CNNs to identify a wide range of taxa), such models can be helpful to identify specimens that might have previously been misclassified. The combination of CNN as an easy-to-use but highly accurate tool and the digitization of stored paleontological samples can provide a rapid method to bring collections residing in museum drawers for decades to light. With easy access to this valuable data, the</w:t>
      </w:r>
      <w:r>
        <w:t xml:space="preserve"> </w:t>
      </w:r>
      <w:r w:rsidRPr="00E84541">
        <w:t>community can then apply modern statistics to better analyze spatial and temporal distributions, construct more precise assemblages, or simply</w:t>
      </w:r>
      <w:r>
        <w:t xml:space="preserve"> </w:t>
      </w:r>
      <w:r w:rsidRPr="00E84541">
        <w:t>track evolutionary trends</w:t>
      </w:r>
      <w:r>
        <w:t xml:space="preserve"> more effectively</w:t>
      </w:r>
      <w:r w:rsidRPr="00E84541">
        <w:t>. We should not discount</w:t>
      </w:r>
      <w:r>
        <w:t xml:space="preserve"> the </w:t>
      </w:r>
      <w:r w:rsidRPr="00E84541">
        <w:t>“discovery” component</w:t>
      </w:r>
      <w:r>
        <w:t>;</w:t>
      </w:r>
      <w:r w:rsidRPr="00E84541">
        <w:t xml:space="preserve"> </w:t>
      </w:r>
      <w:r>
        <w:t>m</w:t>
      </w:r>
      <w:r w:rsidRPr="00E84541">
        <w:t xml:space="preserve">useums commonly have a special exhibition of a fossil or bone that was collected decades ago and was only now identified as a new genus/species. </w:t>
      </w:r>
    </w:p>
    <w:p w14:paraId="2A40956E" w14:textId="77777777" w:rsidR="0053410A" w:rsidRPr="00E84541" w:rsidRDefault="0053410A" w:rsidP="0053410A">
      <w:pPr>
        <w:ind w:firstLine="720"/>
      </w:pPr>
    </w:p>
    <w:p w14:paraId="0AB171EF" w14:textId="77777777" w:rsidR="004713B9" w:rsidRPr="00E84541" w:rsidRDefault="005A60FA" w:rsidP="004F4884">
      <w:pPr>
        <w:pStyle w:val="Heading2"/>
      </w:pPr>
      <w:bookmarkStart w:id="199" w:name="_Toc26534617"/>
      <w:r>
        <w:t>Conclusion</w:t>
      </w:r>
      <w:bookmarkEnd w:id="199"/>
    </w:p>
    <w:p w14:paraId="546C908D" w14:textId="77777777" w:rsidR="0053410A" w:rsidRPr="00E84541" w:rsidRDefault="0053410A" w:rsidP="0053410A">
      <w:pPr>
        <w:ind w:firstLine="720"/>
      </w:pPr>
      <w:r>
        <w:t xml:space="preserve">The most evident drawback of the methodology we apply here is its current dependency on a large amount of data to generate robust classification models. The dataset we use was </w:t>
      </w:r>
      <w:r w:rsidRPr="00E84541">
        <w:lastRenderedPageBreak/>
        <w:t xml:space="preserve">created with </w:t>
      </w:r>
      <w:r>
        <w:t>relatively</w:t>
      </w:r>
      <w:r w:rsidRPr="00E84541">
        <w:t xml:space="preserve"> few original images, </w:t>
      </w:r>
      <w:r>
        <w:t xml:space="preserve">even though it uses images from different sources. Notwithstanding, our tests show that CNNs can </w:t>
      </w:r>
      <w:r w:rsidRPr="00E84541">
        <w:t>correctly identif</w:t>
      </w:r>
      <w:r>
        <w:t>y</w:t>
      </w:r>
      <w:r w:rsidRPr="00E84541">
        <w:t xml:space="preserve"> fusulinid specimens to genus level with a significantly high probability when compared to the other taxonomic classification options. With access to more labeled data, training can be improved, </w:t>
      </w:r>
      <w:r>
        <w:t xml:space="preserve">enabling </w:t>
      </w:r>
      <w:r w:rsidRPr="00E84541">
        <w:t xml:space="preserve">the generation of a model sufficiently robust to overcome complications such as the presence of more than one specimen, geologic noise, </w:t>
      </w:r>
      <w:r>
        <w:t>among others</w:t>
      </w:r>
      <w:r w:rsidRPr="00E84541">
        <w:t>. The move towards digitization of biological and paleontological collections at numerous museums will provide the big</w:t>
      </w:r>
      <w:r>
        <w:t xml:space="preserve"> </w:t>
      </w:r>
      <w:r w:rsidRPr="00E84541">
        <w:t>data enhancement to enable assessment of the CNN methodology for examples of fossils from around the world, and ultimate</w:t>
      </w:r>
      <w:r>
        <w:t>ly</w:t>
      </w:r>
      <w:r w:rsidRPr="00E84541">
        <w:t xml:space="preserve"> identification to species level. </w:t>
      </w:r>
    </w:p>
    <w:p w14:paraId="63F249F0" w14:textId="77777777" w:rsidR="0053410A" w:rsidRPr="00E84541" w:rsidRDefault="0053410A" w:rsidP="0053410A">
      <w:pPr>
        <w:ind w:firstLine="720"/>
      </w:pPr>
      <w:r w:rsidRPr="00E84541">
        <w:t>Efforts in data digitization are important initiatives to protect scientific knowledge and the approach documented here contributes to such endeavors, and aids the use of biostratigraphic data in the scientific community. Biological variation, differences in specimen size, different imaging techniques, and other considerations will complicate the</w:t>
      </w:r>
      <w:r>
        <w:t xml:space="preserve"> automation of the classification process</w:t>
      </w:r>
      <w:r w:rsidRPr="00E84541">
        <w:t xml:space="preserve">, but </w:t>
      </w:r>
      <w:r>
        <w:t xml:space="preserve">can </w:t>
      </w:r>
      <w:r w:rsidRPr="00E84541">
        <w:t>ultimately lead to deeper</w:t>
      </w:r>
      <w:r>
        <w:t xml:space="preserve"> understanding</w:t>
      </w:r>
      <w:r w:rsidRPr="00E84541">
        <w:t>, and significant enhancement for all work that relies upon fossil identification.</w:t>
      </w:r>
    </w:p>
    <w:p w14:paraId="610B586C" w14:textId="77777777" w:rsidR="004713B9" w:rsidRPr="00E84541" w:rsidRDefault="004713B9" w:rsidP="004F4884">
      <w:pPr>
        <w:pStyle w:val="Heading2"/>
      </w:pPr>
      <w:r w:rsidRPr="00E84541">
        <w:br w:type="page"/>
      </w:r>
      <w:bookmarkStart w:id="200" w:name="_Toc26534618"/>
      <w:r w:rsidR="005A60FA">
        <w:lastRenderedPageBreak/>
        <w:t>Acknowledgements</w:t>
      </w:r>
      <w:bookmarkEnd w:id="200"/>
      <w:r w:rsidR="005A60FA">
        <w:t xml:space="preserve"> </w:t>
      </w:r>
    </w:p>
    <w:p w14:paraId="0B4C1814" w14:textId="77777777" w:rsidR="0019756A" w:rsidRDefault="004713B9" w:rsidP="0019756A">
      <w:pPr>
        <w:ind w:firstLine="720"/>
      </w:pPr>
      <w:r w:rsidRPr="00E84541">
        <w:t xml:space="preserve">We thank the iDigBio initiative for providing access to the community for biodiversity collections data. Rafael acknowledges CNPq (grant 203589/2014-9) for the financial support and CPRM for granting the leave of absence allowing the pursuit of his Ph.D. studies. </w:t>
      </w:r>
    </w:p>
    <w:p w14:paraId="01447FE0" w14:textId="77777777" w:rsidR="0031048F" w:rsidRDefault="0031048F">
      <w:pPr>
        <w:spacing w:line="240" w:lineRule="auto"/>
        <w:rPr>
          <w:rFonts w:cstheme="minorHAnsi"/>
        </w:rPr>
      </w:pPr>
      <w:r>
        <w:rPr>
          <w:rFonts w:cstheme="minorHAnsi"/>
        </w:rPr>
        <w:br w:type="page"/>
      </w:r>
    </w:p>
    <w:p w14:paraId="3BEA683A" w14:textId="77777777" w:rsidR="0031048F" w:rsidRPr="00E84541" w:rsidRDefault="009E2892" w:rsidP="004F4884">
      <w:pPr>
        <w:pStyle w:val="Heading2"/>
      </w:pPr>
      <w:bookmarkStart w:id="201" w:name="_Toc26534619"/>
      <w:r w:rsidRPr="00E84541">
        <w:lastRenderedPageBreak/>
        <w:t>A</w:t>
      </w:r>
      <w:r>
        <w:t>ppendix</w:t>
      </w:r>
      <w:r w:rsidR="0031048F" w:rsidRPr="00E84541">
        <w:t xml:space="preserve"> 1. </w:t>
      </w:r>
      <w:r>
        <w:t>Basics of deep convolutional neural networks</w:t>
      </w:r>
      <w:bookmarkEnd w:id="201"/>
    </w:p>
    <w:p w14:paraId="2AAD4739" w14:textId="77777777" w:rsidR="004D5986" w:rsidRPr="00E84541" w:rsidRDefault="004D5986" w:rsidP="004D5986">
      <w:pPr>
        <w:pStyle w:val="Abstract"/>
        <w:spacing w:line="480" w:lineRule="auto"/>
      </w:pPr>
      <w:r w:rsidRPr="00E84541">
        <w:t xml:space="preserve">In this section we provide the reader with an overview of the essentials of image convolution, deep learning, and convolutional neural networks (CNNs). We avoid detailed mathematical explanation but rather build the fundamental intuition necessary for CNNs comprehension and usage through figures and examples. </w:t>
      </w:r>
      <w:r w:rsidRPr="00E84541">
        <w:fldChar w:fldCharType="begin" w:fldLock="1"/>
      </w:r>
      <w:r w:rsidRPr="00E84541">
        <w:instrText>ADDIN CSL_CITATION {"citationItems":[{"id":"ITEM-1","itemData":{"DOI":"10.1038/nature14539","ISSN":"0028-0836","abstract":"Deep learning","author":[{"dropping-particle":"","family":"LeCun","given":"Yann","non-dropping-particle":"","parse-names":false,"suffix":""},{"dropping-particle":"","family":"Bengio","given":"Yoshua","non-dropping-particle":"","parse-names":false,"suffix":""},{"dropping-particle":"","family":"Hinton","given":"Geoffrey","non-dropping-particle":"","parse-names":false,"suffix":""}],"container-title":"Nature","id":"ITEM-1","issue":"7553","issued":{"date-parts":[["2015","5","28"]]},"page":"436-444","publisher":"Nature Publishing Group","title":"Deep learning","type":"article-journal","volume":"521"},"uris":["http://www.mendeley.com/documents/?uuid=0649e55b-84c4-3d3a-a37b-adcdaa740493"]}],"mendeley":{"formattedCitation":"(LeCun et al. 2015)","manualFormatting":"LeCun et al. (2015)","plainTextFormattedCitation":"(LeCun et al. 2015)","previouslyFormattedCitation":"(LeCun et al. 2015)"},"properties":{"noteIndex":0},"schema":"https://github.com/citation-style-language/schema/raw/master/csl-citation.json"}</w:instrText>
      </w:r>
      <w:r w:rsidRPr="00E84541">
        <w:fldChar w:fldCharType="separate"/>
      </w:r>
      <w:r w:rsidRPr="00E84541">
        <w:rPr>
          <w:noProof/>
        </w:rPr>
        <w:t>LeCun et al. (2015)</w:t>
      </w:r>
      <w:r w:rsidRPr="00E84541">
        <w:fldChar w:fldCharType="end"/>
      </w:r>
      <w:r w:rsidRPr="00E84541">
        <w:t xml:space="preserve"> provide a comprehensive description of deep learning, with information about the building blocks and techniques common to several artificial intelligence applications.</w:t>
      </w:r>
      <w:r>
        <w:t xml:space="preserve"> </w:t>
      </w:r>
      <w:r w:rsidRPr="00E84541">
        <w:rPr>
          <w:rStyle w:val="FootnoteReference"/>
          <w:noProof/>
        </w:rPr>
        <w:fldChar w:fldCharType="begin" w:fldLock="1"/>
      </w:r>
      <w:r w:rsidRPr="00E84541">
        <w:rPr>
          <w:noProof/>
        </w:rPr>
        <w:instrText>ADDIN CSL_CITATION {"citationItems":[{"id":"ITEM-1","itemData":{"author":[{"dropping-particle":"","family":"Dumoulin","given":"V","non-dropping-particle":"","parse-names":false,"suffix":""},{"dropping-particle":"","family":"Visin","given":"F","non-dropping-particle":"","parse-names":false,"suffix":""}],"container-title":"ArXiv e-prints","id":"ITEM-1","issued":{"date-parts":[["2016","3"]]},"title":"A guide to convolution arithmetic for deep learning","type":"article-journal"},"uris":["http://www.mendeley.com/documents/?uuid=ca964fad-8eae-4ccf-aa36-0a3d2463c2ff"]}],"mendeley":{"formattedCitation":"(Dumoulin and Visin 2016)","manualFormatting":"Dumoulin and Visin (2016)","plainTextFormattedCitation":"(Dumoulin and Visin 2016)","previouslyFormattedCitation":"(Dumoulin and Visin 2016)"},"properties":{"noteIndex":0},"schema":"https://github.com/citation-style-language/schema/raw/master/csl-citation.json"}</w:instrText>
      </w:r>
      <w:r w:rsidRPr="00E84541">
        <w:rPr>
          <w:rStyle w:val="FootnoteReference"/>
          <w:noProof/>
        </w:rPr>
        <w:fldChar w:fldCharType="separate"/>
      </w:r>
      <w:r w:rsidRPr="00E84541">
        <w:rPr>
          <w:noProof/>
        </w:rPr>
        <w:t>Dumoulin and Visin (2016)</w:t>
      </w:r>
      <w:r w:rsidRPr="00E84541">
        <w:rPr>
          <w:rStyle w:val="FootnoteReference"/>
          <w:noProof/>
        </w:rPr>
        <w:fldChar w:fldCharType="end"/>
      </w:r>
      <w:r w:rsidRPr="00E84541">
        <w:rPr>
          <w:noProof/>
        </w:rPr>
        <w:t xml:space="preserve"> showed details on convolutions and arithmetic for deep learning procedures.</w:t>
      </w:r>
      <w:r w:rsidRPr="00E84541">
        <w:t xml:space="preserve"> </w:t>
      </w:r>
      <w:r w:rsidRPr="00E84541">
        <w:fldChar w:fldCharType="begin" w:fldLock="1"/>
      </w:r>
      <w:r w:rsidRPr="00E84541">
        <w:instrText>ADDIN CSL_CITATION {"citationItems":[{"id":"ITEM-1","itemData":{"author":[{"dropping-particle":"","family":"Krizhevsky","given":"Alex","non-dropping-particle":"","parse-names":false,"suffix":""},{"dropping-particle":"","family":"Sutskever","given":"Ilya","non-dropping-particle":"","parse-names":false,"suffix":""},{"dropping-particle":"","family":"Hinton","given":"Geoffrey E","non-dropping-particle":"","parse-names":false,"suffix":""}],"collection-title":"NIPS'12","container-title":"Proceedings of the 25th International Conference on Neural Information Processing Systems - Volume 1","id":"ITEM-1","issued":{"date-parts":[["2012"]]},"page":"1097-1105","publisher":"Curran Associates Inc.","publisher-place":"USA","title":"ImageNet Classification with Deep Convolutional Neural Networks","type":"paper-conference"},"uris":["http://www.mendeley.com/documents/?uuid=d1bdbb5f-bb6d-464f-b23e-e9ad964cafa2"]}],"mendeley":{"formattedCitation":"(Krizhevsky et al. 2012)","manualFormatting":"Krizhevsky et al.'s (2012","plainTextFormattedCitation":"(Krizhevsky et al. 2012)","previouslyFormattedCitation":"(Krizhevsky et al. 2012)"},"properties":{"noteIndex":0},"schema":"https://github.com/citation-style-language/schema/raw/master/csl-citation.json"}</w:instrText>
      </w:r>
      <w:r w:rsidRPr="00E84541">
        <w:fldChar w:fldCharType="separate"/>
      </w:r>
      <w:r w:rsidRPr="00E84541">
        <w:rPr>
          <w:noProof/>
        </w:rPr>
        <w:t>Krizhevsky et al.'s (2012</w:t>
      </w:r>
      <w:r w:rsidRPr="00E84541">
        <w:fldChar w:fldCharType="end"/>
      </w:r>
      <w:r w:rsidRPr="00E84541">
        <w:t>) work is considered a breakthrough that used CNNs to reduce the error rate for object recognition tasks by almost 50%, leading to the subsequent adoption of deep learning in multiple fields of study.</w:t>
      </w:r>
    </w:p>
    <w:p w14:paraId="549225F4" w14:textId="77777777" w:rsidR="004D5986" w:rsidRPr="00E84541" w:rsidRDefault="004D5986" w:rsidP="004F4884">
      <w:pPr>
        <w:pStyle w:val="Heading3"/>
      </w:pPr>
      <w:bookmarkStart w:id="202" w:name="_Toc26534620"/>
      <w:r w:rsidRPr="00E84541">
        <w:t>Images and convolution</w:t>
      </w:r>
      <w:bookmarkEnd w:id="202"/>
    </w:p>
    <w:p w14:paraId="05C6F017" w14:textId="77777777" w:rsidR="004D5986" w:rsidRPr="00E84541" w:rsidRDefault="004D5986" w:rsidP="004D5986">
      <w:pPr>
        <w:pStyle w:val="Abstract"/>
        <w:spacing w:line="480" w:lineRule="auto"/>
      </w:pPr>
      <w:r w:rsidRPr="00E84541">
        <w:t xml:space="preserve">Images can be digitally stored in several different ways. Raster images (as opposed to vector graphics) are built upon the characteristics of single points (pixels - short for Picture Element). Each pixel has attributes that comprise the data necessary to represent that part of the picture. An image is a grid or matrix of such pixels. </w:t>
      </w:r>
    </w:p>
    <w:p w14:paraId="3BF54BCB" w14:textId="77777777" w:rsidR="004D5986" w:rsidRPr="00E84541" w:rsidRDefault="004D5986" w:rsidP="004D5986">
      <w:pPr>
        <w:pStyle w:val="Abstract"/>
        <w:spacing w:line="480" w:lineRule="auto"/>
      </w:pPr>
      <w:r w:rsidRPr="00E84541">
        <w:t>Although there are different ways for the pixels to be archived,</w:t>
      </w:r>
      <w:r>
        <w:t xml:space="preserve"> one of </w:t>
      </w:r>
      <w:r w:rsidRPr="00E84541">
        <w:t xml:space="preserve"> the most common </w:t>
      </w:r>
      <w:r>
        <w:t xml:space="preserve">methods of </w:t>
      </w:r>
      <w:r w:rsidRPr="00E84541">
        <w:t>storage is to use different levels of red, green, and blue (RGB) to represent a wide range of colors, such that an image file then can be split into its three building bands or channels (</w:t>
      </w:r>
      <w:r w:rsidRPr="00E84541">
        <w:fldChar w:fldCharType="begin"/>
      </w:r>
      <w:r w:rsidRPr="00E84541">
        <w:instrText xml:space="preserve"> REF _Ref529125869 \h  \* MERGEFORMAT </w:instrText>
      </w:r>
      <w:r w:rsidRPr="00E84541">
        <w:fldChar w:fldCharType="separate"/>
      </w:r>
      <w:r w:rsidRPr="00E84541">
        <w:t xml:space="preserve">Figure A. </w:t>
      </w:r>
      <w:r w:rsidRPr="00E84541">
        <w:rPr>
          <w:noProof/>
        </w:rPr>
        <w:t>1</w:t>
      </w:r>
      <w:r w:rsidRPr="00E84541">
        <w:fldChar w:fldCharType="end"/>
      </w:r>
      <w:r w:rsidRPr="00E84541">
        <w:t xml:space="preserve">). Therefore, images are digitally stored as a 3D volume, defined by a height, a width, and a “depth” of the three channels. This matrix structure is amenable to diverse image processing techniques, such as convolutions, that are essential for the image recognition tasks performed by CNNs. </w:t>
      </w:r>
    </w:p>
    <w:p w14:paraId="4C696F61" w14:textId="77777777" w:rsidR="004D5986" w:rsidRPr="00E84541" w:rsidRDefault="004D5986" w:rsidP="004D5986">
      <w:pPr>
        <w:pStyle w:val="Abstract"/>
        <w:spacing w:line="480" w:lineRule="auto"/>
      </w:pPr>
      <w:r w:rsidRPr="00E84541">
        <w:lastRenderedPageBreak/>
        <w:t xml:space="preserve">Convolutions are oftentimes considered to be the most important operation in signal processing. Convolutions are a linear operation in which an input is filtered by a function (or kernel) generating an output; such operations can be generalized to </w:t>
      </w:r>
      <w:r w:rsidRPr="00E84541">
        <w:rPr>
          <w:i/>
        </w:rPr>
        <w:t>n</w:t>
      </w:r>
      <w:r w:rsidRPr="00E84541">
        <w:t>-dimensional spaces. Convolutions are related to cross-variance and are used in different fields with slightly different definitions, all essentially depicting the same operation. Here, to continue developing the essential intuition of how CNNs operate for image recognition tasks, we use 2D convolutions applied to each color image, one at a time. In our images, the kernel slides from left-to-right then top-to-bottom.</w:t>
      </w:r>
    </w:p>
    <w:p w14:paraId="03E2C4C4" w14:textId="77777777" w:rsidR="004D5986" w:rsidRPr="00E84541" w:rsidRDefault="004D5986" w:rsidP="004D5986">
      <w:pPr>
        <w:pStyle w:val="Abstract"/>
        <w:spacing w:line="480" w:lineRule="auto"/>
      </w:pPr>
      <w:r w:rsidRPr="00E84541">
        <w:fldChar w:fldCharType="begin"/>
      </w:r>
      <w:r w:rsidRPr="00E84541">
        <w:instrText xml:space="preserve"> REF _Ref529125886 \h  \* MERGEFORMAT </w:instrText>
      </w:r>
      <w:r w:rsidRPr="00E84541">
        <w:fldChar w:fldCharType="separate"/>
      </w:r>
      <w:r w:rsidRPr="00E84541">
        <w:t xml:space="preserve">Figure A. </w:t>
      </w:r>
      <w:r w:rsidRPr="00E84541">
        <w:rPr>
          <w:noProof/>
        </w:rPr>
        <w:t>2</w:t>
      </w:r>
      <w:r w:rsidRPr="00E84541">
        <w:fldChar w:fldCharType="end"/>
      </w:r>
      <w:r w:rsidRPr="00E84541">
        <w:t xml:space="preserve"> shows how convolutions are performed using 2D matrices and a 3 by 3 kernel. The kernel slides through an input and generates an output. The computation performed at each step is a simple convolution, or sum of the values of the input aligned and weighted by the values of the kernel themselves. Special care needs to be taken for image borders. The stride of the computation can be every pixel, every second pixel or some other multiple </w:t>
      </w:r>
      <w:r w:rsidRPr="00E84541">
        <w:fldChar w:fldCharType="begin" w:fldLock="1"/>
      </w:r>
      <w:r w:rsidRPr="00E84541">
        <w:instrText>ADDIN CSL_CITATION {"citationItems":[{"id":"ITEM-1","itemData":{"author":[{"dropping-particle":"","family":"Dumoulin","given":"V","non-dropping-particle":"","parse-names":false,"suffix":""},{"dropping-particle":"","family":"Visin","given":"F","non-dropping-particle":"","parse-names":false,"suffix":""}],"container-title":"ArXiv e-prints","id":"ITEM-1","issued":{"date-parts":[["2016","3"]]},"title":"A guide to convolution arithmetic for deep learning","type":"article-journal"},"uris":["http://www.mendeley.com/documents/?uuid=ca964fad-8eae-4ccf-aa36-0a3d2463c2ff"]}],"mendeley":{"formattedCitation":"(Dumoulin and Visin 2016)","plainTextFormattedCitation":"(Dumoulin and Visin 2016)","previouslyFormattedCitation":"(Dumoulin and Visin 2016)"},"properties":{"noteIndex":0},"schema":"https://github.com/citation-style-language/schema/raw/master/csl-citation.json"}</w:instrText>
      </w:r>
      <w:r w:rsidRPr="00E84541">
        <w:fldChar w:fldCharType="separate"/>
      </w:r>
      <w:r w:rsidRPr="00E84541">
        <w:rPr>
          <w:noProof/>
        </w:rPr>
        <w:t>(Dumoulin and Visin</w:t>
      </w:r>
      <w:r>
        <w:rPr>
          <w:noProof/>
        </w:rPr>
        <w:t>,</w:t>
      </w:r>
      <w:r w:rsidRPr="00E84541">
        <w:rPr>
          <w:noProof/>
        </w:rPr>
        <w:t xml:space="preserve"> 2016)</w:t>
      </w:r>
      <w:r w:rsidRPr="00E84541">
        <w:fldChar w:fldCharType="end"/>
      </w:r>
      <w:r w:rsidRPr="00E84541">
        <w:t xml:space="preserve">. Note the output in </w:t>
      </w:r>
      <w:r w:rsidRPr="00E84541">
        <w:fldChar w:fldCharType="begin"/>
      </w:r>
      <w:r w:rsidRPr="00E84541">
        <w:instrText xml:space="preserve"> REF _Ref529125886 \h  \* MERGEFORMAT </w:instrText>
      </w:r>
      <w:r w:rsidRPr="00E84541">
        <w:fldChar w:fldCharType="separate"/>
      </w:r>
      <w:r w:rsidRPr="00E84541">
        <w:t xml:space="preserve">Figure A. </w:t>
      </w:r>
      <w:r w:rsidRPr="00E84541">
        <w:rPr>
          <w:noProof/>
        </w:rPr>
        <w:t>2</w:t>
      </w:r>
      <w:r w:rsidRPr="00E84541">
        <w:fldChar w:fldCharType="end"/>
      </w:r>
      <w:r w:rsidRPr="00E84541">
        <w:t xml:space="preserve"> does not have the same size as the input. Kernel sizes other than 3 x 3 can be used with the same essential technique. </w:t>
      </w:r>
    </w:p>
    <w:p w14:paraId="2DA35597" w14:textId="77777777" w:rsidR="004D5986" w:rsidRPr="00E84541" w:rsidRDefault="004D5986" w:rsidP="004D5986">
      <w:pPr>
        <w:pStyle w:val="Abstract"/>
        <w:spacing w:line="480" w:lineRule="auto"/>
      </w:pPr>
      <w:r w:rsidRPr="00E84541">
        <w:t xml:space="preserve">In </w:t>
      </w:r>
      <w:r w:rsidRPr="00E84541">
        <w:fldChar w:fldCharType="begin"/>
      </w:r>
      <w:r w:rsidRPr="00E84541">
        <w:instrText xml:space="preserve"> REF _Ref529125915 \h  \* MERGEFORMAT </w:instrText>
      </w:r>
      <w:r w:rsidRPr="00E84541">
        <w:fldChar w:fldCharType="separate"/>
      </w:r>
      <w:r w:rsidRPr="00E84541">
        <w:t xml:space="preserve">Figure A. </w:t>
      </w:r>
      <w:r w:rsidRPr="00E84541">
        <w:rPr>
          <w:noProof/>
        </w:rPr>
        <w:t>3</w:t>
      </w:r>
      <w:r w:rsidRPr="00E84541">
        <w:fldChar w:fldCharType="end"/>
      </w:r>
      <w:r w:rsidRPr="00E84541">
        <w:t xml:space="preserve"> we show </w:t>
      </w:r>
      <w:r>
        <w:t xml:space="preserve">the </w:t>
      </w:r>
      <w:r w:rsidRPr="00E84541">
        <w:t>results of image convolutions. The convolution of a three-channel image with a three</w:t>
      </w:r>
      <w:r>
        <w:t>-</w:t>
      </w:r>
      <w:r w:rsidRPr="00E84541">
        <w:t>channel kernel results in a three</w:t>
      </w:r>
      <w:r>
        <w:t>-</w:t>
      </w:r>
      <w:r w:rsidRPr="00E84541">
        <w:t xml:space="preserve">channel output (CNN layers </w:t>
      </w:r>
      <w:r>
        <w:t>eventually</w:t>
      </w:r>
      <w:r w:rsidRPr="00E84541">
        <w:t xml:space="preserve"> sum the results of such convolutions collapsing them into a single channel output, </w:t>
      </w:r>
      <w:r>
        <w:t xml:space="preserve">thereby generating </w:t>
      </w:r>
      <w:r w:rsidRPr="00E84541">
        <w:t xml:space="preserve">a single channel “grayscale” image). In the example we provide, the red kernel is set in a way in which the resulting output will highlight horizontal changes. The green and blue kernels are set as the identity, so there are no changes in the output when compared with the original bands. Several results can be obtained using these convolutions with different size kernels and different weights (the values for each one of the elements in the kernels). In </w:t>
      </w:r>
      <w:r w:rsidRPr="00E84541">
        <w:lastRenderedPageBreak/>
        <w:t xml:space="preserve">CNN applications, the values for each one of the kernels are randomly initialized and, during the training process, they are modified iteratively in a way that their outputs will help differentiate the analyzed classes. </w:t>
      </w:r>
      <w:r w:rsidRPr="00E84541">
        <w:fldChar w:fldCharType="begin"/>
      </w:r>
      <w:r w:rsidRPr="00E84541">
        <w:instrText xml:space="preserve"> REF _Ref529125602 \h  \* MERGEFORMAT </w:instrText>
      </w:r>
      <w:r w:rsidRPr="00E84541">
        <w:fldChar w:fldCharType="separate"/>
      </w:r>
      <w:r w:rsidRPr="00E84541">
        <w:t xml:space="preserve">Figure A. </w:t>
      </w:r>
      <w:r w:rsidRPr="00E84541">
        <w:rPr>
          <w:noProof/>
        </w:rPr>
        <w:t>4</w:t>
      </w:r>
      <w:r w:rsidRPr="00E84541">
        <w:fldChar w:fldCharType="end"/>
      </w:r>
      <w:r w:rsidRPr="00E84541">
        <w:t xml:space="preserve"> shows familiar examples of processed images that can be obtained with filters based on convolutions, most of which are available </w:t>
      </w:r>
      <w:r>
        <w:t>in common image processing software</w:t>
      </w:r>
      <w:r w:rsidRPr="00E84541">
        <w:t xml:space="preserve">. </w:t>
      </w:r>
    </w:p>
    <w:p w14:paraId="10C3D1BC" w14:textId="77777777" w:rsidR="004D5986" w:rsidRPr="00E84541" w:rsidRDefault="004D5986" w:rsidP="004D5986">
      <w:pPr>
        <w:pStyle w:val="Abstract"/>
        <w:keepNext/>
        <w:spacing w:line="480" w:lineRule="auto"/>
        <w:ind w:firstLine="0"/>
      </w:pPr>
      <w:r w:rsidRPr="00E84541">
        <w:rPr>
          <w:noProof/>
        </w:rPr>
        <w:drawing>
          <wp:inline distT="0" distB="0" distL="0" distR="0" wp14:anchorId="796401D6" wp14:editId="27B4CADC">
            <wp:extent cx="5349240" cy="1476837"/>
            <wp:effectExtent l="0" t="0" r="3810" b="9525"/>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65961" cy="1481453"/>
                    </a:xfrm>
                    <a:prstGeom prst="rect">
                      <a:avLst/>
                    </a:prstGeom>
                    <a:noFill/>
                    <a:ln>
                      <a:noFill/>
                    </a:ln>
                  </pic:spPr>
                </pic:pic>
              </a:graphicData>
            </a:graphic>
          </wp:inline>
        </w:drawing>
      </w:r>
    </w:p>
    <w:p w14:paraId="4351E559" w14:textId="77777777" w:rsidR="004D5986" w:rsidRPr="00E84541" w:rsidRDefault="004D5986" w:rsidP="00607DF1">
      <w:pPr>
        <w:pStyle w:val="Caption"/>
      </w:pPr>
      <w:bookmarkStart w:id="203" w:name="_Ref529125869"/>
      <w:r w:rsidRPr="00E84541">
        <w:t xml:space="preserve">Figure A. </w:t>
      </w:r>
      <w:r w:rsidR="00CE1F3C">
        <w:fldChar w:fldCharType="begin"/>
      </w:r>
      <w:r w:rsidR="00CE1F3C">
        <w:instrText xml:space="preserve"> SEQ Figure_A. \* ARABIC </w:instrText>
      </w:r>
      <w:r w:rsidR="00CE1F3C">
        <w:fldChar w:fldCharType="separate"/>
      </w:r>
      <w:r w:rsidRPr="00E84541">
        <w:rPr>
          <w:noProof/>
        </w:rPr>
        <w:t>1</w:t>
      </w:r>
      <w:r w:rsidR="00CE1F3C">
        <w:rPr>
          <w:noProof/>
        </w:rPr>
        <w:fldChar w:fldCharType="end"/>
      </w:r>
      <w:bookmarkEnd w:id="203"/>
      <w:r w:rsidRPr="00E84541">
        <w:t>: Decomposition of an image in</w:t>
      </w:r>
      <w:r>
        <w:t>to</w:t>
      </w:r>
      <w:r w:rsidRPr="00E84541">
        <w:t xml:space="preserve"> its three RGB channels. </w:t>
      </w:r>
    </w:p>
    <w:p w14:paraId="37D86F2F" w14:textId="77777777" w:rsidR="004D5986" w:rsidRPr="00E84541" w:rsidRDefault="004D5986" w:rsidP="004D5986"/>
    <w:p w14:paraId="3F1EC873" w14:textId="77777777" w:rsidR="00607DF1" w:rsidRDefault="00607DF1">
      <w:pPr>
        <w:spacing w:line="240" w:lineRule="auto"/>
      </w:pPr>
      <w:r>
        <w:br w:type="page"/>
      </w:r>
    </w:p>
    <w:p w14:paraId="052E2E7A" w14:textId="5D9BDA9E" w:rsidR="004D5986" w:rsidRPr="00E84541" w:rsidRDefault="004D5986" w:rsidP="002F1077">
      <w:pPr>
        <w:keepNext/>
        <w:jc w:val="center"/>
      </w:pPr>
      <w:r w:rsidRPr="00E84541">
        <w:rPr>
          <w:noProof/>
          <w:lang w:bidi="ar-SA"/>
        </w:rPr>
        <w:lastRenderedPageBreak/>
        <w:drawing>
          <wp:inline distT="0" distB="0" distL="0" distR="0" wp14:anchorId="0D5B170C" wp14:editId="6D21B4EA">
            <wp:extent cx="5280660" cy="2200275"/>
            <wp:effectExtent l="0" t="0" r="0" b="9525"/>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80775" cy="2200323"/>
                    </a:xfrm>
                    <a:prstGeom prst="rect">
                      <a:avLst/>
                    </a:prstGeom>
                    <a:noFill/>
                    <a:ln>
                      <a:noFill/>
                    </a:ln>
                  </pic:spPr>
                </pic:pic>
              </a:graphicData>
            </a:graphic>
          </wp:inline>
        </w:drawing>
      </w:r>
    </w:p>
    <w:p w14:paraId="57B9ADF9" w14:textId="7838C937" w:rsidR="004D5986" w:rsidRDefault="004D5986" w:rsidP="00607DF1">
      <w:pPr>
        <w:pStyle w:val="Caption"/>
      </w:pPr>
      <w:bookmarkStart w:id="204" w:name="_Ref529125886"/>
      <w:r w:rsidRPr="00E84541">
        <w:t xml:space="preserve">Figure A. </w:t>
      </w:r>
      <w:r w:rsidR="00CE1F3C">
        <w:fldChar w:fldCharType="begin"/>
      </w:r>
      <w:r w:rsidR="00CE1F3C">
        <w:instrText xml:space="preserve"> SEQ Figure_A. \* ARABIC </w:instrText>
      </w:r>
      <w:r w:rsidR="00CE1F3C">
        <w:fldChar w:fldCharType="separate"/>
      </w:r>
      <w:r w:rsidRPr="00E84541">
        <w:rPr>
          <w:noProof/>
        </w:rPr>
        <w:t>2</w:t>
      </w:r>
      <w:r w:rsidR="00CE1F3C">
        <w:rPr>
          <w:noProof/>
        </w:rPr>
        <w:fldChar w:fldCharType="end"/>
      </w:r>
      <w:bookmarkEnd w:id="204"/>
      <w:r w:rsidRPr="00E84541">
        <w:t xml:space="preserve">: Visual representation of a 2D convolution. The input (left) is filtered by the kernel (center) generating the output (right). This operation can be visualized as a sliding window of operation; the kernel slides over the input computing the output as a dot product between the values of the input (seen by the kernel window) with the values of the kernel themselves. In our example, the borders of the input are all zeroes and the kernel slides with stride one; after the first value (22) is computed, the kernel slides one pixel to the right and performs the operation again. Different strides and padding strategies can be used to generate different outputs.  </w:t>
      </w:r>
    </w:p>
    <w:p w14:paraId="358C2CB5" w14:textId="77777777" w:rsidR="00607DF1" w:rsidRPr="00607DF1" w:rsidRDefault="00607DF1" w:rsidP="00607DF1"/>
    <w:p w14:paraId="09541761" w14:textId="77777777" w:rsidR="004D5986" w:rsidRPr="00E84541" w:rsidRDefault="004D5986" w:rsidP="002F1077">
      <w:pPr>
        <w:keepNext/>
        <w:jc w:val="center"/>
      </w:pPr>
      <w:r w:rsidRPr="00E84541">
        <w:rPr>
          <w:noProof/>
          <w:lang w:bidi="ar-SA"/>
        </w:rPr>
        <w:drawing>
          <wp:inline distT="0" distB="0" distL="0" distR="0" wp14:anchorId="79A04E5F" wp14:editId="33A91288">
            <wp:extent cx="5257800" cy="2624496"/>
            <wp:effectExtent l="0" t="0" r="0" b="4445"/>
            <wp:docPr id="215" name="Picture 215" descr="Fig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gA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267412" cy="2629294"/>
                    </a:xfrm>
                    <a:prstGeom prst="rect">
                      <a:avLst/>
                    </a:prstGeom>
                    <a:noFill/>
                    <a:ln>
                      <a:noFill/>
                    </a:ln>
                  </pic:spPr>
                </pic:pic>
              </a:graphicData>
            </a:graphic>
          </wp:inline>
        </w:drawing>
      </w:r>
    </w:p>
    <w:p w14:paraId="7A11A99E" w14:textId="77777777" w:rsidR="004D5986" w:rsidRPr="00E84541" w:rsidRDefault="004D5986" w:rsidP="00607DF1">
      <w:pPr>
        <w:pStyle w:val="Caption"/>
      </w:pPr>
      <w:bookmarkStart w:id="205" w:name="_Ref529125915"/>
      <w:r w:rsidRPr="00E84541">
        <w:t xml:space="preserve">Figure A. </w:t>
      </w:r>
      <w:r w:rsidR="00CE1F3C">
        <w:fldChar w:fldCharType="begin"/>
      </w:r>
      <w:r w:rsidR="00CE1F3C">
        <w:instrText xml:space="preserve"> SEQ Figure_A. \* ARABIC </w:instrText>
      </w:r>
      <w:r w:rsidR="00CE1F3C">
        <w:fldChar w:fldCharType="separate"/>
      </w:r>
      <w:r w:rsidRPr="00E84541">
        <w:rPr>
          <w:noProof/>
        </w:rPr>
        <w:t>3</w:t>
      </w:r>
      <w:r w:rsidR="00CE1F3C">
        <w:rPr>
          <w:noProof/>
        </w:rPr>
        <w:fldChar w:fldCharType="end"/>
      </w:r>
      <w:bookmarkEnd w:id="205"/>
      <w:r w:rsidRPr="00E84541">
        <w:t xml:space="preserve">: Convolution of images. Top panel (1.) represents the convolution of the input with RGB kernels and the resulting image. </w:t>
      </w:r>
      <w:r>
        <w:t xml:space="preserve">2. </w:t>
      </w:r>
      <w:r w:rsidRPr="00E84541">
        <w:t xml:space="preserve">Values of RGB kernels.  Red channel in input is convolved with </w:t>
      </w:r>
      <w:r>
        <w:t xml:space="preserve">the </w:t>
      </w:r>
      <w:r w:rsidRPr="00E84541">
        <w:t>red kernel, green channel with green kernel, blue channel with blue kernel. The resulting image shows the horizontal edges in the red channel, while the green and red components remain unchanged.</w:t>
      </w:r>
    </w:p>
    <w:p w14:paraId="12A51A3F" w14:textId="77777777" w:rsidR="004D5986" w:rsidRPr="00E84541" w:rsidRDefault="004D5986" w:rsidP="004D5986">
      <w:pPr>
        <w:keepNext/>
      </w:pPr>
      <w:r w:rsidRPr="00E84541">
        <w:rPr>
          <w:noProof/>
          <w:lang w:bidi="ar-SA"/>
        </w:rPr>
        <w:lastRenderedPageBreak/>
        <w:drawing>
          <wp:inline distT="0" distB="0" distL="0" distR="0" wp14:anchorId="07D01A98" wp14:editId="5598FCF4">
            <wp:extent cx="5943600" cy="5695950"/>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43600" cy="5695950"/>
                    </a:xfrm>
                    <a:prstGeom prst="rect">
                      <a:avLst/>
                    </a:prstGeom>
                    <a:noFill/>
                    <a:ln>
                      <a:noFill/>
                    </a:ln>
                  </pic:spPr>
                </pic:pic>
              </a:graphicData>
            </a:graphic>
          </wp:inline>
        </w:drawing>
      </w:r>
    </w:p>
    <w:p w14:paraId="62ECA280" w14:textId="1AFCB095" w:rsidR="004D5986" w:rsidRDefault="004D5986" w:rsidP="00607DF1">
      <w:pPr>
        <w:pStyle w:val="Caption"/>
      </w:pPr>
      <w:bookmarkStart w:id="206" w:name="_Ref529125602"/>
      <w:r w:rsidRPr="00E84541">
        <w:t xml:space="preserve">Figure A. </w:t>
      </w:r>
      <w:r w:rsidR="00CE1F3C">
        <w:fldChar w:fldCharType="begin"/>
      </w:r>
      <w:r w:rsidR="00CE1F3C">
        <w:instrText xml:space="preserve"> </w:instrText>
      </w:r>
      <w:r w:rsidR="00CE1F3C">
        <w:instrText xml:space="preserve">SEQ Figure_A. \* ARABIC </w:instrText>
      </w:r>
      <w:r w:rsidR="00CE1F3C">
        <w:fldChar w:fldCharType="separate"/>
      </w:r>
      <w:r w:rsidRPr="00E84541">
        <w:rPr>
          <w:noProof/>
        </w:rPr>
        <w:t>4</w:t>
      </w:r>
      <w:r w:rsidR="00CE1F3C">
        <w:rPr>
          <w:noProof/>
        </w:rPr>
        <w:fldChar w:fldCharType="end"/>
      </w:r>
      <w:bookmarkEnd w:id="206"/>
      <w:r w:rsidRPr="00E84541">
        <w:t xml:space="preserve">: Original image and result of different image processing techniques. All the processed images are results of various types of convolutions. </w:t>
      </w:r>
    </w:p>
    <w:p w14:paraId="6B0EFE92" w14:textId="77777777" w:rsidR="00607DF1" w:rsidRPr="00607DF1" w:rsidRDefault="00607DF1" w:rsidP="00607DF1"/>
    <w:p w14:paraId="2B22EA82" w14:textId="77777777" w:rsidR="004D5986" w:rsidRPr="00E84541" w:rsidRDefault="004D5986" w:rsidP="004F4884">
      <w:pPr>
        <w:pStyle w:val="Heading3"/>
      </w:pPr>
      <w:bookmarkStart w:id="207" w:name="_Toc26534621"/>
      <w:r w:rsidRPr="00E84541">
        <w:t>Single neuron and an overview of artificial neural networks</w:t>
      </w:r>
      <w:bookmarkEnd w:id="207"/>
      <w:r w:rsidRPr="00E84541">
        <w:t xml:space="preserve"> </w:t>
      </w:r>
    </w:p>
    <w:p w14:paraId="758B472E" w14:textId="77777777" w:rsidR="004D5986" w:rsidRPr="00E84541" w:rsidRDefault="004D5986" w:rsidP="004D5986">
      <w:pPr>
        <w:pStyle w:val="Abstract"/>
        <w:spacing w:line="480" w:lineRule="auto"/>
      </w:pPr>
      <w:r w:rsidRPr="00E84541">
        <w:t xml:space="preserve">A single artificial neuron is a linear transformation like those shown in </w:t>
      </w:r>
      <w:r w:rsidRPr="00E84541">
        <w:fldChar w:fldCharType="begin"/>
      </w:r>
      <w:r w:rsidRPr="00E84541">
        <w:instrText xml:space="preserve"> REF _Ref529125602 \h  \* MERGEFORMAT </w:instrText>
      </w:r>
      <w:r w:rsidRPr="00E84541">
        <w:fldChar w:fldCharType="separate"/>
      </w:r>
      <w:r w:rsidRPr="00E84541">
        <w:t xml:space="preserve">Figure A. </w:t>
      </w:r>
      <w:r w:rsidRPr="00E84541">
        <w:rPr>
          <w:noProof/>
        </w:rPr>
        <w:t>4</w:t>
      </w:r>
      <w:r w:rsidRPr="00E84541">
        <w:fldChar w:fldCharType="end"/>
      </w:r>
      <w:r w:rsidRPr="00E84541">
        <w:t>, followed by a nonlinear transformation</w:t>
      </w:r>
      <w:r>
        <w:t xml:space="preserve">, </w:t>
      </w:r>
      <w:r w:rsidRPr="00E84541">
        <w:t xml:space="preserve">traditionally called the “activation function”. An artificial neural </w:t>
      </w:r>
      <w:r>
        <w:t>“</w:t>
      </w:r>
      <w:r w:rsidRPr="00E84541">
        <w:t>network</w:t>
      </w:r>
      <w:r>
        <w:t>”</w:t>
      </w:r>
      <w:r w:rsidRPr="00E84541">
        <w:t xml:space="preserve"> then is composed of multiple neurons, each one with different weights.</w:t>
      </w:r>
    </w:p>
    <w:p w14:paraId="7B369443" w14:textId="77777777" w:rsidR="004D5986" w:rsidRDefault="004D5986" w:rsidP="004D5986">
      <w:pPr>
        <w:pStyle w:val="Abstract"/>
        <w:spacing w:line="480" w:lineRule="auto"/>
      </w:pPr>
      <w:r w:rsidRPr="00E84541">
        <w:lastRenderedPageBreak/>
        <w:t>The very first steps in artificial neural networks modeling are the same as linear fitting statistics frequently used in many fields. The refinement and improved power of artificial neural networks comes from the addition of the activation functions that modify the linear (</w:t>
      </w:r>
      <w:r>
        <w:t xml:space="preserve">e.g. </w:t>
      </w:r>
      <w:r w:rsidRPr="00E84541">
        <w:t>convolutional) transformation to a nonlinear transformation. There are several activation functions traditionally used when building artificial neural networks. Functions like the sigmoid, hyperbolic tangent (tanh), rectified linear units (ReLu), and leaky ReLu are very common choices as activation functions (</w:t>
      </w:r>
      <w:r w:rsidRPr="00E84541">
        <w:fldChar w:fldCharType="begin"/>
      </w:r>
      <w:r w:rsidRPr="00E84541">
        <w:instrText xml:space="preserve"> REF _Ref529125949 \h  \* MERGEFORMAT </w:instrText>
      </w:r>
      <w:r w:rsidRPr="00E84541">
        <w:fldChar w:fldCharType="separate"/>
      </w:r>
      <w:r w:rsidRPr="00E84541">
        <w:t xml:space="preserve">Figure A. </w:t>
      </w:r>
      <w:r w:rsidRPr="00E84541">
        <w:rPr>
          <w:noProof/>
        </w:rPr>
        <w:t>5</w:t>
      </w:r>
      <w:r w:rsidRPr="00E84541">
        <w:fldChar w:fldCharType="end"/>
      </w:r>
      <w:r w:rsidRPr="00E84541">
        <w:t xml:space="preserve">). In CNNs, ReLu are very frequently used in the hidden layers whereas the sigmoid and softmax </w:t>
      </w:r>
      <m:oMath>
        <m:r>
          <w:rPr>
            <w:rFonts w:ascii="Cambria Math" w:hAnsi="Cambria Math"/>
          </w:rPr>
          <m:t>S</m:t>
        </m:r>
        <m:d>
          <m:dPr>
            <m:ctrlPr>
              <w:rPr>
                <w:rFonts w:ascii="Cambria Math" w:eastAsia="Cambria Math" w:hAnsi="Cambria Math" w:cs="Cambria Math"/>
                <w:i/>
              </w:rPr>
            </m:ctrlPr>
          </m:dPr>
          <m:e>
            <m:sSub>
              <m:sSubPr>
                <m:ctrlPr>
                  <w:rPr>
                    <w:rFonts w:ascii="Cambria Math" w:eastAsia="Cambria Math" w:hAnsi="Cambria Math" w:cs="Cambria Math"/>
                    <w:b/>
                    <w:i/>
                  </w:rPr>
                </m:ctrlPr>
              </m:sSubPr>
              <m:e>
                <m:r>
                  <m:rPr>
                    <m:sty m:val="bi"/>
                  </m:rPr>
                  <w:rPr>
                    <w:rFonts w:ascii="Cambria Math" w:eastAsia="Cambria Math" w:hAnsi="Cambria Math" w:cs="Cambria Math"/>
                  </w:rPr>
                  <m:t>x</m:t>
                </m:r>
              </m:e>
              <m:sub>
                <m:r>
                  <m:rPr>
                    <m:sty m:val="bi"/>
                  </m:rPr>
                  <w:rPr>
                    <w:rFonts w:ascii="Cambria Math" w:eastAsia="Cambria Math" w:hAnsi="Cambria Math" w:cs="Cambria Math"/>
                  </w:rPr>
                  <m:t>i</m:t>
                </m:r>
              </m:sub>
            </m:sSub>
          </m:e>
        </m:d>
      </m:oMath>
      <w:r>
        <w:t xml:space="preserve"> given by</w:t>
      </w:r>
    </w:p>
    <w:p w14:paraId="77E2C58C" w14:textId="77777777" w:rsidR="004D5986" w:rsidRPr="004D5986" w:rsidRDefault="004D5986" w:rsidP="004D5986">
      <w:pPr>
        <w:pStyle w:val="Abstract"/>
        <w:spacing w:line="480" w:lineRule="auto"/>
        <w:ind w:firstLine="0"/>
      </w:pPr>
      <m:oMathPara>
        <m:oMath>
          <m:r>
            <w:rPr>
              <w:rFonts w:ascii="Cambria Math" w:hAnsi="Cambria Math"/>
            </w:rPr>
            <m:t>S</m:t>
          </m:r>
          <w:bookmarkStart w:id="208" w:name="_Hlk24191725"/>
          <m:d>
            <m:dPr>
              <m:ctrlPr>
                <w:rPr>
                  <w:rFonts w:ascii="Cambria Math" w:eastAsia="Cambria Math" w:hAnsi="Cambria Math" w:cs="Cambria Math"/>
                  <w:i/>
                </w:rPr>
              </m:ctrlPr>
            </m:dPr>
            <m:e>
              <m:sSub>
                <m:sSubPr>
                  <m:ctrlPr>
                    <w:rPr>
                      <w:rFonts w:ascii="Cambria Math" w:eastAsia="Cambria Math" w:hAnsi="Cambria Math" w:cs="Cambria Math"/>
                      <w:b/>
                      <w:i/>
                    </w:rPr>
                  </m:ctrlPr>
                </m:sSubPr>
                <m:e>
                  <m:r>
                    <m:rPr>
                      <m:sty m:val="bi"/>
                    </m:rPr>
                    <w:rPr>
                      <w:rFonts w:ascii="Cambria Math" w:eastAsia="Cambria Math" w:hAnsi="Cambria Math" w:cs="Cambria Math"/>
                    </w:rPr>
                    <m:t>x</m:t>
                  </m:r>
                </m:e>
                <m:sub>
                  <m:r>
                    <m:rPr>
                      <m:sty m:val="bi"/>
                    </m:rPr>
                    <w:rPr>
                      <w:rFonts w:ascii="Cambria Math" w:eastAsia="Cambria Math" w:hAnsi="Cambria Math" w:cs="Cambria Math"/>
                    </w:rPr>
                    <m:t>i</m:t>
                  </m:r>
                </m:sub>
              </m:sSub>
            </m:e>
          </m:d>
          <m:r>
            <w:rPr>
              <w:rFonts w:ascii="Cambria Math" w:eastAsia="Cambria Math" w:hAnsi="Cambria Math" w:cs="Cambria Math"/>
            </w:rPr>
            <m:t>=</m:t>
          </m:r>
          <m:f>
            <m:fPr>
              <m:ctrlPr>
                <w:rPr>
                  <w:rFonts w:ascii="Cambria Math" w:hAnsi="Cambria Math"/>
                </w:rPr>
              </m:ctrlPr>
            </m:fPr>
            <m:num>
              <m:sSup>
                <m:sSupPr>
                  <m:ctrlPr>
                    <w:rPr>
                      <w:rFonts w:ascii="Cambria Math" w:hAnsi="Cambria Math"/>
                      <w:i/>
                    </w:rPr>
                  </m:ctrlPr>
                </m:sSupPr>
                <m:e>
                  <m:r>
                    <w:rPr>
                      <w:rFonts w:ascii="Cambria Math" w:hAnsi="Cambria Math"/>
                    </w:rPr>
                    <m:t>e</m:t>
                  </m:r>
                </m:e>
                <m:sup>
                  <m:sSub>
                    <m:sSubPr>
                      <m:ctrlPr>
                        <w:rPr>
                          <w:rFonts w:ascii="Cambria Math" w:eastAsia="Calibri" w:hAnsi="Cambria Math"/>
                          <w:i/>
                          <w:sz w:val="22"/>
                          <w:szCs w:val="22"/>
                        </w:rPr>
                      </m:ctrlPr>
                    </m:sSubPr>
                    <m:e>
                      <m:r>
                        <w:rPr>
                          <w:rFonts w:ascii="Cambria Math" w:hAnsi="Cambria Math"/>
                        </w:rPr>
                        <m:t>x</m:t>
                      </m:r>
                    </m:e>
                    <m:sub>
                      <m:r>
                        <w:rPr>
                          <w:rFonts w:ascii="Cambria Math" w:hAnsi="Cambria Math"/>
                        </w:rPr>
                        <m:t>i</m:t>
                      </m:r>
                    </m:sub>
                  </m:sSub>
                </m:sup>
              </m:sSup>
            </m:num>
            <m:den>
              <m:nary>
                <m:naryPr>
                  <m:chr m:val="∑"/>
                  <m:grow m:val="1"/>
                  <m:ctrlPr>
                    <w:rPr>
                      <w:rFonts w:ascii="Cambria Math" w:hAnsi="Cambria Math"/>
                    </w:rPr>
                  </m:ctrlPr>
                </m:naryPr>
                <m:sub>
                  <m:r>
                    <w:rPr>
                      <w:rFonts w:ascii="Cambria Math" w:eastAsia="Cambria Math" w:hAnsi="Cambria Math" w:cs="Cambria Math"/>
                    </w:rPr>
                    <m:t>j=1</m:t>
                  </m:r>
                </m:sub>
                <m:sup>
                  <m:r>
                    <w:rPr>
                      <w:rFonts w:ascii="Cambria Math" w:eastAsia="Cambria Math" w:hAnsi="Cambria Math" w:cs="Cambria Math"/>
                    </w:rPr>
                    <m:t>k</m:t>
                  </m:r>
                </m:sup>
                <m:e>
                  <m:sSup>
                    <m:sSupPr>
                      <m:ctrlPr>
                        <w:rPr>
                          <w:rFonts w:ascii="Cambria Math" w:hAnsi="Cambria Math"/>
                          <w:i/>
                        </w:rPr>
                      </m:ctrlPr>
                    </m:sSupPr>
                    <m:e>
                      <m:r>
                        <w:rPr>
                          <w:rFonts w:ascii="Cambria Math" w:hAnsi="Cambria Math"/>
                        </w:rPr>
                        <m:t>e</m:t>
                      </m:r>
                    </m:e>
                    <m:sup>
                      <m:sSub>
                        <m:sSubPr>
                          <m:ctrlPr>
                            <w:rPr>
                              <w:rFonts w:ascii="Cambria Math" w:eastAsia="Calibri" w:hAnsi="Cambria Math"/>
                              <w:i/>
                              <w:sz w:val="22"/>
                              <w:szCs w:val="22"/>
                            </w:rPr>
                          </m:ctrlPr>
                        </m:sSubPr>
                        <m:e>
                          <m:r>
                            <w:rPr>
                              <w:rFonts w:ascii="Cambria Math" w:hAnsi="Cambria Math"/>
                            </w:rPr>
                            <m:t>x</m:t>
                          </m:r>
                        </m:e>
                        <m:sub>
                          <m:r>
                            <w:rPr>
                              <w:rFonts w:ascii="Cambria Math" w:hAnsi="Cambria Math"/>
                            </w:rPr>
                            <m:t>j</m:t>
                          </m:r>
                        </m:sub>
                      </m:sSub>
                    </m:sup>
                  </m:sSup>
                  <m:r>
                    <m:rPr>
                      <m:sty m:val="p"/>
                    </m:rPr>
                    <w:rPr>
                      <w:rFonts w:ascii="Cambria Math" w:hAnsi="Cambria Math"/>
                    </w:rPr>
                    <m:t>⁡</m:t>
                  </m:r>
                </m:e>
              </m:nary>
            </m:den>
          </m:f>
        </m:oMath>
      </m:oMathPara>
      <w:bookmarkEnd w:id="208"/>
    </w:p>
    <w:p w14:paraId="51C18BC3" w14:textId="77777777" w:rsidR="004D5986" w:rsidRPr="00E84541" w:rsidRDefault="004D5986" w:rsidP="004D5986">
      <w:pPr>
        <w:pStyle w:val="Abstract"/>
        <w:spacing w:line="480" w:lineRule="auto"/>
        <w:ind w:firstLine="0"/>
      </w:pPr>
      <w:r w:rsidRPr="00E84541">
        <w:t xml:space="preserve">are used in the classification step (the last layer). </w:t>
      </w:r>
    </w:p>
    <w:p w14:paraId="091B9415" w14:textId="77777777" w:rsidR="004D5986" w:rsidRPr="00E84541" w:rsidRDefault="004D5986" w:rsidP="004D5986">
      <w:pPr>
        <w:pStyle w:val="Abstract"/>
        <w:spacing w:line="480" w:lineRule="auto"/>
      </w:pPr>
      <w:r w:rsidRPr="00E84541">
        <w:fldChar w:fldCharType="begin"/>
      </w:r>
      <w:r w:rsidRPr="00E84541">
        <w:instrText xml:space="preserve"> REF _Ref529125961 \h  \* MERGEFORMAT </w:instrText>
      </w:r>
      <w:r w:rsidRPr="00E84541">
        <w:fldChar w:fldCharType="separate"/>
      </w:r>
      <w:r w:rsidRPr="00E84541">
        <w:t xml:space="preserve">Figure A. </w:t>
      </w:r>
      <w:r w:rsidRPr="00E84541">
        <w:rPr>
          <w:noProof/>
        </w:rPr>
        <w:t>6</w:t>
      </w:r>
      <w:r w:rsidRPr="00E84541">
        <w:fldChar w:fldCharType="end"/>
      </w:r>
      <w:r w:rsidRPr="00E84541">
        <w:t xml:space="preserve"> shows a visual representation of the computations performed in neural networks. A single neuron receives data from different inputs and processes such data generating an output. Each neuron has its own set of weights (these are the values that are modified during the training step) and an activation function that has its behavior independent of the input data. The combination of neurons receiving the same input is commonly called a layer. When more than one layer exists in a neural network, such layers are often called hidden layers. The layers of </w:t>
      </w:r>
      <w:r w:rsidRPr="00E84541">
        <w:fldChar w:fldCharType="begin"/>
      </w:r>
      <w:r w:rsidRPr="00E84541">
        <w:instrText xml:space="preserve"> REF _Ref529125961 \h </w:instrText>
      </w:r>
      <w:r>
        <w:instrText xml:space="preserve"> \* MERGEFORMAT </w:instrText>
      </w:r>
      <w:r w:rsidRPr="00E84541">
        <w:fldChar w:fldCharType="separate"/>
      </w:r>
      <w:r w:rsidRPr="00E84541">
        <w:t xml:space="preserve">Figure A. </w:t>
      </w:r>
      <w:r w:rsidRPr="00E84541">
        <w:rPr>
          <w:noProof/>
        </w:rPr>
        <w:t>6</w:t>
      </w:r>
      <w:r w:rsidRPr="00E84541">
        <w:fldChar w:fldCharType="end"/>
      </w:r>
      <w:r w:rsidRPr="00E84541">
        <w:t xml:space="preserve">b are “fully connected” having connections to all elements in the previous layers. </w:t>
      </w:r>
    </w:p>
    <w:p w14:paraId="020C8DC0" w14:textId="77777777" w:rsidR="004D5986" w:rsidRPr="00E84541" w:rsidRDefault="004D5986" w:rsidP="004D5986">
      <w:pPr>
        <w:keepNext/>
        <w:jc w:val="center"/>
      </w:pPr>
      <w:r w:rsidRPr="00E84541">
        <w:rPr>
          <w:noProof/>
          <w:lang w:bidi="ar-SA"/>
        </w:rPr>
        <w:lastRenderedPageBreak/>
        <w:drawing>
          <wp:inline distT="0" distB="0" distL="0" distR="0" wp14:anchorId="692CFE45" wp14:editId="7E2390E7">
            <wp:extent cx="4524375" cy="3237268"/>
            <wp:effectExtent l="0" t="0" r="0" b="127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535539" cy="3245256"/>
                    </a:xfrm>
                    <a:prstGeom prst="rect">
                      <a:avLst/>
                    </a:prstGeom>
                    <a:noFill/>
                    <a:ln>
                      <a:noFill/>
                    </a:ln>
                  </pic:spPr>
                </pic:pic>
              </a:graphicData>
            </a:graphic>
          </wp:inline>
        </w:drawing>
      </w:r>
    </w:p>
    <w:p w14:paraId="36A6A0FE" w14:textId="77777777" w:rsidR="004D5986" w:rsidRPr="00E84541" w:rsidRDefault="004D5986" w:rsidP="00607DF1">
      <w:pPr>
        <w:pStyle w:val="Caption"/>
      </w:pPr>
      <w:bookmarkStart w:id="209" w:name="_Ref529125949"/>
      <w:r w:rsidRPr="00E84541">
        <w:t xml:space="preserve">Figure A. </w:t>
      </w:r>
      <w:r w:rsidR="00CE1F3C">
        <w:fldChar w:fldCharType="begin"/>
      </w:r>
      <w:r w:rsidR="00CE1F3C">
        <w:instrText xml:space="preserve"> SEQ Figure_A. \* ARABIC </w:instrText>
      </w:r>
      <w:r w:rsidR="00CE1F3C">
        <w:fldChar w:fldCharType="separate"/>
      </w:r>
      <w:r w:rsidRPr="00E84541">
        <w:rPr>
          <w:noProof/>
        </w:rPr>
        <w:t>5</w:t>
      </w:r>
      <w:r w:rsidR="00CE1F3C">
        <w:rPr>
          <w:noProof/>
        </w:rPr>
        <w:fldChar w:fldCharType="end"/>
      </w:r>
      <w:bookmarkEnd w:id="209"/>
      <w:r w:rsidRPr="00E84541">
        <w:t xml:space="preserve">: Examples of commonly used activation functions. Note the sum of softmax is 1, so its appearance varies according to the horizontal axis (range and sample rate). </w:t>
      </w:r>
    </w:p>
    <w:p w14:paraId="317B0A7E" w14:textId="77777777" w:rsidR="004D5986" w:rsidRPr="00E84541" w:rsidRDefault="004D5986" w:rsidP="004D5986">
      <w:pPr>
        <w:pStyle w:val="Abstract"/>
        <w:spacing w:line="480" w:lineRule="auto"/>
      </w:pPr>
    </w:p>
    <w:p w14:paraId="584E4290" w14:textId="77777777" w:rsidR="004D5986" w:rsidRPr="00E84541" w:rsidRDefault="004D5986" w:rsidP="004D5986">
      <w:pPr>
        <w:pStyle w:val="Abstract"/>
        <w:keepNext/>
        <w:spacing w:line="480" w:lineRule="auto"/>
        <w:ind w:firstLine="0"/>
        <w:jc w:val="center"/>
      </w:pPr>
      <w:r w:rsidRPr="00E84541">
        <w:rPr>
          <w:noProof/>
        </w:rPr>
        <w:drawing>
          <wp:inline distT="0" distB="0" distL="0" distR="0" wp14:anchorId="357AE714" wp14:editId="46FFB92A">
            <wp:extent cx="5010150" cy="1811298"/>
            <wp:effectExtent l="0" t="0" r="0" b="0"/>
            <wp:docPr id="212" name="Picture 212" descr="Fig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igA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012347" cy="1812092"/>
                    </a:xfrm>
                    <a:prstGeom prst="rect">
                      <a:avLst/>
                    </a:prstGeom>
                    <a:noFill/>
                    <a:ln>
                      <a:noFill/>
                    </a:ln>
                  </pic:spPr>
                </pic:pic>
              </a:graphicData>
            </a:graphic>
          </wp:inline>
        </w:drawing>
      </w:r>
    </w:p>
    <w:p w14:paraId="4D5C7065" w14:textId="77777777" w:rsidR="004D5986" w:rsidRPr="00E84541" w:rsidRDefault="004D5986" w:rsidP="00607DF1">
      <w:pPr>
        <w:pStyle w:val="Caption"/>
      </w:pPr>
      <w:bookmarkStart w:id="210" w:name="_Ref529125961"/>
      <w:r w:rsidRPr="00E84541">
        <w:t xml:space="preserve">Figure A. </w:t>
      </w:r>
      <w:r w:rsidR="00CE1F3C">
        <w:fldChar w:fldCharType="begin"/>
      </w:r>
      <w:r w:rsidR="00CE1F3C">
        <w:instrText xml:space="preserve"> SEQ Figure_A. \* ARABIC </w:instrText>
      </w:r>
      <w:r w:rsidR="00CE1F3C">
        <w:fldChar w:fldCharType="separate"/>
      </w:r>
      <w:r w:rsidRPr="00E84541">
        <w:rPr>
          <w:noProof/>
        </w:rPr>
        <w:t>6</w:t>
      </w:r>
      <w:r w:rsidR="00CE1F3C">
        <w:rPr>
          <w:noProof/>
        </w:rPr>
        <w:fldChar w:fldCharType="end"/>
      </w:r>
      <w:bookmarkEnd w:id="210"/>
      <w:r w:rsidRPr="00E84541">
        <w:t xml:space="preserve">:  Visual representation of neuron (1.) and an artificial neural network (2.). The number of neurons and layers in 2. are arbitrary (as well as </w:t>
      </w:r>
      <w:r>
        <w:t xml:space="preserve">the </w:t>
      </w:r>
      <w:r w:rsidRPr="00E84541">
        <w:t>number of inputs). Consider, for example, that each one of the circles in the input represents RGB colors for an image plus a bias term. Next, assume that three RGB images and a bias are sufficient to differentiate objects and assign them to classes 0 and 1. The neuron then iteratively modifies the values of the weights that when applied to the input and fed to the activation function successfully assigns the input to class 0 or</w:t>
      </w:r>
      <w:r>
        <w:t xml:space="preserve"> to class</w:t>
      </w:r>
      <w:r w:rsidRPr="00E84541">
        <w:t xml:space="preserve"> 1.  </w:t>
      </w:r>
    </w:p>
    <w:p w14:paraId="6E50A39D" w14:textId="77777777" w:rsidR="004D5986" w:rsidRPr="00E84541" w:rsidRDefault="004D5986" w:rsidP="004D5986"/>
    <w:p w14:paraId="26A19E78" w14:textId="77777777" w:rsidR="004D5986" w:rsidRPr="00E84541" w:rsidRDefault="004D5986" w:rsidP="004F4884">
      <w:pPr>
        <w:pStyle w:val="Heading3"/>
      </w:pPr>
      <w:bookmarkStart w:id="211" w:name="_Toc26534622"/>
      <w:r w:rsidRPr="00E84541">
        <w:lastRenderedPageBreak/>
        <w:t>(Deep) Convolutional neural networks</w:t>
      </w:r>
      <w:bookmarkEnd w:id="211"/>
    </w:p>
    <w:p w14:paraId="214932BE" w14:textId="77777777" w:rsidR="004D5986" w:rsidRPr="00E84541" w:rsidRDefault="004D5986" w:rsidP="004D5986">
      <w:pPr>
        <w:pStyle w:val="Abstract"/>
        <w:spacing w:line="480" w:lineRule="auto"/>
      </w:pPr>
      <w:r w:rsidRPr="00E84541">
        <w:t xml:space="preserve">Given these simple principles of digital images, convolution, and neural networks, we now continue our intuitive analysis of how CNNs work. The prefix “deep” is </w:t>
      </w:r>
      <w:r>
        <w:t xml:space="preserve">sometimes </w:t>
      </w:r>
      <w:r w:rsidRPr="00E84541">
        <w:t xml:space="preserve">used when referring to CNNs. Until recently, </w:t>
      </w:r>
      <w:r>
        <w:t xml:space="preserve">many </w:t>
      </w:r>
      <w:r w:rsidRPr="00E84541">
        <w:t xml:space="preserve">neural networks have been built on </w:t>
      </w:r>
      <w:r>
        <w:t xml:space="preserve">handcrafted features, whereas now most of the feature transformation is performed by CNN models. </w:t>
      </w:r>
      <w:r w:rsidRPr="00E84541">
        <w:t xml:space="preserve">In this section, we use the terms described before to show how an image changes when going through the layers of CNNs. </w:t>
      </w:r>
    </w:p>
    <w:p w14:paraId="102C7200" w14:textId="77777777" w:rsidR="004D5986" w:rsidRPr="00E84541" w:rsidRDefault="004D5986" w:rsidP="004D5986">
      <w:pPr>
        <w:pStyle w:val="Abstract"/>
        <w:spacing w:line="480" w:lineRule="auto"/>
      </w:pPr>
      <w:r w:rsidRPr="00E84541">
        <w:fldChar w:fldCharType="begin"/>
      </w:r>
      <w:r w:rsidRPr="00E84541">
        <w:instrText xml:space="preserve"> REF _Ref529125996 \h  \* MERGEFORMAT </w:instrText>
      </w:r>
      <w:r w:rsidRPr="00E84541">
        <w:fldChar w:fldCharType="separate"/>
      </w:r>
      <w:r w:rsidRPr="00E84541">
        <w:t xml:space="preserve">Figure A. </w:t>
      </w:r>
      <w:r w:rsidRPr="00E84541">
        <w:rPr>
          <w:noProof/>
        </w:rPr>
        <w:t>7</w:t>
      </w:r>
      <w:r w:rsidRPr="00E84541">
        <w:fldChar w:fldCharType="end"/>
      </w:r>
      <w:r w:rsidRPr="00E84541">
        <w:t xml:space="preserve"> shows the flowchart of the operations described in this section. These layers (convolutions, pooling) are very common in CNNs. In the example we give, the convolution layer weights (the values for each one of the elements in the kernel) were set according to our choice. In CNN model training, these weights are initialized with random values and are iteratively updated. Interestingly, as observed by </w:t>
      </w:r>
      <w:r w:rsidRPr="00E84541">
        <w:fldChar w:fldCharType="begin" w:fldLock="1"/>
      </w:r>
      <w:r w:rsidRPr="00E84541">
        <w:instrText>ADDIN CSL_CITATION {"citationItems":[{"id":"ITEM-1","itemData":{"abstract":"Many deep neural networks trained on natural images exhibit a curious phenomenon in common: on the first layer they learn features similar to Gabor filters and color blobs. Such first-layer features appear not to be specific to a particular dataset or task, but general in that they are applicable to many datasets and tasks. Features must eventually transition from general to specific by the last layer of the network, but this transition has not been studied extensively. In this paper we experimentally quantify the generality versus specificity of neurons in each layer of a deep convolutional neural network and report a few surprising results. Transferability is negatively affected by two distinct issues: (1) the specialization of higher layer neurons to their original task at the expense of performance on the target task, which was expected, and (2) optimization difficulties related to splitting networks between co-adapted neurons, which was not expected. In an example network trained on ImageNet, we demonstrate that either of these two issues may dominate, depending on whether features are transferred from the bottom, middle, or top of the network. We also document that the transferability of features decreases as the distance between the base task and target task increases, but that transferring features even from distant tasks can be better than using random features. A final surprising result is that initializing a network with transferred features from almost any number of layers can produce a boost to generalization that lingers even after fine-tuning to the target dataset.","author":[{"dropping-particle":"","family":"Yosinski","given":"Jason","non-dropping-particle":"","parse-names":false,"suffix":""},{"dropping-particle":"","family":"Clune","given":"Jeff","non-dropping-particle":"","parse-names":false,"suffix":""},{"dropping-particle":"","family":"Bengio","given":"Yoshua","non-dropping-particle":"","parse-names":false,"suffix":""},{"dropping-particle":"","family":"Lipson","given":"Hod","non-dropping-particle":"","parse-names":false,"suffix":""}],"container-title":"Advances in Neural Information Processing Systems","id":"ITEM-1","issued":{"date-parts":[["2014","11","6"]]},"page":"3320-3328","title":"How transferable are features in deep neural networks?","type":"article-journal","volume":"27"},"uris":["http://www.mendeley.com/documents/?uuid=803012bc-b88d-392a-8cbd-4f098fe2c123"]}],"mendeley":{"formattedCitation":"(Yosinski et al. 2014)","manualFormatting":"Yosinski et al. (2014)","plainTextFormattedCitation":"(Yosinski et al. 2014)","previouslyFormattedCitation":"(Yosinski et al. 2014)"},"properties":{"noteIndex":0},"schema":"https://github.com/citation-style-language/schema/raw/master/csl-citation.json"}</w:instrText>
      </w:r>
      <w:r w:rsidRPr="00E84541">
        <w:fldChar w:fldCharType="separate"/>
      </w:r>
      <w:r w:rsidRPr="00E84541">
        <w:rPr>
          <w:noProof/>
        </w:rPr>
        <w:t>Yosinski et al. (2014)</w:t>
      </w:r>
      <w:r w:rsidRPr="00E84541">
        <w:fldChar w:fldCharType="end"/>
      </w:r>
      <w:r w:rsidRPr="00E84541">
        <w:t xml:space="preserve">, the first layers of </w:t>
      </w:r>
      <w:r>
        <w:t xml:space="preserve">a </w:t>
      </w:r>
      <w:r w:rsidRPr="00E84541">
        <w:t xml:space="preserve">CNN will have weights that act as edge or color detection kernels – much like the ones we chose in this section. As the kernel values change according to the necessity of the CNN to reduce the error (difference between </w:t>
      </w:r>
      <w:r>
        <w:t xml:space="preserve">the </w:t>
      </w:r>
      <w:r w:rsidRPr="00E84541">
        <w:t xml:space="preserve">predicted class and </w:t>
      </w:r>
      <w:r>
        <w:t xml:space="preserve">the </w:t>
      </w:r>
      <w:r w:rsidRPr="00E84541">
        <w:t xml:space="preserve">true class), different transformations are applied to  the images (such as in  </w:t>
      </w:r>
      <w:r w:rsidRPr="00E84541">
        <w:fldChar w:fldCharType="begin"/>
      </w:r>
      <w:r w:rsidRPr="00E84541">
        <w:instrText xml:space="preserve"> REF _Ref529125602 \h  \* MERGEFORMAT </w:instrText>
      </w:r>
      <w:r w:rsidRPr="00E84541">
        <w:fldChar w:fldCharType="separate"/>
      </w:r>
      <w:r w:rsidRPr="00E84541">
        <w:t xml:space="preserve">Figure A. </w:t>
      </w:r>
      <w:r w:rsidRPr="00E84541">
        <w:rPr>
          <w:noProof/>
        </w:rPr>
        <w:t>4</w:t>
      </w:r>
      <w:r w:rsidRPr="00E84541">
        <w:fldChar w:fldCharType="end"/>
      </w:r>
      <w:r w:rsidRPr="00E84541">
        <w:t xml:space="preserve">). </w:t>
      </w:r>
    </w:p>
    <w:p w14:paraId="141E2EB6" w14:textId="77777777" w:rsidR="004D5986" w:rsidRPr="00E84541" w:rsidRDefault="004D5986" w:rsidP="004D5986">
      <w:pPr>
        <w:pStyle w:val="Abstract"/>
        <w:spacing w:line="480" w:lineRule="auto"/>
      </w:pPr>
      <w:r w:rsidRPr="00E84541">
        <w:fldChar w:fldCharType="begin"/>
      </w:r>
      <w:r w:rsidRPr="00E84541">
        <w:instrText xml:space="preserve"> REF _Ref529126019 \h  \* MERGEFORMAT </w:instrText>
      </w:r>
      <w:r w:rsidRPr="00E84541">
        <w:fldChar w:fldCharType="separate"/>
      </w:r>
      <w:r w:rsidRPr="00E84541">
        <w:t xml:space="preserve">Figure A. </w:t>
      </w:r>
      <w:r w:rsidRPr="00E84541">
        <w:rPr>
          <w:noProof/>
        </w:rPr>
        <w:t>8</w:t>
      </w:r>
      <w:r w:rsidRPr="00E84541">
        <w:fldChar w:fldCharType="end"/>
      </w:r>
      <w:r w:rsidRPr="00E84541">
        <w:t xml:space="preserve"> shows a visual representation of the 3 x 3 convolution layer operations as well as the resulting image for the same fusulinid image we have been using in this section. The resulting image is then input to a pooling layer. Pooling layers reduce the height and width of images with simple statistics and are commonly used in CNNs. Pooling layers can have different sizes (height, width) and different strides. </w:t>
      </w:r>
      <w:r w:rsidRPr="00E84541">
        <w:fldChar w:fldCharType="begin"/>
      </w:r>
      <w:r w:rsidRPr="00E84541">
        <w:instrText xml:space="preserve"> REF _Ref529126030 \h  \* MERGEFORMAT </w:instrText>
      </w:r>
      <w:r w:rsidRPr="00E84541">
        <w:fldChar w:fldCharType="separate"/>
      </w:r>
      <w:r w:rsidRPr="00E84541">
        <w:t xml:space="preserve">Figure A. </w:t>
      </w:r>
      <w:r w:rsidRPr="00E84541">
        <w:rPr>
          <w:noProof/>
        </w:rPr>
        <w:t>9</w:t>
      </w:r>
      <w:r w:rsidRPr="00E84541">
        <w:fldChar w:fldCharType="end"/>
      </w:r>
      <w:r w:rsidRPr="00E84541">
        <w:t xml:space="preserve"> shows an example of max pooling, which captures the maximum value of a subset of the input for a small submatrix. In </w:t>
      </w:r>
      <w:r w:rsidRPr="00E84541">
        <w:fldChar w:fldCharType="begin"/>
      </w:r>
      <w:r w:rsidRPr="00E84541">
        <w:instrText xml:space="preserve"> REF _Ref528588457 \h  \* MERGEFORMAT </w:instrText>
      </w:r>
      <w:r w:rsidRPr="00E84541">
        <w:fldChar w:fldCharType="separate"/>
      </w:r>
      <w:r w:rsidRPr="00E84541">
        <w:t xml:space="preserve">Figure A. </w:t>
      </w:r>
      <w:r w:rsidRPr="00E84541">
        <w:rPr>
          <w:noProof/>
        </w:rPr>
        <w:t>10</w:t>
      </w:r>
      <w:r w:rsidRPr="00E84541">
        <w:fldChar w:fldCharType="end"/>
      </w:r>
      <w:r w:rsidRPr="00E84541">
        <w:t xml:space="preserve"> we </w:t>
      </w:r>
      <w:r w:rsidRPr="00E84541">
        <w:lastRenderedPageBreak/>
        <w:t xml:space="preserve">show the resulting max pooling of the output of the 3 x 3 convolution (output of </w:t>
      </w:r>
      <w:r w:rsidRPr="00E84541">
        <w:fldChar w:fldCharType="begin"/>
      </w:r>
      <w:r w:rsidRPr="00E84541">
        <w:instrText xml:space="preserve"> REF _Ref529126019 \h  \* MERGEFORMAT </w:instrText>
      </w:r>
      <w:r w:rsidRPr="00E84541">
        <w:fldChar w:fldCharType="separate"/>
      </w:r>
      <w:r w:rsidRPr="00E84541">
        <w:t xml:space="preserve">Figure A. </w:t>
      </w:r>
      <w:r w:rsidRPr="00E84541">
        <w:rPr>
          <w:noProof/>
        </w:rPr>
        <w:t>8</w:t>
      </w:r>
      <w:r w:rsidRPr="00E84541">
        <w:fldChar w:fldCharType="end"/>
      </w:r>
      <w:r w:rsidRPr="00E84541">
        <w:t xml:space="preserve">) continuing the flowchart depicted in </w:t>
      </w:r>
      <w:r w:rsidRPr="00E84541">
        <w:fldChar w:fldCharType="begin"/>
      </w:r>
      <w:r w:rsidRPr="00E84541">
        <w:instrText xml:space="preserve"> REF _Ref529125996 \h  \* MERGEFORMAT </w:instrText>
      </w:r>
      <w:r w:rsidRPr="00E84541">
        <w:fldChar w:fldCharType="separate"/>
      </w:r>
      <w:r w:rsidRPr="00E84541">
        <w:t xml:space="preserve">Figure A. </w:t>
      </w:r>
      <w:r w:rsidRPr="00E84541">
        <w:rPr>
          <w:noProof/>
        </w:rPr>
        <w:t>7</w:t>
      </w:r>
      <w:r w:rsidRPr="00E84541">
        <w:fldChar w:fldCharType="end"/>
      </w:r>
      <w:r w:rsidRPr="00E84541">
        <w:t>.</w:t>
      </w:r>
    </w:p>
    <w:p w14:paraId="64F2C53F" w14:textId="477C43AE" w:rsidR="004D5986" w:rsidRPr="00E84541" w:rsidRDefault="004D5986" w:rsidP="004D5986">
      <w:pPr>
        <w:pStyle w:val="Abstract"/>
        <w:spacing w:line="480" w:lineRule="auto"/>
      </w:pPr>
      <w:r w:rsidRPr="00E84541">
        <w:t xml:space="preserve">We provided the elements necessary for an overall awareness of how CNNs operate and the results of a very small (and “incomplete”) CNN.  We believe this material can be used as a quick reference for some of the common terms used in deep learning techniques. Understanding how an image is transformed through convolutions and </w:t>
      </w:r>
      <w:r w:rsidR="000E191D" w:rsidRPr="00E84541">
        <w:t>pooling</w:t>
      </w:r>
      <w:r w:rsidRPr="00E84541">
        <w:t xml:space="preserve"> can help demystify the results obtained by CNN applications. With the information given in this section, we believe the reader can quickly grasp the differences in architecture of robust CNN models, as well as imagine how the data are transformed as they go through the models. </w:t>
      </w:r>
    </w:p>
    <w:p w14:paraId="5085E684" w14:textId="77777777" w:rsidR="004D5986" w:rsidRPr="00E84541" w:rsidRDefault="004D5986" w:rsidP="002F1077">
      <w:pPr>
        <w:keepNext/>
        <w:jc w:val="center"/>
      </w:pPr>
      <w:r w:rsidRPr="00E84541">
        <w:rPr>
          <w:noProof/>
          <w:lang w:bidi="ar-SA"/>
        </w:rPr>
        <w:drawing>
          <wp:inline distT="0" distB="0" distL="0" distR="0" wp14:anchorId="5B6F645C" wp14:editId="5B6A1109">
            <wp:extent cx="5105400" cy="2022587"/>
            <wp:effectExtent l="0" t="0" r="0" b="0"/>
            <wp:docPr id="211" name="Picture 211" descr="Fig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igA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108141" cy="2023673"/>
                    </a:xfrm>
                    <a:prstGeom prst="rect">
                      <a:avLst/>
                    </a:prstGeom>
                    <a:noFill/>
                    <a:ln>
                      <a:noFill/>
                    </a:ln>
                  </pic:spPr>
                </pic:pic>
              </a:graphicData>
            </a:graphic>
          </wp:inline>
        </w:drawing>
      </w:r>
    </w:p>
    <w:p w14:paraId="3BE92D9F" w14:textId="77777777" w:rsidR="004D5986" w:rsidRPr="00E84541" w:rsidRDefault="004D5986" w:rsidP="00607DF1">
      <w:pPr>
        <w:pStyle w:val="Caption"/>
      </w:pPr>
      <w:bookmarkStart w:id="212" w:name="_Ref529125996"/>
      <w:r w:rsidRPr="00E84541">
        <w:t xml:space="preserve">Figure A. </w:t>
      </w:r>
      <w:r w:rsidR="00CE1F3C">
        <w:fldChar w:fldCharType="begin"/>
      </w:r>
      <w:r w:rsidR="00CE1F3C">
        <w:instrText xml:space="preserve"> SEQ Figure_A. \* ARABIC </w:instrText>
      </w:r>
      <w:r w:rsidR="00CE1F3C">
        <w:fldChar w:fldCharType="separate"/>
      </w:r>
      <w:r w:rsidRPr="00E84541">
        <w:rPr>
          <w:noProof/>
        </w:rPr>
        <w:t>7</w:t>
      </w:r>
      <w:r w:rsidR="00CE1F3C">
        <w:rPr>
          <w:noProof/>
        </w:rPr>
        <w:fldChar w:fldCharType="end"/>
      </w:r>
      <w:bookmarkEnd w:id="212"/>
      <w:r w:rsidRPr="00E84541">
        <w:t xml:space="preserve">: A simple flowchart representation of the operations performed with the input image. Note that the 3 x 3 convolution block also accounts for the activation function. In the max pooling process, the maximum value of a subset of the input is stored and the image’s size (height and width) is reduced. </w:t>
      </w:r>
      <w:r>
        <w:t>H</w:t>
      </w:r>
      <w:r w:rsidRPr="00E84541">
        <w:t>ere we represent the resulting image as a composition of RGB channels</w:t>
      </w:r>
      <w:r>
        <w:t xml:space="preserve"> which</w:t>
      </w:r>
      <w:r w:rsidRPr="00E84541">
        <w:t xml:space="preserve">, during </w:t>
      </w:r>
      <w:r>
        <w:t xml:space="preserve">CNN </w:t>
      </w:r>
      <w:r w:rsidRPr="00E84541">
        <w:t xml:space="preserve">applications such result </w:t>
      </w:r>
      <w:r>
        <w:t xml:space="preserve">will eventually be </w:t>
      </w:r>
      <w:r w:rsidRPr="00E84541">
        <w:t xml:space="preserve">stacked </w:t>
      </w:r>
      <w:r>
        <w:t xml:space="preserve">into </w:t>
      </w:r>
      <w:r w:rsidRPr="00E84541">
        <w:t xml:space="preserve">a single channel.  </w:t>
      </w:r>
      <w:r w:rsidRPr="00E84541">
        <w:fldChar w:fldCharType="begin"/>
      </w:r>
      <w:r w:rsidRPr="00E84541">
        <w:instrText xml:space="preserve"> REF _Ref529126030 \h  \* MERGEFORMAT </w:instrText>
      </w:r>
      <w:r w:rsidRPr="00E84541">
        <w:fldChar w:fldCharType="separate"/>
      </w:r>
      <w:r w:rsidRPr="00E84541">
        <w:t xml:space="preserve">Figure A. </w:t>
      </w:r>
      <w:r w:rsidRPr="00E84541">
        <w:rPr>
          <w:noProof/>
        </w:rPr>
        <w:t>9</w:t>
      </w:r>
      <w:r w:rsidRPr="00E84541">
        <w:fldChar w:fldCharType="end"/>
      </w:r>
      <w:r w:rsidRPr="00E84541">
        <w:t xml:space="preserve"> shows how a max pooling layer works. </w:t>
      </w:r>
    </w:p>
    <w:p w14:paraId="7B87F42A" w14:textId="77777777" w:rsidR="004D5986" w:rsidRPr="00E84541" w:rsidRDefault="004D5986" w:rsidP="002F1077">
      <w:pPr>
        <w:pStyle w:val="Abstract"/>
        <w:keepNext/>
        <w:spacing w:line="480" w:lineRule="auto"/>
        <w:ind w:firstLine="0"/>
        <w:jc w:val="center"/>
      </w:pPr>
      <w:r w:rsidRPr="00E84541">
        <w:rPr>
          <w:noProof/>
        </w:rPr>
        <w:lastRenderedPageBreak/>
        <w:drawing>
          <wp:inline distT="0" distB="0" distL="0" distR="0" wp14:anchorId="0F1C6A87" wp14:editId="502F71DE">
            <wp:extent cx="5257800" cy="2949087"/>
            <wp:effectExtent l="0" t="0" r="0" b="381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62402" cy="2951668"/>
                    </a:xfrm>
                    <a:prstGeom prst="rect">
                      <a:avLst/>
                    </a:prstGeom>
                    <a:noFill/>
                    <a:ln>
                      <a:noFill/>
                    </a:ln>
                  </pic:spPr>
                </pic:pic>
              </a:graphicData>
            </a:graphic>
          </wp:inline>
        </w:drawing>
      </w:r>
    </w:p>
    <w:p w14:paraId="29AEF36F" w14:textId="77777777" w:rsidR="004D5986" w:rsidRPr="00E84541" w:rsidRDefault="004D5986" w:rsidP="00607DF1">
      <w:pPr>
        <w:pStyle w:val="Caption"/>
      </w:pPr>
      <w:bookmarkStart w:id="213" w:name="_Ref529126019"/>
      <w:r w:rsidRPr="00E84541">
        <w:t xml:space="preserve">Figure A. </w:t>
      </w:r>
      <w:r w:rsidR="00CE1F3C">
        <w:fldChar w:fldCharType="begin"/>
      </w:r>
      <w:r w:rsidR="00CE1F3C">
        <w:instrText xml:space="preserve"> SEQ Figure_A. \* ARABIC </w:instrText>
      </w:r>
      <w:r w:rsidR="00CE1F3C">
        <w:fldChar w:fldCharType="separate"/>
      </w:r>
      <w:r w:rsidRPr="00E84541">
        <w:rPr>
          <w:noProof/>
        </w:rPr>
        <w:t>8</w:t>
      </w:r>
      <w:r w:rsidR="00CE1F3C">
        <w:rPr>
          <w:noProof/>
        </w:rPr>
        <w:fldChar w:fldCharType="end"/>
      </w:r>
      <w:bookmarkEnd w:id="213"/>
      <w:r w:rsidRPr="00E84541">
        <w:t xml:space="preserve">: Visual representation of the image transformation occurring when an image goes through one convolution neuron. In this example, the image is convolved with the same kernel presented in </w:t>
      </w:r>
      <w:r w:rsidRPr="00E84541">
        <w:fldChar w:fldCharType="begin"/>
      </w:r>
      <w:r w:rsidRPr="00E84541">
        <w:instrText xml:space="preserve"> REF _Ref529125915 \h  \* MERGEFORMAT </w:instrText>
      </w:r>
      <w:r w:rsidRPr="00E84541">
        <w:fldChar w:fldCharType="separate"/>
      </w:r>
      <w:r w:rsidRPr="00E84541">
        <w:t xml:space="preserve">Figure A. </w:t>
      </w:r>
      <w:r w:rsidRPr="00E84541">
        <w:rPr>
          <w:noProof/>
        </w:rPr>
        <w:t>3</w:t>
      </w:r>
      <w:r w:rsidRPr="00E84541">
        <w:fldChar w:fldCharType="end"/>
      </w:r>
      <w:r w:rsidRPr="00E84541">
        <w:t xml:space="preserve">. The result of the convolution then goes through the activation function in which every pixel has its values scaled. Note how the resulting image after the activation function is similar to the one  in </w:t>
      </w:r>
      <w:r w:rsidRPr="00E84541">
        <w:fldChar w:fldCharType="begin"/>
      </w:r>
      <w:r w:rsidRPr="00E84541">
        <w:instrText xml:space="preserve"> REF _Ref529125915 \h  \* MERGEFORMAT </w:instrText>
      </w:r>
      <w:r w:rsidRPr="00E84541">
        <w:fldChar w:fldCharType="separate"/>
      </w:r>
      <w:r w:rsidRPr="00E84541">
        <w:t xml:space="preserve">Figure A. </w:t>
      </w:r>
      <w:r w:rsidRPr="00E84541">
        <w:rPr>
          <w:noProof/>
        </w:rPr>
        <w:t>3</w:t>
      </w:r>
      <w:r w:rsidRPr="00E84541">
        <w:fldChar w:fldCharType="end"/>
      </w:r>
      <w:r w:rsidRPr="00E84541">
        <w:t xml:space="preserve">; this is a simple (but nonlinear) rescaling process. In general, the resulting process is a single channel (grayscale) image as the three bands are stacked, we choose to represent the fusulinid in RGB for better visualization. </w:t>
      </w:r>
    </w:p>
    <w:p w14:paraId="37BDACB0" w14:textId="77777777" w:rsidR="004D5986" w:rsidRPr="00E84541" w:rsidRDefault="004D5986" w:rsidP="002F1077">
      <w:pPr>
        <w:keepNext/>
        <w:jc w:val="center"/>
      </w:pPr>
      <w:r w:rsidRPr="00E84541">
        <w:rPr>
          <w:noProof/>
          <w:lang w:bidi="ar-SA"/>
        </w:rPr>
        <w:drawing>
          <wp:inline distT="0" distB="0" distL="0" distR="0" wp14:anchorId="47302DA9" wp14:editId="1E548855">
            <wp:extent cx="5314950" cy="2180492"/>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25041" cy="2184632"/>
                    </a:xfrm>
                    <a:prstGeom prst="rect">
                      <a:avLst/>
                    </a:prstGeom>
                    <a:noFill/>
                    <a:ln>
                      <a:noFill/>
                    </a:ln>
                  </pic:spPr>
                </pic:pic>
              </a:graphicData>
            </a:graphic>
          </wp:inline>
        </w:drawing>
      </w:r>
    </w:p>
    <w:p w14:paraId="02969ABB" w14:textId="77777777" w:rsidR="004D5986" w:rsidRPr="00E84541" w:rsidRDefault="004D5986" w:rsidP="00607DF1">
      <w:pPr>
        <w:pStyle w:val="Caption"/>
      </w:pPr>
      <w:bookmarkStart w:id="214" w:name="_Ref529126030"/>
      <w:r w:rsidRPr="00E84541">
        <w:t xml:space="preserve">Figure A. </w:t>
      </w:r>
      <w:r w:rsidR="00CE1F3C">
        <w:fldChar w:fldCharType="begin"/>
      </w:r>
      <w:r w:rsidR="00CE1F3C">
        <w:instrText xml:space="preserve"> SEQ Figure_A</w:instrText>
      </w:r>
      <w:r w:rsidR="00CE1F3C">
        <w:instrText xml:space="preserve">. \* ARABIC </w:instrText>
      </w:r>
      <w:r w:rsidR="00CE1F3C">
        <w:fldChar w:fldCharType="separate"/>
      </w:r>
      <w:r w:rsidRPr="00E84541">
        <w:rPr>
          <w:noProof/>
        </w:rPr>
        <w:t>9</w:t>
      </w:r>
      <w:r w:rsidR="00CE1F3C">
        <w:rPr>
          <w:noProof/>
        </w:rPr>
        <w:fldChar w:fldCharType="end"/>
      </w:r>
      <w:bookmarkEnd w:id="214"/>
      <w:r w:rsidRPr="00E84541">
        <w:t>: A representation of the “max pooling” operation, where the output is simply the maximum value of a subset of the input. Colors are used to facilitate visualization. Different strides and padding techniques can be used with pooling layers, as well as different statistics (minimum, average, median, or other statistical measures).</w:t>
      </w:r>
      <w:r>
        <w:t xml:space="preserve"> In this example, the stride is two in each direction such that the windows do not overlap. </w:t>
      </w:r>
    </w:p>
    <w:p w14:paraId="66BAB3A6" w14:textId="77777777" w:rsidR="004D5986" w:rsidRPr="00E84541" w:rsidRDefault="004D5986" w:rsidP="002F1077">
      <w:pPr>
        <w:keepNext/>
        <w:jc w:val="center"/>
      </w:pPr>
      <w:r w:rsidRPr="00E84541">
        <w:rPr>
          <w:noProof/>
          <w:lang w:bidi="ar-SA"/>
        </w:rPr>
        <w:lastRenderedPageBreak/>
        <w:drawing>
          <wp:inline distT="0" distB="0" distL="0" distR="0" wp14:anchorId="2BFEF9D9" wp14:editId="6FC3D2EB">
            <wp:extent cx="5314950" cy="2844861"/>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18020" cy="2846504"/>
                    </a:xfrm>
                    <a:prstGeom prst="rect">
                      <a:avLst/>
                    </a:prstGeom>
                    <a:noFill/>
                    <a:ln>
                      <a:noFill/>
                    </a:ln>
                  </pic:spPr>
                </pic:pic>
              </a:graphicData>
            </a:graphic>
          </wp:inline>
        </w:drawing>
      </w:r>
    </w:p>
    <w:p w14:paraId="238ADE98" w14:textId="77777777" w:rsidR="004D5986" w:rsidRDefault="004D5986" w:rsidP="00607DF1">
      <w:pPr>
        <w:pStyle w:val="Caption"/>
      </w:pPr>
      <w:bookmarkStart w:id="215" w:name="_Ref528588457"/>
      <w:r w:rsidRPr="00E84541">
        <w:t xml:space="preserve">Figure A. </w:t>
      </w:r>
      <w:r w:rsidR="00CE1F3C">
        <w:fldChar w:fldCharType="begin"/>
      </w:r>
      <w:r w:rsidR="00CE1F3C">
        <w:instrText xml:space="preserve"> SEQ Figure_A. \* ARABIC </w:instrText>
      </w:r>
      <w:r w:rsidR="00CE1F3C">
        <w:fldChar w:fldCharType="separate"/>
      </w:r>
      <w:r w:rsidRPr="00E84541">
        <w:rPr>
          <w:noProof/>
        </w:rPr>
        <w:t>10</w:t>
      </w:r>
      <w:r w:rsidR="00CE1F3C">
        <w:rPr>
          <w:noProof/>
        </w:rPr>
        <w:fldChar w:fldCharType="end"/>
      </w:r>
      <w:bookmarkEnd w:id="215"/>
      <w:r w:rsidRPr="00E84541">
        <w:t xml:space="preserve">: Max pooling of the image result shown in </w:t>
      </w:r>
      <w:r w:rsidRPr="00E84541">
        <w:fldChar w:fldCharType="begin"/>
      </w:r>
      <w:r w:rsidRPr="00E84541">
        <w:instrText xml:space="preserve"> REF _Ref529126019 \h </w:instrText>
      </w:r>
      <w:r>
        <w:instrText xml:space="preserve"> \* MERGEFORMAT </w:instrText>
      </w:r>
      <w:r w:rsidRPr="00E84541">
        <w:fldChar w:fldCharType="separate"/>
      </w:r>
      <w:r w:rsidRPr="00E84541">
        <w:t xml:space="preserve">Figure A. </w:t>
      </w:r>
      <w:r w:rsidRPr="00E84541">
        <w:rPr>
          <w:noProof/>
        </w:rPr>
        <w:t>8</w:t>
      </w:r>
      <w:r w:rsidRPr="00E84541">
        <w:fldChar w:fldCharType="end"/>
      </w:r>
      <w:r w:rsidRPr="00E84541">
        <w:t xml:space="preserve">. Note that the image is essentially the same, but that the colors are slightly different and that the image size (height and width) has been reduced.  </w:t>
      </w:r>
    </w:p>
    <w:p w14:paraId="218A3E4B" w14:textId="77777777" w:rsidR="0019756A" w:rsidRDefault="0019756A">
      <w:pPr>
        <w:spacing w:line="240" w:lineRule="auto"/>
      </w:pPr>
    </w:p>
    <w:p w14:paraId="4F848B40" w14:textId="77777777" w:rsidR="00687303" w:rsidRPr="00E84541" w:rsidRDefault="00687303" w:rsidP="004F4884">
      <w:pPr>
        <w:pStyle w:val="Heading2"/>
      </w:pPr>
      <w:bookmarkStart w:id="216" w:name="_Toc26534623"/>
      <w:r>
        <w:t>References</w:t>
      </w:r>
      <w:bookmarkEnd w:id="216"/>
    </w:p>
    <w:p w14:paraId="2ADF0572"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t>Abadi, M., Barham, P., Chen, J., Chen, Z., Davis, A., Dean, J., Devin, M., Ghemawat, S., Irving, G., Isard, M., Kudlur, M., Levenberg, J., Monga, R., Moore, S., Murray, D.G., Steiner, B., Tucker, P., Vasudevan, V., Warden, P., Wicke, M., Yu, Y. and Zheng, X. 2016. TensorFlow: A system for large-scale machine learning, p. 265–283. 12th USENIX Symposium on Operating Systems Design and Implementation (OSDI 16). Retrieved from https://www.usenix.org/system/files/conference/osdi16/osdi16-abadi.pdf.</w:t>
      </w:r>
    </w:p>
    <w:p w14:paraId="48E0AF2B"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691AC3">
        <w:rPr>
          <w:rFonts w:cstheme="minorHAnsi"/>
          <w:lang w:val="de-DE"/>
        </w:rPr>
        <w:t xml:space="preserve">Agarwal, S., Ogier Du Terrail, J. and Jurie, F. 2018. </w:t>
      </w:r>
      <w:r w:rsidRPr="005A60FA">
        <w:rPr>
          <w:rFonts w:cstheme="minorHAnsi"/>
        </w:rPr>
        <w:t>Recent Advances in Object Detection in the Age of Deep Convolutional Neural Networks. ArXiv e-prints.</w:t>
      </w:r>
    </w:p>
    <w:p w14:paraId="6EACECC5"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t>Alexander, R. 1954. Desmoinesian Fusulinids of Northeastern Oklahoma. Oklahoma Geological Survey. Retrieved July 15, 2018, from http://ogs.ou.edu/docs/circulars/C31.pdf.</w:t>
      </w:r>
    </w:p>
    <w:p w14:paraId="7B042DD6"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t>Barrick, J.E. and Wahlman, G.P. 2019. Conodont and fusulinid biostratigraphy of the Strawn Group (Desmoinesian, Middle Pennsylvanian) and lower part of the" Wolfcamp Shale"(Missourian-Virgilian, Late Pennsylvanian) in the northern Midland Basin, West Texas. Stratigraphy 16:65–86.</w:t>
      </w:r>
    </w:p>
    <w:p w14:paraId="6A5F56B6"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t>Blagoderov, V., Kitching, I.J., Livermore, L., Simonsen, T.J. and Smith, V.S. 2012. No specimen left behind: industrial scale digitization of natural history collections. ZooKeys 133–46. Pensoft Publishers. doi:10.3897/zookeys.209.3178.</w:t>
      </w:r>
    </w:p>
    <w:p w14:paraId="668E7A94"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t>Bloice, M.D., Roth, P.M. and Holzinger, A. 2019. Biomedical image augmentation using Augmentor. Bioinformatics. doi:10.1093/bioinformatics/btz259.</w:t>
      </w:r>
    </w:p>
    <w:p w14:paraId="03016047"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t>Carranza-Rojas, J., Goeau, H., Bonnet, P., Mata-Montero, E. and Joly, A. 2017. Going deeper in the automated identification of Herbarium specimens. BMC Evolutionary Biology 17:181. BioMed Central. doi:10.1186/s12862-017-1014-z.</w:t>
      </w:r>
    </w:p>
    <w:p w14:paraId="66D73578"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t xml:space="preserve">Chollet, F. and </w:t>
      </w:r>
      <w:r w:rsidR="00C6706E">
        <w:rPr>
          <w:rFonts w:cstheme="minorHAnsi"/>
        </w:rPr>
        <w:t>others. 2015</w:t>
      </w:r>
      <w:r w:rsidRPr="005A60FA">
        <w:rPr>
          <w:rFonts w:cstheme="minorHAnsi"/>
        </w:rPr>
        <w:t>. Retrieved from https://keras.io.</w:t>
      </w:r>
    </w:p>
    <w:p w14:paraId="692B26D8"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lastRenderedPageBreak/>
        <w:t>Culver, S.J. 2003. Benthic foraminifera across the Cretaceous–Tertiary (K–T) boundary: a review. Marine Micropaleontology 47:177–226. Elsevier. doi:10.1016/S0377-8398(02)00117-2.</w:t>
      </w:r>
    </w:p>
    <w:p w14:paraId="377E0CAD"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t>Dumoulin, V. and Visin, F. 2016. A guide to convolution arithmetic for deep learning. ArXiv e-prints.</w:t>
      </w:r>
    </w:p>
    <w:p w14:paraId="79B92B60"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t>Ellwood, E.R., Dunckel, B.A., Flemons, P., Guralnick, R., Nelson, G., Newman, G., Newman, S., Paul, D., Riccardi, G., Rios, N., Seltmann, K.C. and Mast, A.R. 2015. Accelerating the Digitization of Biodiversity Research Specimens through Online Public Participation. BioScience 65:383–396. Oxford University Press. doi:10.1093/biosci/biv005.</w:t>
      </w:r>
    </w:p>
    <w:p w14:paraId="4FC1FC9B"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t>Esteva, A., Kuprel, B., Novoa, R.A., Ko, J., Swetter, S.M., Blau, H.M. and Thrun, S. 2017. Dermatologist-level classification of skin cancer with deep neural networks. Nature 542:115–118. Nature Publishing Group. doi:10.1038/nature21056.</w:t>
      </w:r>
    </w:p>
    <w:p w14:paraId="6004B487"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t>Farley, M.B. and Armentrout, J.M. 2000. Fossils in the Oil Patch. Geotimes 14–17. Retrieved from http://www.geotimes.org/oct00/oilpatch.html.</w:t>
      </w:r>
    </w:p>
    <w:p w14:paraId="2F8E804D"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t>Farley, M.B. and Armentrout, J.M. 2002. Tools, Biostratigraphy becoming lost art in rush to find new exploration. Offshore 94–95. Retrieved from https://www.offshore-mag.com/articles/print/volume-62/issue-2/news/biostratigraphy-becoming-lost-art-in-rush-to-find-new-exploration-tools.html.</w:t>
      </w:r>
    </w:p>
    <w:p w14:paraId="08DCDAF9"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t>Glorot, X. and Bengio, Y. 2010. Understanding the difficulty of training deep feedforward neural networks, p. In Proceedings of the International Conference on Artificial Intelligence and Statistics (AISTATS’10). Society for Artificial Intelligence and Statistics.</w:t>
      </w:r>
    </w:p>
    <w:p w14:paraId="1BC9437F"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t>Gomez Villa, A., Salazar, A. and Vargas, F. 2017. Towards automatic wild animal monitoring: Identification of animal species in camera-trap images using very deep convolutional neural networks. Ecological Informatics 41:24–32. Elsevier. doi:10.1016/J.ECOINF.2017.07.004.</w:t>
      </w:r>
    </w:p>
    <w:p w14:paraId="132F2C17"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t>Gooday, A.J. 1994. The Biology of Deep-Sea Foraminifera: A Review of Some Advances and Their Applications in Paleoceanography. PALAIOS 9:14. SEPM Society for Sedimentary Geology. doi:10.2307/3515075.</w:t>
      </w:r>
    </w:p>
    <w:p w14:paraId="13BB36BD"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t>Han, J., Morris, S.C., Ou, Q., Shu, D. and Huang, H. 2017. Meiofaunal deuterostomes from the basal Cambrian of Shaanxi (China). Nature 542:228–231. Nature Publishing Group. doi:10.1038/nature21072.</w:t>
      </w:r>
    </w:p>
    <w:p w14:paraId="102FB5F9"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t>He, K., Zhang, X., Ren, S. and Sun, J. 2016. Identity Mappings in Deep Residual Networks, p. 630–645. In Leibe, B., Matas, J., Sebe, N., and Welling, M. (eds.), Computer Vision -- ECCV 2016. Springer International Publishing, Cham.</w:t>
      </w:r>
    </w:p>
    <w:p w14:paraId="1164C59C"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t>Hogancamp, N.J. and Manship, L.L. 2016. Comparison of morphometric techniques and the ability to accurately reconstruct the form and distinguish between species of the Palmatolepis winchelli group-Conodonta, Upper Devonian. MICROPALEONTOLOGY 62:439–451. MICRO PRESS 6530 KISSENA BLVD, FLUSHING, NY 11367 USA.</w:t>
      </w:r>
    </w:p>
    <w:p w14:paraId="61FDB555"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t>Huang, G., Liu, Z. and Weinberger, K.Q. 2016. Densely Connected Convolutional Networks. CoRR abs/1608.0. Retrieved from http://arxiv.org/abs/1608.06993.</w:t>
      </w:r>
    </w:p>
    <w:p w14:paraId="5D22588A"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t>Kobayashi, F. 2012. Late Paleozoic Foraminifers from Limestone Blocks and Fragments of the Permian Tsunemori Formation and Their Connection to the Akiyoshi Limestone Group, Southwest Japan. Paleontological Research 16:219–243. Palaeontological Society of Japan. doi:10.2517/1342-8144-16.3.219.</w:t>
      </w:r>
    </w:p>
    <w:p w14:paraId="09AB9E19"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t>Kobayashi, F. and Furutani, H. 2019. Late Early Permian Fusulines along Gongendani, South of Mt. Ryozen, Shiga Prefecture, Central Japan. Paleontological Research 23:131. Palaeontological Society of Japan. doi:10.2517/2018PR014.</w:t>
      </w:r>
    </w:p>
    <w:p w14:paraId="17DCD125"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lastRenderedPageBreak/>
        <w:t>Koch, G.R. 2015. Siamese Neural Networks for One-Shot Image Recognition, p. .</w:t>
      </w:r>
    </w:p>
    <w:p w14:paraId="0D50246E"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t>Kong, S., Punyasena, S. and Fowlkes, C. 2016. Spatially Aware Dictionary Learning and Coding for Fossil Pollen Identification, p. 1305–1314. 2016 IEEE Conference on Computer Vision and Pattern Recognition Workshops (CVPRW). IEEE. doi:10.1109/CVPRW.2016.165.</w:t>
      </w:r>
    </w:p>
    <w:p w14:paraId="569234F9"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t>Kossovaya, O.L., Novak, M. and Weyer, D. 2016. Large-sized Early Permian “caninioid” corals from the Karavanke Mountains, Slovenia. Journal of Paleontology 90:1049–1067. Paleontological Society. doi:10.1017/jpa.2016.105.</w:t>
      </w:r>
    </w:p>
    <w:p w14:paraId="42072A52"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t>Krizhevsky, A., Sutskever, I. and Hinton, G.E. 2012. ImageNet Classification with Deep Convolutional Neural Networks, p. 1097–1105. Proceedings of the 25th International Conference on Neural Information Processing Systems - Volume 1. NIPS’12. Curran Associates Inc., USA. Retrieved from http://dl.acm.org/citation.cfm?id=2999134.2999257.</w:t>
      </w:r>
    </w:p>
    <w:p w14:paraId="27EF5AEA"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t>Kucera, M. 2007. Chapter Six Planktonic Foraminifera as Tracers of Past Oceanic Environments, p. 1, 213–262. In Hillaire–Marcel, C. and Vernal, A. De (eds.), Proxies in Late Cenozoic Paleoceanography. Developments in Marine Geology. Elsevier. doi:https://doi.org/10.1016/S1572-5480(07)01011-1.</w:t>
      </w:r>
    </w:p>
    <w:p w14:paraId="247F95A8"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t>Lake, B.M., Salakhutdinov, R. and Tenenbaum, J.B. 2015. Human-level concept learning through probabilistic program induction. Science (New York, N.Y.) 350:1332–8. American Association for the Advancement of Science. doi:10.1126/science.aab3050.</w:t>
      </w:r>
    </w:p>
    <w:p w14:paraId="4D9D0EEB"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t>LeCun, Y., Bengio, Y. and Hinton, G. 2015. Deep learning. Nature 521:436–444. Nature Publishing Group. doi:10.1038/nature14539.</w:t>
      </w:r>
    </w:p>
    <w:p w14:paraId="1D5232C0"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t>Machine Learning Glossary  |  Google Developers. . Retrieved January 21, 2019, from https://developers.google.com/machine-learning/glossary/#top_of_page.</w:t>
      </w:r>
    </w:p>
    <w:p w14:paraId="7571C05F"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t>Norouzzadeh, M.S., Nguyen, A., Kosmala, M., Swanson, A., Palmer, M.S., Packer, C. and Clune, J. 2018. Automatically identifying, counting, and describing wild animals in camera-trap images with deep learning. Proceedings of the National Academy of Sciences of the United States of America 115:E5716–E5725. National Academy of Sciences. doi:10.1073/pnas.1719367115.</w:t>
      </w:r>
    </w:p>
    <w:p w14:paraId="27EDE770"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t>Olah, C., Mordvintsev, A. and Schubert, L. 2017. Feature Visualization. Distill. doi:10.23915/distill.00007.</w:t>
      </w:r>
    </w:p>
    <w:p w14:paraId="6CD46EF4"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t>Olah, C., Satyanarayan, A., Johnson, I., Carter, S., Schubert, L., Ye, K. and Mordvintsev, A. 2018. The Building Blocks of Interpretability. Distill. doi:10.23915/distill.00010.</w:t>
      </w:r>
    </w:p>
    <w:p w14:paraId="2CB17A7B"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t>Pan, S.J. and Yang, Q. 2010. A Survey on Transfer Learning. IEEE Transactions on Knowledge and Data Engineering 22:1345–1359. doi:10.1109/TKDE.2009.191.</w:t>
      </w:r>
    </w:p>
    <w:p w14:paraId="2FB493A1"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t>Pires de Lima, R., Bonar, A., Coronado, D.D., Marfurt, K. and Nicholson, C. 2019. Deep convolutional neural networks as a geological image classification tool. The Sedimentary Record 17:4–9. doi:10.210/sedred.2019.2.</w:t>
      </w:r>
    </w:p>
    <w:p w14:paraId="3D906440"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t>Pires de Lima, R., Suriamin, F., Marfurt, K.J. and Pranter, M.J. 2019. Convolutional neural networks as aid in core lithofacies classification. Interpretation 7:SF27–SF40. doi:10.1190/INT-2018-0245.1.</w:t>
      </w:r>
    </w:p>
    <w:p w14:paraId="6762C024"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t>Ranaweera, K., Harrison, A.P., Bains, S. and Joseph, D. 2009. Feasibility of computer-aided identification of foraminiferal tests. Marine Micropaleontology 72:66–75. Elsevier. doi:10.1016/J.MARMICRO.2009.03.005.</w:t>
      </w:r>
    </w:p>
    <w:p w14:paraId="52721D90"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t>Roozpeykar, A. and Moghaddam, I.M. 2016. Benthic foraminifera as biostratigraphical and paleoecological indicators: An example from Oligo-Miocene deposits in the SW of Zagros basin, Iran. Geoscience Frontiers 7:125–140. Elsevier. doi:10.1016/J.GSF.2015.03.005.</w:t>
      </w:r>
    </w:p>
    <w:p w14:paraId="7EE4FA25"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t xml:space="preserve">Russakovsky, O., Deng, J., Su, H., Krause, J., Satheesh, S., Ma, S., Huang, Z., Karpathy, A., </w:t>
      </w:r>
      <w:r w:rsidRPr="005A60FA">
        <w:rPr>
          <w:rFonts w:cstheme="minorHAnsi"/>
        </w:rPr>
        <w:lastRenderedPageBreak/>
        <w:t>Khosla, A., Bernstein, M., Berg, A.C. and Fei-Fei, L. 2015. ImageNet Large Scale Visual Recognition Challenge. International Journal of Computer Vision 115:211–252. Springer US. doi:10.1007/s11263-015-0816-y.</w:t>
      </w:r>
    </w:p>
    <w:p w14:paraId="315D5FAB"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t>Sandler, M., Howard, A., Zhu, M., Zhmoginov, A. and Chen, L.-C. 2018. MobileNetV2: Inverted Residuals and Linear Bottlenecks. ArXiv e-prints.</w:t>
      </w:r>
    </w:p>
    <w:p w14:paraId="662BF145"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t>Santoro, A., Bartunov, S., Botvinick, M., Wierstra, D. and Lillicrap, T.P. 2016. One-shot Learning with Memory-Augmented Neural Networks. CoRR abs/1605.0. Retrieved from http://arxiv.org/abs/1605.06065.</w:t>
      </w:r>
    </w:p>
    <w:p w14:paraId="3ED3CF37"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t>Sevillano, V. and Aznarte, J.L. 2018. Improving classification of pollen grain images of the POLEN23E dataset through three different applications of deep learning convolutional neural networks. (S. Rutherford, Ed.)PLOS ONE 13:e0201807. Public Library of Science. doi:10.1371/journal.pone.0201807.</w:t>
      </w:r>
    </w:p>
    <w:p w14:paraId="5EC14114"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t>Simonyan, K. and Zisserman, A. 2014. Very Deep Convolutional Networks for Large-Scale Image Recognition. ArXiv e–prints. Retrieved August 6, 2018, from http://arxiv.org/abs/1409.1556.</w:t>
      </w:r>
    </w:p>
    <w:p w14:paraId="36EA7CC6"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t>Srivastava, N., Hinton, G., Krizhevsky, A., Sutskever, I. and Salakhutdinov, R. 2014. Dropout: A Simple Way to Prevent Neural Networks from Overfitting. Journal of Machine Learning Research 15:1929–1958. JMLR.org. Retrieved from http://dl.acm.org/citation.cfm?id=2627435.2670313.</w:t>
      </w:r>
    </w:p>
    <w:p w14:paraId="5CC18FF8"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t>Stevens, C.H. and Stone, P. 2009. New Fusulinids from Lower Permian Turbidites at Conglomerate Mesa, Southeastern Inyo Mountains, East-central California. Journal of Paleontology 83:399–404. doi:10.1666/08-162.1.</w:t>
      </w:r>
    </w:p>
    <w:p w14:paraId="08BD0759"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t>Szegedy, C., Liu, W., Jia, Y., Sermanet, P., Reed, S.E., Anguelov, D., Erhan, D., Vanhoucke, V. and Rabinovich, A. 2014. Going Deeper with Convolutions. CoRR abs/1409.4. Retrieved from http://arxiv.org/abs/1409.4842.</w:t>
      </w:r>
    </w:p>
    <w:p w14:paraId="56CF842C"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t>Szegedy, C., Toshev, A. and Erhan, D. 2013. Deep Neural Networks for Object Detection, p. 2553–2561. In Burges, C.J.C., Bottou, L., Welling, M., Ghahramani, Z., and Weinberger, K.Q. (eds.), Advances in Neural Information Processing Systems 26. Curran Associates, Inc. Retrieved from http://papers.nips.cc/paper/5207-deep-neural-networks-for-object-detection.pdf.</w:t>
      </w:r>
    </w:p>
    <w:p w14:paraId="720E7794"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t>Szegedy, C., Vanhoucke, V., Ioffe, S., Shlens, J. and Wojna, Z. 2015. Rethinking the Inception Architecture for Computer Vision. CoRR abs/1512.0. Retrieved June 27, 2018, from http://arxiv.org/abs/1512.00567.</w:t>
      </w:r>
    </w:p>
    <w:p w14:paraId="300E62AD"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t>Tajbakhsh, N., Shin, J.Y., Gurudu, S.R., Hurst, R.T., Kendall, C.B., Gotway, M.B. and Liang, J. 2016. Convolutional Neural Networks for Medical Image Analysis: Full Training or Fine Tuning? IEEE Transactions on Medical Imaging 35:1299–1312. doi:10.1109/TMI.2016.2535302.</w:t>
      </w:r>
    </w:p>
    <w:p w14:paraId="32EC4EB4"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t>Waddell, D.E. 1966. Pennsylvanian fusulinids in the Ardmore Basin - Love and Carter counties, Oklahoma. Oklahoma Geological Survey Bulletin 113.</w:t>
      </w:r>
    </w:p>
    <w:p w14:paraId="2E9430A6"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t>Wahlman, G.P. 2019. Pennsylvanian and Lower Permian Fusulinid Biostratigraphy of the Permian Basin Region, Southwestern USA, p. 167–227. In Ruppel, S.C. (ed.), Anatomy of a Paleozoic Basin: Th</w:t>
      </w:r>
      <w:r>
        <w:rPr>
          <w:rFonts w:cstheme="minorHAnsi"/>
        </w:rPr>
        <w:t>e Permian Basin, USA, Volume 1</w:t>
      </w:r>
      <w:r w:rsidRPr="005A60FA">
        <w:rPr>
          <w:rFonts w:cstheme="minorHAnsi"/>
        </w:rPr>
        <w:t>, Bureau of Economic Geology Report of Investigations 285; AAPG Memoir 118.</w:t>
      </w:r>
    </w:p>
    <w:p w14:paraId="061B214E"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t>Williams, T.E. 1963. Fusulinidae of the Hueco Group (Lower Permian) Hueco Mountains, Texas. Peabody Museum, Yale University.</w:t>
      </w:r>
    </w:p>
    <w:p w14:paraId="59D96E5F"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t xml:space="preserve">Yosinski, J., Clune, J., Bengio, Y. and Lipson, H. 2014. How transferable are features in deep </w:t>
      </w:r>
      <w:r w:rsidRPr="005A60FA">
        <w:rPr>
          <w:rFonts w:cstheme="minorHAnsi"/>
        </w:rPr>
        <w:lastRenderedPageBreak/>
        <w:t>neural networks? Advances in Neural Information Processing Systems 27:3320–3328. Retrieved August 6, 2018, from http://arxiv.org/abs/1411.1792.</w:t>
      </w:r>
    </w:p>
    <w:p w14:paraId="056C25D5" w14:textId="77777777" w:rsidR="00687303" w:rsidRPr="005A60FA"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t>Zhao, Z.-Q., Zheng, P., Xu, S. -t. and Wu, X. 2018. Object Detection with Deep Learning: A Review. ArXiv e-prints.</w:t>
      </w:r>
    </w:p>
    <w:p w14:paraId="20F3FE66" w14:textId="77777777" w:rsidR="004D5986" w:rsidRDefault="00687303" w:rsidP="00687303">
      <w:pPr>
        <w:widowControl w:val="0"/>
        <w:autoSpaceDE w:val="0"/>
        <w:autoSpaceDN w:val="0"/>
        <w:adjustRightInd w:val="0"/>
        <w:spacing w:line="240" w:lineRule="auto"/>
        <w:ind w:left="480" w:hanging="480"/>
        <w:rPr>
          <w:rFonts w:cstheme="minorHAnsi"/>
        </w:rPr>
      </w:pPr>
      <w:r w:rsidRPr="005A60FA">
        <w:rPr>
          <w:rFonts w:cstheme="minorHAnsi"/>
        </w:rPr>
        <w:t>Zhong, B., Ge, Q., Kanakiya, B., Marchitto, R.M.T. and Lobaton, E. 2017. A comparative study of image classification algorithms for Foraminifera identification, p. 1–8. 2017 IEEE Symposium Series on Computational Intelligence (SSCI). IEEE. doi:10.1109/SSCI.2017.8285164.</w:t>
      </w:r>
    </w:p>
    <w:p w14:paraId="4B73545D" w14:textId="77777777" w:rsidR="004D5986" w:rsidRDefault="004D5986">
      <w:pPr>
        <w:spacing w:line="240" w:lineRule="auto"/>
        <w:rPr>
          <w:rFonts w:cstheme="minorHAnsi"/>
        </w:rPr>
      </w:pPr>
      <w:r>
        <w:rPr>
          <w:rFonts w:cstheme="minorHAnsi"/>
        </w:rPr>
        <w:br w:type="page"/>
      </w:r>
    </w:p>
    <w:p w14:paraId="22784E4D" w14:textId="77777777" w:rsidR="008D2B5E" w:rsidRDefault="008D2B5E" w:rsidP="008D2B5E">
      <w:pPr>
        <w:pStyle w:val="Chapter"/>
      </w:pPr>
      <w:bookmarkStart w:id="217" w:name="_Toc26534624"/>
      <w:r w:rsidRPr="000F56FF">
        <w:lastRenderedPageBreak/>
        <w:t xml:space="preserve">Chapter </w:t>
      </w:r>
      <w:r>
        <w:t>5</w:t>
      </w:r>
      <w:r w:rsidRPr="000F56FF">
        <w:t xml:space="preserve">: </w:t>
      </w:r>
      <w:r w:rsidR="00AD2F03" w:rsidRPr="00AD2F03">
        <w:t>Convolutional neural network for remote sensing scene classification: transfer learning analysis</w:t>
      </w:r>
      <w:bookmarkEnd w:id="217"/>
    </w:p>
    <w:p w14:paraId="7C60A3A1" w14:textId="77777777" w:rsidR="008D2B5E" w:rsidRPr="00463EE9" w:rsidRDefault="008D2B5E" w:rsidP="008D2B5E">
      <w:r w:rsidRPr="005C205C">
        <w:t>Rafael Pires de Lima</w:t>
      </w:r>
      <w:r w:rsidRPr="005C205C">
        <w:rPr>
          <w:vertAlign w:val="superscript"/>
        </w:rPr>
        <w:t>1,2</w:t>
      </w:r>
      <w:r w:rsidRPr="005C205C">
        <w:t xml:space="preserve">, </w:t>
      </w:r>
      <w:r>
        <w:t>Kurt J. Marfurt</w:t>
      </w:r>
      <w:r>
        <w:rPr>
          <w:vertAlign w:val="superscript"/>
        </w:rPr>
        <w:t>1</w:t>
      </w:r>
      <w:r>
        <w:t xml:space="preserve">, </w:t>
      </w:r>
    </w:p>
    <w:p w14:paraId="22725884" w14:textId="77777777" w:rsidR="008D2B5E" w:rsidRDefault="008D2B5E" w:rsidP="008D2B5E">
      <w:r w:rsidRPr="005C205C">
        <w:rPr>
          <w:vertAlign w:val="superscript"/>
        </w:rPr>
        <w:t>1</w:t>
      </w:r>
      <w:r w:rsidRPr="005C205C">
        <w:t>School of Geology and Geophysics, The University of Oklahoma, 100 East Boyd Street, RM 710, Norman, Oklahoma, 73019, USA</w:t>
      </w:r>
    </w:p>
    <w:p w14:paraId="17BA91B4" w14:textId="77777777" w:rsidR="008D2B5E" w:rsidRDefault="008D2B5E" w:rsidP="008D2B5E">
      <w:r w:rsidRPr="005C205C">
        <w:rPr>
          <w:vertAlign w:val="superscript"/>
        </w:rPr>
        <w:t>2</w:t>
      </w:r>
      <w:r w:rsidRPr="005C205C">
        <w:t>The Geological Survey of Brazil – CPRM, 55 Rua Costa, São Paulo, São Paulo, Brazil</w:t>
      </w:r>
    </w:p>
    <w:p w14:paraId="6B746062" w14:textId="77777777" w:rsidR="008D2B5E" w:rsidRDefault="008D2B5E" w:rsidP="008D2B5E"/>
    <w:p w14:paraId="6AA28011" w14:textId="77777777" w:rsidR="008D2B5E" w:rsidRDefault="008D2B5E" w:rsidP="004F4884">
      <w:pPr>
        <w:pStyle w:val="Heading2"/>
      </w:pPr>
      <w:bookmarkStart w:id="218" w:name="_Toc26534625"/>
      <w:r>
        <w:t>Preface</w:t>
      </w:r>
      <w:bookmarkEnd w:id="218"/>
    </w:p>
    <w:p w14:paraId="7717FEBD" w14:textId="77777777" w:rsidR="00AD2F03" w:rsidRDefault="00703127" w:rsidP="00AD2F03">
      <w:r>
        <w:t xml:space="preserve">Here I show more details of the use of transfer learning making use of remote sensing data. I use different network structures, optimizers, and datasets to evaluate the performance of transfer learning versus training randomly initialized weights. This chapter will be submitted to a remote sensing journal. </w:t>
      </w:r>
    </w:p>
    <w:p w14:paraId="6E948E72" w14:textId="77777777" w:rsidR="00AD2F03" w:rsidRDefault="00AD2F03">
      <w:pPr>
        <w:spacing w:line="240" w:lineRule="auto"/>
      </w:pPr>
      <w:r>
        <w:br w:type="page"/>
      </w:r>
    </w:p>
    <w:p w14:paraId="542999EF" w14:textId="77777777" w:rsidR="00AD2F03" w:rsidRPr="00751EDD" w:rsidRDefault="00AD2F03" w:rsidP="004F4884">
      <w:pPr>
        <w:pStyle w:val="Heading2"/>
      </w:pPr>
      <w:bookmarkStart w:id="219" w:name="_Toc26534626"/>
      <w:r w:rsidRPr="00751EDD">
        <w:lastRenderedPageBreak/>
        <w:t>Abstract</w:t>
      </w:r>
      <w:bookmarkEnd w:id="219"/>
    </w:p>
    <w:p w14:paraId="5B033CAA" w14:textId="77777777" w:rsidR="004D5986" w:rsidRPr="00852292" w:rsidRDefault="004D5986" w:rsidP="004D5986">
      <w:pPr>
        <w:rPr>
          <w:rFonts w:ascii="Times New Roman" w:hAnsi="Times New Roman"/>
        </w:rPr>
      </w:pPr>
      <w:r w:rsidRPr="00852292">
        <w:rPr>
          <w:rFonts w:ascii="Times New Roman" w:hAnsi="Times New Roman"/>
        </w:rPr>
        <w:t>Remote sensing image scene classification can provide significant value, ranging from forest fire monitoring to land use and land cover classification. Beginning with the first aerial photographs of the early 20</w:t>
      </w:r>
      <w:r w:rsidRPr="00852292">
        <w:rPr>
          <w:rFonts w:ascii="Times New Roman" w:hAnsi="Times New Roman"/>
          <w:vertAlign w:val="superscript"/>
        </w:rPr>
        <w:t>th</w:t>
      </w:r>
      <w:r w:rsidRPr="00852292">
        <w:rPr>
          <w:rFonts w:ascii="Times New Roman" w:hAnsi="Times New Roman"/>
        </w:rPr>
        <w:t xml:space="preserve"> century to the satellite imagery of today, the amount of remote sensing data has increased geometrically with a higher resolution. The need to analyze these modern digital data motivated research to accelerate remote sensing image classification. Fortunately, great advances have been made by the computer vision community to classify natural images or photographs taken with an ordinary camera. Natural image datasets can range up to millions of samples, and are therefore amenable to deep learning techniques. Many fields of science, remote sensing included, were able to exploit the success of natural image classification by convolutional neural network models using a technique commonly called transfer learning. We provide a systematic review of transfer learning application for scene classification using different datasets and different deep learning models. We evaluate how the specialization of convolutional neural network models affect the transfer learning process by splitting original models in different points. As expected, we find the choice of hyperparameters used to train the model have a significant influence on the final performance of the models. Curiously, we find transfer learning from models trained on larger more generic natural images datasets outperformed transfer learning from models trained directly on smaller on remote sensing dataset. Nonetheless, results show that transfer learning provides a powerful tool for remote sensing scene classification.</w:t>
      </w:r>
    </w:p>
    <w:p w14:paraId="48377FB9" w14:textId="77777777" w:rsidR="00AD2F03" w:rsidRDefault="00AD2F03" w:rsidP="00AD2F03"/>
    <w:p w14:paraId="142BC1D0" w14:textId="77777777" w:rsidR="00AD2F03" w:rsidRPr="00751EDD" w:rsidRDefault="00AD2F03" w:rsidP="004F4884">
      <w:pPr>
        <w:pStyle w:val="Heading2"/>
      </w:pPr>
      <w:bookmarkStart w:id="220" w:name="_Toc26534627"/>
      <w:r w:rsidRPr="00751EDD">
        <w:t>Keywords</w:t>
      </w:r>
      <w:bookmarkEnd w:id="220"/>
    </w:p>
    <w:p w14:paraId="6DB707B9" w14:textId="77777777" w:rsidR="00AD2F03" w:rsidRPr="00751EDD" w:rsidRDefault="00AD2F03" w:rsidP="00AD2F03">
      <w:r>
        <w:t>Remote sensing</w:t>
      </w:r>
      <w:r w:rsidRPr="00751EDD">
        <w:t>, convolutional neural networks, transfer learning</w:t>
      </w:r>
    </w:p>
    <w:p w14:paraId="21B04922" w14:textId="77777777" w:rsidR="00AD2F03" w:rsidRPr="00751EDD" w:rsidRDefault="00AD2F03" w:rsidP="00AD2F03">
      <w:pPr>
        <w:spacing w:after="160" w:line="259" w:lineRule="auto"/>
        <w:rPr>
          <w:rFonts w:asciiTheme="majorHAnsi" w:eastAsiaTheme="majorEastAsia" w:hAnsiTheme="majorHAnsi" w:cstheme="majorBidi"/>
          <w:sz w:val="26"/>
          <w:szCs w:val="26"/>
        </w:rPr>
      </w:pPr>
      <w:r w:rsidRPr="00751EDD">
        <w:br w:type="page"/>
      </w:r>
    </w:p>
    <w:p w14:paraId="02F259D3" w14:textId="77777777" w:rsidR="00AD2F03" w:rsidRPr="00751EDD" w:rsidRDefault="00AD2F03" w:rsidP="004F4884">
      <w:pPr>
        <w:pStyle w:val="Heading2"/>
      </w:pPr>
      <w:bookmarkStart w:id="221" w:name="_Toc26534628"/>
      <w:r w:rsidRPr="00751EDD">
        <w:lastRenderedPageBreak/>
        <w:t>Glossary</w:t>
      </w:r>
      <w:bookmarkEnd w:id="221"/>
    </w:p>
    <w:p w14:paraId="266C972C" w14:textId="77777777" w:rsidR="004D5986" w:rsidRPr="00852292" w:rsidRDefault="004D5986" w:rsidP="004D5986">
      <w:pPr>
        <w:rPr>
          <w:rFonts w:ascii="Times New Roman" w:hAnsi="Times New Roman"/>
        </w:rPr>
      </w:pPr>
      <w:r w:rsidRPr="00852292">
        <w:rPr>
          <w:rFonts w:ascii="Times New Roman" w:hAnsi="Times New Roman"/>
        </w:rPr>
        <w:t xml:space="preserve">This short glossary provides common denominations in machine learning applications and used throughout the manuscript. Please refer to Google’s machine learning glossary for a more detailed list of terms </w:t>
      </w:r>
      <w:r w:rsidRPr="00852292">
        <w:rPr>
          <w:rFonts w:ascii="Times New Roman" w:hAnsi="Times New Roman"/>
        </w:rPr>
        <w:fldChar w:fldCharType="begin" w:fldLock="1"/>
      </w:r>
      <w:r w:rsidRPr="00852292">
        <w:rPr>
          <w:rFonts w:ascii="Times New Roman" w:hAnsi="Times New Roman"/>
        </w:rPr>
        <w:instrText>ADDIN CSL_CITATION {"citationItems":[{"id":"ITEM-1","itemData":{"URL":"https://developers.google.com/machine-learning/glossary/","accessed":{"date-parts":[["2019","11","3"]]},"author":[{"dropping-particle":"","family":"Google","given":"","non-dropping-particle":"","parse-names":false,"suffix":""}],"id":"ITEM-1","issued":{"date-parts":[["2019"]]},"title":"Machine Learning Glossary","type":"webpage"},"uris":["http://www.mendeley.com/documents/?uuid=661f824d-d9e7-3092-9b62-3cbb7f513cee"]}],"mendeley":{"formattedCitation":"(Google, 2019)","plainTextFormattedCitation":"(Google, 2019)","previouslyFormattedCitation":"(Google, 2019)"},"properties":{"noteIndex":0},"schema":"https://github.com/citation-style-language/schema/raw/master/csl-citation.json"}</w:instrText>
      </w:r>
      <w:r w:rsidRPr="00852292">
        <w:rPr>
          <w:rFonts w:ascii="Times New Roman" w:hAnsi="Times New Roman"/>
        </w:rPr>
        <w:fldChar w:fldCharType="separate"/>
      </w:r>
      <w:r w:rsidRPr="00852292">
        <w:rPr>
          <w:rFonts w:ascii="Times New Roman" w:hAnsi="Times New Roman"/>
          <w:noProof/>
        </w:rPr>
        <w:t>(Google, 2019)</w:t>
      </w:r>
      <w:r w:rsidRPr="00852292">
        <w:rPr>
          <w:rFonts w:ascii="Times New Roman" w:hAnsi="Times New Roman"/>
        </w:rPr>
        <w:fldChar w:fldCharType="end"/>
      </w:r>
      <w:r w:rsidRPr="00852292">
        <w:rPr>
          <w:rFonts w:ascii="Times New Roman" w:hAnsi="Times New Roman"/>
        </w:rPr>
        <w:t>.</w:t>
      </w:r>
    </w:p>
    <w:p w14:paraId="2EF02A36" w14:textId="77777777" w:rsidR="004D5986" w:rsidRPr="00852292" w:rsidRDefault="004D5986" w:rsidP="004D5986">
      <w:pPr>
        <w:pStyle w:val="ListParagraph"/>
        <w:numPr>
          <w:ilvl w:val="0"/>
          <w:numId w:val="33"/>
        </w:numPr>
        <w:rPr>
          <w:rFonts w:ascii="Times New Roman" w:hAnsi="Times New Roman"/>
        </w:rPr>
      </w:pPr>
      <w:bookmarkStart w:id="222" w:name="_Hlk14339771"/>
      <w:r w:rsidRPr="00852292">
        <w:rPr>
          <w:rFonts w:ascii="Times New Roman" w:hAnsi="Times New Roman"/>
          <w:b/>
        </w:rPr>
        <w:t>Accuracy</w:t>
      </w:r>
      <w:r w:rsidRPr="00852292">
        <w:rPr>
          <w:rFonts w:ascii="Times New Roman" w:hAnsi="Times New Roman"/>
        </w:rPr>
        <w:t xml:space="preserve">: the ratio between the number of correct classifications and the total number of classifications performed. Values range from 0.0 to 1.0 (equivalently, 0% to 100%). A perfect score of 1.0 means all classifications were correct whereas a score of 0.0 means all classifications were incorrect. </w:t>
      </w:r>
    </w:p>
    <w:p w14:paraId="4E901F13" w14:textId="77777777" w:rsidR="004D5986" w:rsidRPr="00852292" w:rsidRDefault="004D5986" w:rsidP="004D5986">
      <w:pPr>
        <w:pStyle w:val="ListParagraph"/>
        <w:numPr>
          <w:ilvl w:val="0"/>
          <w:numId w:val="33"/>
        </w:numPr>
        <w:rPr>
          <w:rFonts w:ascii="Times New Roman" w:hAnsi="Times New Roman"/>
        </w:rPr>
      </w:pPr>
      <w:r w:rsidRPr="00852292">
        <w:rPr>
          <w:rFonts w:ascii="Times New Roman" w:hAnsi="Times New Roman"/>
          <w:b/>
        </w:rPr>
        <w:t>Convolution</w:t>
      </w:r>
      <w:r w:rsidRPr="00852292">
        <w:rPr>
          <w:rFonts w:ascii="Times New Roman" w:hAnsi="Times New Roman"/>
        </w:rPr>
        <w:t>: a mathematical operation that combines input data and a convolutional kernel producing an output. In machine learning applications, a convolutional layer uses the convolutional kernel and the input data to train the convolutional kernel weights.</w:t>
      </w:r>
    </w:p>
    <w:p w14:paraId="0A05045B" w14:textId="449BDC7B" w:rsidR="004D5986" w:rsidRPr="00852292" w:rsidRDefault="004D5986" w:rsidP="004D5986">
      <w:pPr>
        <w:pStyle w:val="ListParagraph"/>
        <w:numPr>
          <w:ilvl w:val="0"/>
          <w:numId w:val="33"/>
        </w:numPr>
        <w:rPr>
          <w:rFonts w:ascii="Times New Roman" w:hAnsi="Times New Roman"/>
        </w:rPr>
      </w:pPr>
      <w:r w:rsidRPr="00852292">
        <w:rPr>
          <w:rFonts w:ascii="Times New Roman" w:hAnsi="Times New Roman"/>
          <w:b/>
        </w:rPr>
        <w:t>Convolution</w:t>
      </w:r>
      <w:r w:rsidR="00607DF1">
        <w:rPr>
          <w:rFonts w:ascii="Times New Roman" w:hAnsi="Times New Roman"/>
          <w:b/>
        </w:rPr>
        <w:t>al</w:t>
      </w:r>
      <w:r w:rsidRPr="00852292">
        <w:rPr>
          <w:rFonts w:ascii="Times New Roman" w:hAnsi="Times New Roman"/>
          <w:b/>
        </w:rPr>
        <w:t xml:space="preserve"> Neural Networks (CNN)</w:t>
      </w:r>
      <w:r w:rsidRPr="00852292">
        <w:rPr>
          <w:rFonts w:ascii="Times New Roman" w:hAnsi="Times New Roman"/>
        </w:rPr>
        <w:t xml:space="preserve">: a neuron network architecture in which at least one layer is a convolutional layer. </w:t>
      </w:r>
    </w:p>
    <w:p w14:paraId="7D84D279" w14:textId="77777777" w:rsidR="004D5986" w:rsidRPr="00852292" w:rsidRDefault="004D5986" w:rsidP="004D5986">
      <w:pPr>
        <w:pStyle w:val="ListParagraph"/>
        <w:numPr>
          <w:ilvl w:val="0"/>
          <w:numId w:val="33"/>
        </w:numPr>
        <w:rPr>
          <w:rFonts w:ascii="Times New Roman" w:hAnsi="Times New Roman"/>
        </w:rPr>
      </w:pPr>
      <w:r w:rsidRPr="00852292">
        <w:rPr>
          <w:rFonts w:ascii="Times New Roman" w:hAnsi="Times New Roman"/>
          <w:b/>
        </w:rPr>
        <w:t>Deep neural networks (DNN)</w:t>
      </w:r>
      <w:r w:rsidRPr="00852292">
        <w:rPr>
          <w:rFonts w:ascii="Times New Roman" w:hAnsi="Times New Roman"/>
        </w:rPr>
        <w:t>: an artificial neural network model containing multiple hidden layers.</w:t>
      </w:r>
    </w:p>
    <w:p w14:paraId="6B8B6DBB" w14:textId="77777777" w:rsidR="004D5986" w:rsidRPr="00852292" w:rsidRDefault="004D5986" w:rsidP="004D5986">
      <w:pPr>
        <w:pStyle w:val="ListParagraph"/>
        <w:numPr>
          <w:ilvl w:val="0"/>
          <w:numId w:val="33"/>
        </w:numPr>
        <w:rPr>
          <w:rFonts w:ascii="Times New Roman" w:hAnsi="Times New Roman"/>
        </w:rPr>
      </w:pPr>
      <w:r w:rsidRPr="00852292">
        <w:rPr>
          <w:rFonts w:ascii="Times New Roman" w:hAnsi="Times New Roman"/>
          <w:b/>
        </w:rPr>
        <w:t>Fine Tuning</w:t>
      </w:r>
      <w:r w:rsidRPr="00852292">
        <w:rPr>
          <w:rFonts w:ascii="Times New Roman" w:hAnsi="Times New Roman"/>
        </w:rPr>
        <w:t xml:space="preserve">: a secondary training step to further adjust the weights of a previously trained model so the model can better achieve a secondary task. </w:t>
      </w:r>
    </w:p>
    <w:p w14:paraId="5EFD8FD9" w14:textId="77777777" w:rsidR="004D5986" w:rsidRPr="00852292" w:rsidRDefault="004D5986" w:rsidP="004D5986">
      <w:pPr>
        <w:pStyle w:val="ListParagraph"/>
        <w:numPr>
          <w:ilvl w:val="0"/>
          <w:numId w:val="33"/>
        </w:numPr>
        <w:rPr>
          <w:rFonts w:ascii="Times New Roman" w:hAnsi="Times New Roman"/>
        </w:rPr>
      </w:pPr>
      <w:r w:rsidRPr="00852292">
        <w:rPr>
          <w:rFonts w:ascii="Times New Roman" w:hAnsi="Times New Roman"/>
          <w:b/>
        </w:rPr>
        <w:t>Label:</w:t>
      </w:r>
      <w:r w:rsidRPr="00852292">
        <w:rPr>
          <w:rFonts w:ascii="Times New Roman" w:hAnsi="Times New Roman"/>
        </w:rPr>
        <w:t xml:space="preserve"> the names applied to an instance, sample, or example (for image classification, an image) associating it with a given class.</w:t>
      </w:r>
    </w:p>
    <w:p w14:paraId="40846DD8" w14:textId="77777777" w:rsidR="004D5986" w:rsidRPr="00852292" w:rsidRDefault="004D5986" w:rsidP="004D5986">
      <w:pPr>
        <w:pStyle w:val="ListParagraph"/>
        <w:numPr>
          <w:ilvl w:val="0"/>
          <w:numId w:val="33"/>
        </w:numPr>
        <w:rPr>
          <w:rFonts w:ascii="Times New Roman" w:hAnsi="Times New Roman"/>
        </w:rPr>
      </w:pPr>
      <w:r w:rsidRPr="00852292">
        <w:rPr>
          <w:rFonts w:ascii="Times New Roman" w:hAnsi="Times New Roman"/>
          <w:b/>
        </w:rPr>
        <w:t>Layer:</w:t>
      </w:r>
      <w:r w:rsidRPr="00852292">
        <w:rPr>
          <w:rFonts w:ascii="Times New Roman" w:hAnsi="Times New Roman"/>
        </w:rPr>
        <w:t xml:space="preserve"> a group of neurons in a machine learning model that processes a set of input features.</w:t>
      </w:r>
    </w:p>
    <w:p w14:paraId="3376D488" w14:textId="77777777" w:rsidR="004D5986" w:rsidRPr="00852292" w:rsidRDefault="004D5986" w:rsidP="004D5986">
      <w:pPr>
        <w:pStyle w:val="ListParagraph"/>
        <w:numPr>
          <w:ilvl w:val="0"/>
          <w:numId w:val="33"/>
        </w:numPr>
        <w:rPr>
          <w:rFonts w:ascii="Times New Roman" w:hAnsi="Times New Roman"/>
        </w:rPr>
      </w:pPr>
      <w:r w:rsidRPr="00852292">
        <w:rPr>
          <w:rFonts w:ascii="Times New Roman" w:hAnsi="Times New Roman"/>
          <w:b/>
        </w:rPr>
        <w:t>Machine Learning (ML)</w:t>
      </w:r>
      <w:r w:rsidRPr="00852292">
        <w:rPr>
          <w:rFonts w:ascii="Times New Roman" w:hAnsi="Times New Roman"/>
        </w:rPr>
        <w:t>: a model or algorithm that is trained and learns from input data rather than from externally specified parameters.</w:t>
      </w:r>
    </w:p>
    <w:p w14:paraId="70C42FCF" w14:textId="77777777" w:rsidR="004D5986" w:rsidRPr="00852292" w:rsidRDefault="004D5986" w:rsidP="004D5986">
      <w:pPr>
        <w:pStyle w:val="ListParagraph"/>
        <w:numPr>
          <w:ilvl w:val="0"/>
          <w:numId w:val="33"/>
        </w:numPr>
        <w:rPr>
          <w:rFonts w:ascii="Times New Roman" w:hAnsi="Times New Roman"/>
        </w:rPr>
      </w:pPr>
      <w:r w:rsidRPr="00852292">
        <w:rPr>
          <w:rFonts w:ascii="Times New Roman" w:hAnsi="Times New Roman"/>
          <w:b/>
        </w:rPr>
        <w:lastRenderedPageBreak/>
        <w:t>Softmax</w:t>
      </w:r>
      <w:r w:rsidRPr="00852292">
        <w:rPr>
          <w:rFonts w:ascii="Times New Roman" w:hAnsi="Times New Roman"/>
        </w:rPr>
        <w:t xml:space="preserve">: A function that calculates probabilities for each possible class over all different classes. The sum of all probabilities adds to 1.0. The softmax equation </w:t>
      </w:r>
      <m:oMath>
        <m:r>
          <w:rPr>
            <w:rFonts w:ascii="Cambria Math" w:hAnsi="Cambria Math"/>
          </w:rPr>
          <m:t>S</m:t>
        </m:r>
        <m:d>
          <m:dPr>
            <m:ctrlPr>
              <w:rPr>
                <w:rFonts w:ascii="Cambria Math" w:eastAsia="Cambria Math" w:hAnsi="Cambria Math"/>
                <w:i/>
              </w:rPr>
            </m:ctrlPr>
          </m:dPr>
          <m:e>
            <m:sSub>
              <m:sSubPr>
                <m:ctrlPr>
                  <w:rPr>
                    <w:rFonts w:ascii="Cambria Math" w:eastAsia="Cambria Math" w:hAnsi="Cambria Math"/>
                    <w:b/>
                    <w:i/>
                  </w:rPr>
                </m:ctrlPr>
              </m:sSubPr>
              <m:e>
                <m:r>
                  <m:rPr>
                    <m:sty m:val="bi"/>
                  </m:rPr>
                  <w:rPr>
                    <w:rFonts w:ascii="Cambria Math" w:eastAsia="Cambria Math" w:hAnsi="Cambria Math"/>
                  </w:rPr>
                  <m:t>x</m:t>
                </m:r>
              </m:e>
              <m:sub>
                <m:r>
                  <m:rPr>
                    <m:sty m:val="bi"/>
                  </m:rPr>
                  <w:rPr>
                    <w:rFonts w:ascii="Cambria Math" w:eastAsia="Cambria Math" w:hAnsi="Cambria Math"/>
                  </w:rPr>
                  <m:t>i</m:t>
                </m:r>
              </m:sub>
            </m:sSub>
          </m:e>
        </m:d>
      </m:oMath>
      <w:r w:rsidRPr="00852292">
        <w:rPr>
          <w:rFonts w:ascii="Times New Roman" w:hAnsi="Times New Roman"/>
        </w:rPr>
        <w:t xml:space="preserve"> computed over </w:t>
      </w:r>
      <m:oMath>
        <m:r>
          <w:rPr>
            <w:rFonts w:ascii="Cambria Math" w:hAnsi="Cambria Math"/>
          </w:rPr>
          <m:t>k</m:t>
        </m:r>
      </m:oMath>
      <w:r w:rsidRPr="00852292">
        <w:rPr>
          <w:rFonts w:ascii="Times New Roman" w:hAnsi="Times New Roman"/>
        </w:rPr>
        <w:t xml:space="preserve"> classes is given by: </w:t>
      </w:r>
      <w:bookmarkStart w:id="223" w:name="_Hlk24191818"/>
      <w:bookmarkStart w:id="224" w:name="_Hlk24191805"/>
      <m:oMath>
        <m:r>
          <w:rPr>
            <w:rFonts w:ascii="Cambria Math" w:hAnsi="Cambria Math"/>
          </w:rPr>
          <m:t>S</m:t>
        </m:r>
        <m:d>
          <m:dPr>
            <m:ctrlPr>
              <w:rPr>
                <w:rFonts w:ascii="Cambria Math" w:eastAsia="Cambria Math" w:hAnsi="Cambria Math"/>
                <w:i/>
              </w:rPr>
            </m:ctrlPr>
          </m:dPr>
          <m:e>
            <m:sSub>
              <m:sSubPr>
                <m:ctrlPr>
                  <w:rPr>
                    <w:rFonts w:ascii="Cambria Math" w:eastAsia="Cambria Math" w:hAnsi="Cambria Math"/>
                    <w:b/>
                    <w:i/>
                  </w:rPr>
                </m:ctrlPr>
              </m:sSubPr>
              <m:e>
                <m:r>
                  <m:rPr>
                    <m:sty m:val="bi"/>
                  </m:rPr>
                  <w:rPr>
                    <w:rFonts w:ascii="Cambria Math" w:eastAsia="Cambria Math" w:hAnsi="Cambria Math"/>
                  </w:rPr>
                  <m:t>x</m:t>
                </m:r>
              </m:e>
              <m:sub>
                <m:r>
                  <m:rPr>
                    <m:sty m:val="bi"/>
                  </m:rPr>
                  <w:rPr>
                    <w:rFonts w:ascii="Cambria Math" w:eastAsia="Cambria Math" w:hAnsi="Cambria Math"/>
                  </w:rPr>
                  <m:t>i</m:t>
                </m:r>
              </m:sub>
            </m:sSub>
          </m:e>
        </m:d>
        <w:bookmarkEnd w:id="223"/>
        <m:r>
          <w:rPr>
            <w:rFonts w:ascii="Cambria Math" w:eastAsia="Cambria Math" w:hAnsi="Cambria Math"/>
          </w:rPr>
          <m:t>=</m:t>
        </m:r>
        <m:f>
          <m:fPr>
            <m:ctrlPr>
              <w:rPr>
                <w:rFonts w:ascii="Cambria Math" w:hAnsi="Cambria Math"/>
              </w:rPr>
            </m:ctrlPr>
          </m:fPr>
          <m:num>
            <m:sSup>
              <m:sSupPr>
                <m:ctrlPr>
                  <w:rPr>
                    <w:rFonts w:ascii="Cambria Math" w:hAnsi="Cambria Math"/>
                    <w:i/>
                  </w:rPr>
                </m:ctrlPr>
              </m:sSupPr>
              <m:e>
                <m:r>
                  <w:rPr>
                    <w:rFonts w:ascii="Cambria Math" w:hAnsi="Cambria Math"/>
                  </w:rPr>
                  <m:t>e</m:t>
                </m:r>
              </m:e>
              <m:sup>
                <m:sSub>
                  <m:sSubPr>
                    <m:ctrlPr>
                      <w:rPr>
                        <w:rFonts w:ascii="Cambria Math" w:hAnsi="Cambria Math"/>
                        <w:i/>
                      </w:rPr>
                    </m:ctrlPr>
                  </m:sSubPr>
                  <m:e>
                    <m:r>
                      <w:rPr>
                        <w:rFonts w:ascii="Cambria Math" w:hAnsi="Cambria Math"/>
                      </w:rPr>
                      <m:t>x</m:t>
                    </m:r>
                  </m:e>
                  <m:sub>
                    <m:r>
                      <w:rPr>
                        <w:rFonts w:ascii="Cambria Math" w:hAnsi="Cambria Math"/>
                      </w:rPr>
                      <m:t>i</m:t>
                    </m:r>
                  </m:sub>
                </m:sSub>
              </m:sup>
            </m:sSup>
          </m:num>
          <m:den>
            <m:nary>
              <m:naryPr>
                <m:chr m:val="∑"/>
                <m:grow m:val="1"/>
                <m:ctrlPr>
                  <w:rPr>
                    <w:rFonts w:ascii="Cambria Math" w:hAnsi="Cambria Math"/>
                  </w:rPr>
                </m:ctrlPr>
              </m:naryPr>
              <m:sub>
                <m:r>
                  <w:rPr>
                    <w:rFonts w:ascii="Cambria Math" w:eastAsia="Cambria Math" w:hAnsi="Cambria Math"/>
                  </w:rPr>
                  <m:t>j=1</m:t>
                </m:r>
              </m:sub>
              <m:sup>
                <m:r>
                  <w:rPr>
                    <w:rFonts w:ascii="Cambria Math" w:eastAsia="Cambria Math" w:hAnsi="Cambria Math"/>
                  </w:rPr>
                  <m:t>k</m:t>
                </m:r>
              </m:sup>
              <m:e>
                <m:sSup>
                  <m:sSupPr>
                    <m:ctrlPr>
                      <w:rPr>
                        <w:rFonts w:ascii="Cambria Math" w:hAnsi="Cambria Math"/>
                        <w:i/>
                      </w:rPr>
                    </m:ctrlPr>
                  </m:sSupPr>
                  <m:e>
                    <m:r>
                      <w:rPr>
                        <w:rFonts w:ascii="Cambria Math" w:hAnsi="Cambria Math"/>
                      </w:rPr>
                      <m:t>e</m:t>
                    </m:r>
                  </m:e>
                  <m:sup>
                    <m:sSub>
                      <m:sSubPr>
                        <m:ctrlPr>
                          <w:rPr>
                            <w:rFonts w:ascii="Cambria Math" w:hAnsi="Cambria Math"/>
                            <w:i/>
                          </w:rPr>
                        </m:ctrlPr>
                      </m:sSubPr>
                      <m:e>
                        <m:r>
                          <w:rPr>
                            <w:rFonts w:ascii="Cambria Math" w:hAnsi="Cambria Math"/>
                          </w:rPr>
                          <m:t>x</m:t>
                        </m:r>
                      </m:e>
                      <m:sub>
                        <m:r>
                          <w:rPr>
                            <w:rFonts w:ascii="Cambria Math" w:hAnsi="Cambria Math"/>
                          </w:rPr>
                          <m:t>j</m:t>
                        </m:r>
                      </m:sub>
                    </m:sSub>
                  </m:sup>
                </m:sSup>
                <m:r>
                  <m:rPr>
                    <m:sty m:val="p"/>
                  </m:rPr>
                  <w:rPr>
                    <w:rFonts w:ascii="Cambria Math" w:hAnsi="Cambria Math"/>
                  </w:rPr>
                  <m:t>⁡</m:t>
                </m:r>
              </m:e>
            </m:nary>
          </m:den>
        </m:f>
      </m:oMath>
      <w:bookmarkEnd w:id="224"/>
    </w:p>
    <w:p w14:paraId="316B0033" w14:textId="77777777" w:rsidR="004D5986" w:rsidRPr="00852292" w:rsidRDefault="004D5986" w:rsidP="004D5986">
      <w:pPr>
        <w:pStyle w:val="ListParagraph"/>
        <w:numPr>
          <w:ilvl w:val="0"/>
          <w:numId w:val="33"/>
        </w:numPr>
        <w:rPr>
          <w:rFonts w:ascii="Times New Roman" w:hAnsi="Times New Roman"/>
        </w:rPr>
      </w:pPr>
      <w:r w:rsidRPr="00852292">
        <w:rPr>
          <w:rFonts w:ascii="Times New Roman" w:hAnsi="Times New Roman"/>
          <w:b/>
        </w:rPr>
        <w:t>Training</w:t>
      </w:r>
      <w:r w:rsidRPr="00852292">
        <w:rPr>
          <w:rFonts w:ascii="Times New Roman" w:hAnsi="Times New Roman"/>
        </w:rPr>
        <w:t xml:space="preserve">: the iterative process of finding the most appropriate weights of a machine learning model. </w:t>
      </w:r>
    </w:p>
    <w:p w14:paraId="70F382DC" w14:textId="77777777" w:rsidR="004D5986" w:rsidRPr="00852292" w:rsidRDefault="004D5986" w:rsidP="004D5986">
      <w:pPr>
        <w:pStyle w:val="ListParagraph"/>
        <w:numPr>
          <w:ilvl w:val="0"/>
          <w:numId w:val="33"/>
        </w:numPr>
        <w:rPr>
          <w:rFonts w:ascii="Times New Roman" w:hAnsi="Times New Roman"/>
        </w:rPr>
      </w:pPr>
      <w:r w:rsidRPr="00852292">
        <w:rPr>
          <w:rFonts w:ascii="Times New Roman" w:hAnsi="Times New Roman"/>
          <w:b/>
        </w:rPr>
        <w:t>Transfer Learning</w:t>
      </w:r>
      <w:r w:rsidRPr="00852292">
        <w:rPr>
          <w:rFonts w:ascii="Times New Roman" w:hAnsi="Times New Roman"/>
        </w:rPr>
        <w:t>: a technique that uses information learned in a primary machine learning task to perform a secondary machine learning task.</w:t>
      </w:r>
    </w:p>
    <w:p w14:paraId="48F0260F" w14:textId="77777777" w:rsidR="004D5986" w:rsidRPr="00852292" w:rsidRDefault="004D5986" w:rsidP="004D5986">
      <w:pPr>
        <w:pStyle w:val="ListParagraph"/>
        <w:numPr>
          <w:ilvl w:val="0"/>
          <w:numId w:val="33"/>
        </w:numPr>
        <w:rPr>
          <w:rFonts w:ascii="Times New Roman" w:hAnsi="Times New Roman"/>
        </w:rPr>
      </w:pPr>
      <w:r w:rsidRPr="00852292">
        <w:rPr>
          <w:rFonts w:ascii="Times New Roman" w:hAnsi="Times New Roman"/>
          <w:b/>
        </w:rPr>
        <w:t>Weights</w:t>
      </w:r>
      <w:r w:rsidRPr="00852292">
        <w:rPr>
          <w:rFonts w:ascii="Times New Roman" w:hAnsi="Times New Roman"/>
        </w:rPr>
        <w:t xml:space="preserve">: the coefficients of a machine learning model. In a simple linear equation, the slope and intercept are the weights of the model. In CNNs, the weights are the convolutional kernel values. The training objective is to find the ideal weights of the machine learning model. </w:t>
      </w:r>
    </w:p>
    <w:bookmarkEnd w:id="222"/>
    <w:p w14:paraId="3FF0FC45" w14:textId="77777777" w:rsidR="00AD2F03" w:rsidRPr="00751EDD" w:rsidRDefault="00AD2F03" w:rsidP="00AD2F03"/>
    <w:p w14:paraId="1B0AAF59" w14:textId="77777777" w:rsidR="00AD2F03" w:rsidRDefault="00AD2F03" w:rsidP="00AD2F03">
      <w:pPr>
        <w:spacing w:after="160" w:line="259" w:lineRule="auto"/>
      </w:pPr>
      <w:r>
        <w:br w:type="page"/>
      </w:r>
    </w:p>
    <w:p w14:paraId="03F5995D" w14:textId="77777777" w:rsidR="00AD2F03" w:rsidRPr="00C41486" w:rsidRDefault="0011424B" w:rsidP="004F4884">
      <w:pPr>
        <w:pStyle w:val="Heading2"/>
      </w:pPr>
      <w:bookmarkStart w:id="225" w:name="_Toc26534629"/>
      <w:r>
        <w:lastRenderedPageBreak/>
        <w:t>1</w:t>
      </w:r>
      <w:r w:rsidR="00FE43A9">
        <w:t>.</w:t>
      </w:r>
      <w:r>
        <w:t xml:space="preserve"> </w:t>
      </w:r>
      <w:r w:rsidR="00AD2F03" w:rsidRPr="00C41486">
        <w:t>Introduction</w:t>
      </w:r>
      <w:bookmarkEnd w:id="225"/>
    </w:p>
    <w:p w14:paraId="000948D3" w14:textId="77777777" w:rsidR="004D5986" w:rsidRPr="00852292" w:rsidRDefault="004D5986" w:rsidP="004D5986">
      <w:pPr>
        <w:ind w:firstLine="720"/>
        <w:rPr>
          <w:rFonts w:ascii="Times New Roman" w:hAnsi="Times New Roman"/>
        </w:rPr>
      </w:pPr>
      <w:r w:rsidRPr="00852292">
        <w:rPr>
          <w:rFonts w:ascii="Times New Roman" w:hAnsi="Times New Roman"/>
        </w:rPr>
        <w:t xml:space="preserve">Over the past decades, remote sensing has experienced dramatic changes in the data quality, spatial resolution, shorter revisit times, and area covered available. </w:t>
      </w:r>
      <w:r w:rsidRPr="00852292">
        <w:rPr>
          <w:rFonts w:ascii="Times New Roman" w:hAnsi="Times New Roman"/>
        </w:rPr>
        <w:fldChar w:fldCharType="begin" w:fldLock="1"/>
      </w:r>
      <w:r w:rsidRPr="00852292">
        <w:rPr>
          <w:rFonts w:ascii="Times New Roman" w:hAnsi="Times New Roman"/>
        </w:rPr>
        <w:instrText>ADDIN CSL_CITATION {"citationItems":[{"id":"ITEM-1","itemData":{"DOI":"https://doi.org/10.1016/B978-0-12-809254-5.00001-4","ISBN":"978-0-12-809254-5","abstract":"The origins of Earth observation date back to the development of photography in the early 19th century. Since then, and thanks to significant technology developments often pushed by military needs, our capability to observe the Earth from low Earth orbit and geostationary satellites has continuously improved with better spatial, radiometric, and spectral resolutions, and shorter revisit times. This chapter revises the origins and history of Earth observation from space platforms and illustrates the technology breakthroughs that have made it possible as we know it today.","author":[{"dropping-particle":"","family":"Emery","given":"William","non-dropping-particle":"","parse-names":false,"suffix":""},{"dropping-particle":"","family":"Camps","given":"Adriano","non-dropping-particle":"","parse-names":false,"suffix":""}],"container-title":"Introduction to Satellite Remote Sensing","editor":[{"dropping-particle":"","family":"Emery","given":"William","non-dropping-particle":"","parse-names":false,"suffix":""},{"dropping-particle":"","family":"Camps","given":"Adriano","non-dropping-particle":"","parse-names":false,"suffix":""}],"id":"ITEM-1","issued":{"date-parts":[["2017"]]},"page":"1-42","publisher":"Elsevier","title":"Chapter 1 - The History of Satellite Remote Sensing","type":"chapter"},"uris":["http://www.mendeley.com/documents/?uuid=589881d9-f994-48cb-b823-60d6c972c5a4"]}],"mendeley":{"formattedCitation":"(Emery and Camps, 2017)","manualFormatting":"Emery and Camps (2017)","plainTextFormattedCitation":"(Emery and Camps, 2017)","previouslyFormattedCitation":"(Emery and Camps, 2017)"},"properties":{"noteIndex":0},"schema":"https://github.com/citation-style-language/schema/raw/master/csl-citation.json"}</w:instrText>
      </w:r>
      <w:r w:rsidRPr="00852292">
        <w:rPr>
          <w:rFonts w:ascii="Times New Roman" w:hAnsi="Times New Roman"/>
        </w:rPr>
        <w:fldChar w:fldCharType="separate"/>
      </w:r>
      <w:r w:rsidRPr="00852292">
        <w:rPr>
          <w:rFonts w:ascii="Times New Roman" w:hAnsi="Times New Roman"/>
          <w:noProof/>
        </w:rPr>
        <w:t>Emery and Camps (2017)</w:t>
      </w:r>
      <w:r w:rsidRPr="00852292">
        <w:rPr>
          <w:rFonts w:ascii="Times New Roman" w:hAnsi="Times New Roman"/>
        </w:rPr>
        <w:fldChar w:fldCharType="end"/>
      </w:r>
      <w:r w:rsidRPr="00852292">
        <w:rPr>
          <w:rFonts w:ascii="Times New Roman" w:hAnsi="Times New Roman"/>
        </w:rPr>
        <w:t xml:space="preserve"> reported that our ability to observe the Earth from low Earth orbit and geostationary satellites have been continuously improving. Such an increase requires a significant change in the way we use and manage remote sensing images. </w:t>
      </w:r>
      <w:r w:rsidRPr="00852292">
        <w:rPr>
          <w:rFonts w:ascii="Times New Roman" w:hAnsi="Times New Roman"/>
        </w:rPr>
        <w:fldChar w:fldCharType="begin" w:fldLock="1"/>
      </w:r>
      <w:r w:rsidRPr="00852292">
        <w:rPr>
          <w:rFonts w:ascii="Times New Roman" w:hAnsi="Times New Roman"/>
        </w:rPr>
        <w:instrText>ADDIN CSL_CITATION {"citationItems":[{"id":"ITEM-1","itemData":{"DOI":"10.1016/J.ISPRSJPRS.2018.01.004","ISSN":"0924-2716","abstract":"Benchmark datasets are critical for developing, evaluating, and comparing remote sensing image retrieval (RSIR) approaches. However, current benchmark datasets are deficient in that (1) they were originally collected for land use/land cover classification instead of RSIR; (2) they are relatively small in terms of the number of classes as well as the number of images per class which makes them unsuitable for developing deep learning based approaches; and (3) they are not appropriate for RSIR due to the large amount of background present in the images. These limitations restrict the development of novel approaches for RSIR, particularly those based on deep learning which require large amounts of training data. We therefore present a new large-scale remote sensing dataset termed “PatternNet” that was collected specifically for RSIR. PatternNet was collected from high-resolution imagery and contains 38 classes with 800 images per class. Significantly, PatternNet’s large scale makes it suitable for developing novel, deep learning based approaches for RSIR. We use PatternNet to evaluate the performance of over 35 RSIR methods ranging from traditional handcrafted feature based methods to recent, deep learning based ones. These results serve as a baseline for future research on RSIR.","author":[{"dropping-particle":"","family":"Zhou","given":"Weixun","non-dropping-particle":"","parse-names":false,"suffix":""},{"dropping-particle":"","family":"Newsam","given":"Shawn","non-dropping-particle":"","parse-names":false,"suffix":""},{"dropping-particle":"","family":"Li","given":"Congmin","non-dropping-particle":"","parse-names":false,"suffix":""},{"dropping-particle":"","family":"Shao","given":"Zhenfeng","non-dropping-particle":"","parse-names":false,"suffix":""}],"container-title":"ISPRS Journal of Photogrammetry and Remote Sensing","id":"ITEM-1","issued":{"date-parts":[["2018","11","1"]]},"page":"197-209","publisher":"Elsevier","title":"PatternNet: A benchmark dataset for performance evaluation of remote sensing image retrieval","type":"article-journal","volume":"145"},"uris":["http://www.mendeley.com/documents/?uuid=7af9c309-4a75-3f76-b357-a7e54351a9ff"]}],"mendeley":{"formattedCitation":"(Zhou et al., 2018a)","manualFormatting":"Zhou et al. (2018a)","plainTextFormattedCitation":"(Zhou et al., 2018a)","previouslyFormattedCitation":"(Zhou et al., 2018a)"},"properties":{"noteIndex":0},"schema":"https://github.com/citation-style-language/schema/raw/master/csl-citation.json"}</w:instrText>
      </w:r>
      <w:r w:rsidRPr="00852292">
        <w:rPr>
          <w:rFonts w:ascii="Times New Roman" w:hAnsi="Times New Roman"/>
        </w:rPr>
        <w:fldChar w:fldCharType="separate"/>
      </w:r>
      <w:r w:rsidRPr="00852292">
        <w:rPr>
          <w:rFonts w:ascii="Times New Roman" w:hAnsi="Times New Roman"/>
          <w:noProof/>
        </w:rPr>
        <w:t>Zhou et al. (2018a)</w:t>
      </w:r>
      <w:r w:rsidRPr="00852292">
        <w:rPr>
          <w:rFonts w:ascii="Times New Roman" w:hAnsi="Times New Roman"/>
        </w:rPr>
        <w:fldChar w:fldCharType="end"/>
      </w:r>
      <w:r w:rsidRPr="00852292">
        <w:rPr>
          <w:rFonts w:ascii="Times New Roman" w:hAnsi="Times New Roman"/>
        </w:rPr>
        <w:t xml:space="preserve"> noted that the increased spatial resolution makes it possible to develop novel approaches, providing new opportunities for advancing remote sensing image analysis and understanding, thus allowing us to study the ground surface in greater detail. However, the increase in data available has resulted in important challenges of how to properly manage the imagery collection. </w:t>
      </w:r>
    </w:p>
    <w:p w14:paraId="7F3B776D" w14:textId="77777777" w:rsidR="004D5986" w:rsidRPr="00852292" w:rsidRDefault="004D5986" w:rsidP="004D5986">
      <w:pPr>
        <w:ind w:firstLine="720"/>
        <w:rPr>
          <w:rFonts w:ascii="Times New Roman" w:hAnsi="Times New Roman"/>
        </w:rPr>
      </w:pPr>
      <w:r w:rsidRPr="00852292">
        <w:rPr>
          <w:rFonts w:ascii="Times New Roman" w:hAnsi="Times New Roman"/>
        </w:rPr>
        <w:t xml:space="preserve">One of the fundamental remote sensing tasks is scene classification. </w:t>
      </w:r>
      <w:r w:rsidRPr="00852292">
        <w:rPr>
          <w:rFonts w:ascii="Times New Roman" w:hAnsi="Times New Roman"/>
        </w:rPr>
        <w:fldChar w:fldCharType="begin" w:fldLock="1"/>
      </w:r>
      <w:r w:rsidRPr="00852292">
        <w:rPr>
          <w:rFonts w:ascii="Times New Roman" w:hAnsi="Times New Roman"/>
        </w:rPr>
        <w:instrText>ADDIN CSL_CITATION {"citationItems":[{"id":"ITEM-1","itemData":{"DOI":"10.1109/JPROC.2017.2675998","author":[{"dropping-particle":"","family":"Cheng","given":"G","non-dropping-particle":"","parse-names":false,"suffix":""},{"dropping-particle":"","family":"Han","given":"J","non-dropping-particle":"","parse-names":false,"suffix":""},{"dropping-particle":"","family":"Lu","given":"X","non-dropping-particle":"","parse-names":false,"suffix":""}],"container-title":"Proceedings of the IEEE","id":"ITEM-1","issue":"10","issued":{"date-parts":[["2017","10"]]},"page":"1865-1883","title":"Remote Sensing Image Scene Classification: Benchmark and State of the Art","type":"article-journal","volume":"105"},"uris":["http://www.mendeley.com/documents/?uuid=b75c68eb-00ef-45bf-978b-81eaad380f13"]}],"mendeley":{"formattedCitation":"(Cheng et al., 2017)","manualFormatting":"Cheng et al. (2017)","plainTextFormattedCitation":"(Cheng et al., 2017)","previouslyFormattedCitation":"(Cheng et al., 2017)"},"properties":{"noteIndex":0},"schema":"https://github.com/citation-style-language/schema/raw/master/csl-citation.json"}</w:instrText>
      </w:r>
      <w:r w:rsidRPr="00852292">
        <w:rPr>
          <w:rFonts w:ascii="Times New Roman" w:hAnsi="Times New Roman"/>
        </w:rPr>
        <w:fldChar w:fldCharType="separate"/>
      </w:r>
      <w:r w:rsidRPr="00852292">
        <w:rPr>
          <w:rFonts w:ascii="Times New Roman" w:hAnsi="Times New Roman"/>
          <w:noProof/>
        </w:rPr>
        <w:t>Cheng et al. (2017)</w:t>
      </w:r>
      <w:r w:rsidRPr="00852292">
        <w:rPr>
          <w:rFonts w:ascii="Times New Roman" w:hAnsi="Times New Roman"/>
        </w:rPr>
        <w:fldChar w:fldCharType="end"/>
      </w:r>
      <w:r w:rsidRPr="00852292">
        <w:rPr>
          <w:rFonts w:ascii="Times New Roman" w:hAnsi="Times New Roman"/>
        </w:rPr>
        <w:t xml:space="preserve"> defined scene classification as the categorization of remote sensing images into a discrete set of meaningful land cover and land use classes. Scene classification is a fundamental remote sensing task and important for many practical remote sensing applications, such as urban planning </w:t>
      </w:r>
      <w:r w:rsidRPr="00852292">
        <w:rPr>
          <w:rFonts w:ascii="Times New Roman" w:hAnsi="Times New Roman"/>
        </w:rPr>
        <w:fldChar w:fldCharType="begin" w:fldLock="1"/>
      </w:r>
      <w:r w:rsidRPr="00852292">
        <w:rPr>
          <w:rFonts w:ascii="Times New Roman" w:hAnsi="Times New Roman"/>
        </w:rPr>
        <w:instrText>ADDIN CSL_CITATION {"citationItems":[{"id":"ITEM-1","itemData":{"DOI":"10.1109/URS.2009.5137653","author":[{"dropping-particle":"","family":"Xiao","given":"Yinghui","non-dropping-particle":"","parse-names":false,"suffix":""},{"dropping-particle":"","family":"Zhan","given":"Qingming","non-dropping-particle":"","parse-names":false,"suffix":""}],"container-title":"2009 Joint Urban Remote Sensing Event","id":"ITEM-1","issued":{"date-parts":[["2009","5"]]},"page":"1-5","title":"A review of remote sensing applications in urban planning and management in China","type":"paper-conference"},"uris":["http://www.mendeley.com/documents/?uuid=655c3ec8-31df-402c-8a4a-2bdc57a68945"]}],"mendeley":{"formattedCitation":"(Xiao and Zhan, 2009)","manualFormatting":"(e.g. Xiao and Zhan, 2009)","plainTextFormattedCitation":"(Xiao and Zhan, 2009)","previouslyFormattedCitation":"(Xiao and Zhan, 2009)"},"properties":{"noteIndex":0},"schema":"https://github.com/citation-style-language/schema/raw/master/csl-citation.json"}</w:instrText>
      </w:r>
      <w:r w:rsidRPr="00852292">
        <w:rPr>
          <w:rFonts w:ascii="Times New Roman" w:hAnsi="Times New Roman"/>
        </w:rPr>
        <w:fldChar w:fldCharType="separate"/>
      </w:r>
      <w:r w:rsidRPr="00852292">
        <w:rPr>
          <w:rFonts w:ascii="Times New Roman" w:hAnsi="Times New Roman"/>
          <w:noProof/>
        </w:rPr>
        <w:t>(e.g. Xiao and Zhan, 2009)</w:t>
      </w:r>
      <w:r w:rsidRPr="00852292">
        <w:rPr>
          <w:rFonts w:ascii="Times New Roman" w:hAnsi="Times New Roman"/>
        </w:rPr>
        <w:fldChar w:fldCharType="end"/>
      </w:r>
      <w:r w:rsidRPr="00852292">
        <w:rPr>
          <w:rFonts w:ascii="Times New Roman" w:hAnsi="Times New Roman"/>
        </w:rPr>
        <w:t xml:space="preserve">, land management </w:t>
      </w:r>
      <w:r w:rsidRPr="00852292">
        <w:rPr>
          <w:rFonts w:ascii="Times New Roman" w:hAnsi="Times New Roman"/>
        </w:rPr>
        <w:fldChar w:fldCharType="begin" w:fldLock="1"/>
      </w:r>
      <w:r w:rsidRPr="00852292">
        <w:rPr>
          <w:rFonts w:ascii="Times New Roman" w:hAnsi="Times New Roman"/>
        </w:rPr>
        <w:instrText>ADDIN CSL_CITATION {"citationItems":[{"id":"ITEM-1","itemData":{"author":[{"dropping-particle":"","family":"Skidmore","given":"Andrew K","non-dropping-particle":"","parse-names":false,"suffix":""},{"dropping-particle":"","family":"Bijker","given":"Wietske","non-dropping-particle":"","parse-names":false,"suffix":""},{"dropping-particle":"","family":"Schmidt","given":"Karin","non-dropping-particle":"","parse-names":false,"suffix":""},{"dropping-particle":"","family":"Kumar","given":"Lalit","non-dropping-particle":"","parse-names":false,"suffix":""}],"container-title":"ITC journal","id":"ITEM-1","issue":"4","issued":{"date-parts":[["1997"]]},"page":"302-315","publisher":"Enschede, The Netherlands: International Institute for Aerospace Survey and~…","title":"Use of remote sensing and GIS for sustainable land management","type":"article-journal","volume":"3"},"uris":["http://www.mendeley.com/documents/?uuid=5f862b99-8299-4912-b48c-b32d15b8a24f"]}],"mendeley":{"formattedCitation":"(Skidmore et al., 1997)","manualFormatting":"(e.g. Skidmore et al., 1997)","plainTextFormattedCitation":"(Skidmore et al., 1997)","previouslyFormattedCitation":"(Skidmore et al., 1997)"},"properties":{"noteIndex":0},"schema":"https://github.com/citation-style-language/schema/raw/master/csl-citation.json"}</w:instrText>
      </w:r>
      <w:r w:rsidRPr="00852292">
        <w:rPr>
          <w:rFonts w:ascii="Times New Roman" w:hAnsi="Times New Roman"/>
        </w:rPr>
        <w:fldChar w:fldCharType="separate"/>
      </w:r>
      <w:r w:rsidRPr="00852292">
        <w:rPr>
          <w:rFonts w:ascii="Times New Roman" w:hAnsi="Times New Roman"/>
          <w:noProof/>
        </w:rPr>
        <w:t>(e.g. Skidmore et al., 1997)</w:t>
      </w:r>
      <w:r w:rsidRPr="00852292">
        <w:rPr>
          <w:rFonts w:ascii="Times New Roman" w:hAnsi="Times New Roman"/>
        </w:rPr>
        <w:fldChar w:fldCharType="end"/>
      </w:r>
      <w:r w:rsidRPr="00852292">
        <w:rPr>
          <w:rFonts w:ascii="Times New Roman" w:hAnsi="Times New Roman"/>
        </w:rPr>
        <w:t xml:space="preserve">, and to monitoring and or characterizing wild fires monitor or characterize wild fires </w:t>
      </w:r>
      <w:r w:rsidRPr="00852292">
        <w:rPr>
          <w:rFonts w:ascii="Times New Roman" w:hAnsi="Times New Roman"/>
        </w:rPr>
        <w:fldChar w:fldCharType="begin" w:fldLock="1"/>
      </w:r>
      <w:r w:rsidRPr="00852292">
        <w:rPr>
          <w:rFonts w:ascii="Times New Roman" w:hAnsi="Times New Roman"/>
        </w:rPr>
        <w:instrText>ADDIN CSL_CITATION {"citationItems":[{"id":"ITEM-1","itemData":{"author":[{"dropping-particle":"","family":"Lentile","given":"Leigh B","non-dropping-particle":"","parse-names":false,"suffix":""},{"dropping-particle":"","family":"Holden","given":"Zachary A","non-dropping-particle":"","parse-names":false,"suffix":""},{"dropping-particle":"","family":"Smith","given":"Alistair M S","non-dropping-particle":"","parse-names":false,"suffix":""},{"dropping-particle":"","family":"Falkowski","given":"Michael J","non-dropping-particle":"","parse-names":false,"suffix":""},{"dropping-particle":"","family":"Hudak","given":"Andrew T","non-dropping-particle":"","parse-names":false,"suffix":""},{"dropping-particle":"","family":"Morgan","given":"Penelope","non-dropping-particle":"","parse-names":false,"suffix":""},{"dropping-particle":"","family":"Lewis","given":"Sarah A","non-dropping-particle":"","parse-names":false,"suffix":""},{"dropping-particle":"","family":"Gessler","given":"Paul E","non-dropping-particle":"","parse-names":false,"suffix":""},{"dropping-particle":"","family":"Benson","given":"Nate C","non-dropping-particle":"","parse-names":false,"suffix":""}],"container-title":"International Journal of Wildland Fire","id":"ITEM-1","issue":"3","issued":{"date-parts":[["2006"]]},"page":"319-345","publisher":"CSIRO","title":"Remote sensing techniques to assess active fire characteristics and post-fire effects","type":"article-journal","volume":"15"},"uris":["http://www.mendeley.com/documents/?uuid=9e5199e2-2218-4cd2-8fa7-0e2172889c71"]},{"id":"ITEM-2","itemData":{"DOI":"10.1016/J.RSE.2019.111340","ISSN":"0034-4257","abstract":"Fire is used worldwide to clear natural vegetation areas for economic activities and to manage the regeneration of already opened sites. In Brazil, fire has been traditionally used to convert natural vegetation areas to agricultural lands (slash and burn) and to manage pastures for livestock. We developed the Burned Area Spectral Mixture Analysis (BASMA) algorithm in Google Earth Engine, which is designed to process Landsat data to produce a multi-temporal fire scar database representing annual burned area for an extent of 362,000 km2 in the transition zone between the Amazon forest and the Cerrado biome. This region is considered a conservation hotspot, given its high deforestation rates over the last four decades. We digitally processed a 32-year time-series (1985 to 2017) of Landsat 5 Thematic Mapper, Landsat 7 Enhanced Thematic Mapper+, and Landsat 8 Operational Land Imager data to map fire scars based on sub-pixel char fraction, aiming to generate a consistent burned area product at a finer scale and covering a longer period than those currently available for the region. Manually interpreted reference burned area polygons for each annual mosaic was used to guide the definition of the best fire scar endmember and its fraction threshold. To assess our BASMA-delineated fire scar, they were compared to independent datasets of manually delineated burned area produced by visual analysis of finer spatial resolution imagery, returning an average Dice Coefficient value of 0.86. Accuracy was also measured against the 30-meter Burned Area product available at the ‘Queimadas’ data portal. A total of 11,106,258 ha was mapped as having been affected by fire during the annual dry season over the 32 years, which represents 30.7% of the study region. Results showed a decreasing trend in the annual amount of burned area over the time-series. It reflects a similar pattern shown in the deforestation rate for the Legal Amazon, measured by the Brazilian National Institute for Space Research - INPE. Moreover, the Cerrado biome subset of the study region consistently showed higher burned area when compared to the Amazon forest subset. Our findings provide robust evidence that our approach is a consistent method to identify and delineate fire scars for large areas over a long time-series in a very efficient fashion, given the digital processing power of Google Earth Engine, which reduces the time necessary to analyze such big amount of data.","author":[{"dropping-particle":"","family":"Daldegan","given":"Gabriel Antunes","non-dropping-particle":"","parse-names":false,"suffix":""},{"dropping-particle":"","family":"Roberts","given":"Dar A.","non-dropping-particle":"","parse-names":false,"suffix":""},{"dropping-particle":"","family":"Ribeiro","given":"Fernanda de Figueiredo","non-dropping-particle":"","parse-names":false,"suffix":""}],"container-title":"Remote Sensing of Environment","id":"ITEM-2","issued":{"date-parts":[["2019","10","1"]]},"page":"111340","publisher":"Elsevier","title":"Spectral mixture analysis in Google Earth Engine to model and delineate fire scars over a large extent and a long time-series in a rainforest-savanna transition zone","type":"article-journal","volume":"232"},"uris":["http://www.mendeley.com/documents/?uuid=7e8b0ff1-652b-31c9-a660-b6a9c7a28dc9"]}],"mendeley":{"formattedCitation":"(Daldegan et al., 2019; Lentile et al., 2006)","manualFormatting":"(e.g. Lentile et al., 2006; Daldegan et al., 2019)","plainTextFormattedCitation":"(Daldegan et al., 2019; Lentile et al., 2006)","previouslyFormattedCitation":"(Daldegan et al., 2019; Lentile et al., 2006)"},"properties":{"noteIndex":0},"schema":"https://github.com/citation-style-language/schema/raw/master/csl-citation.json"}</w:instrText>
      </w:r>
      <w:r w:rsidRPr="00852292">
        <w:rPr>
          <w:rFonts w:ascii="Times New Roman" w:hAnsi="Times New Roman"/>
        </w:rPr>
        <w:fldChar w:fldCharType="separate"/>
      </w:r>
      <w:r w:rsidRPr="00852292">
        <w:rPr>
          <w:rFonts w:ascii="Times New Roman" w:hAnsi="Times New Roman"/>
          <w:noProof/>
        </w:rPr>
        <w:t>(e.g. Lentile et al., 2006; Daldegan et al., 2019)</w:t>
      </w:r>
      <w:r w:rsidRPr="00852292">
        <w:rPr>
          <w:rFonts w:ascii="Times New Roman" w:hAnsi="Times New Roman"/>
        </w:rPr>
        <w:fldChar w:fldCharType="end"/>
      </w:r>
      <w:r w:rsidRPr="00852292">
        <w:rPr>
          <w:rFonts w:ascii="Times New Roman" w:hAnsi="Times New Roman"/>
        </w:rPr>
        <w:t>, among other applications. Such ample use of remote sensing image classification led many researchers to investigate techniques to quickly classify remote sensing data and accelerate image retrieval.</w:t>
      </w:r>
    </w:p>
    <w:p w14:paraId="27619A52" w14:textId="77777777" w:rsidR="004D5986" w:rsidRPr="00852292" w:rsidRDefault="004D5986" w:rsidP="004D5986">
      <w:pPr>
        <w:ind w:firstLine="720"/>
        <w:rPr>
          <w:rFonts w:ascii="Times New Roman" w:hAnsi="Times New Roman"/>
        </w:rPr>
      </w:pPr>
      <w:r w:rsidRPr="00852292">
        <w:rPr>
          <w:rFonts w:ascii="Times New Roman" w:hAnsi="Times New Roman"/>
        </w:rPr>
        <w:t xml:space="preserve">Conventional scene classification techniques rely on low-level visual feature to represent the images of interest. Such low-level features can be global or local. Global features are extracted from the entire remote sensing image, such as color (spectral) features </w:t>
      </w:r>
      <w:r w:rsidRPr="00852292">
        <w:rPr>
          <w:rFonts w:ascii="Times New Roman" w:hAnsi="Times New Roman"/>
        </w:rPr>
        <w:fldChar w:fldCharType="begin" w:fldLock="1"/>
      </w:r>
      <w:r w:rsidRPr="00852292">
        <w:rPr>
          <w:rFonts w:ascii="Times New Roman" w:hAnsi="Times New Roman"/>
        </w:rPr>
        <w:instrText>ADDIN CSL_CITATION {"citationItems":[{"id":"ITEM-1","itemData":{"DOI":"10.1117/1.JRS.9.095994","ISSN":"1931-3195","abstract":"This paper highlights color component features that improve high-resolution satellite (HRS) images retrieval. Color component correlation across image lines and columns is used to define a revised color space. It is designed to simultaneously take both color and neighborhood information. From this space, color descriptors, namely rotation invariant uniform local binary pattern, histogram of gradient, and a modified version of local variance are derived through dual-tree complex wavelet transform (DT-CWT). A new color descriptor called smoothed local variance (SLV) using an edge-preserving smoothing filter is introduced. It is intended to offer an efficient way to represent texture/structure information using an invariant to rotation descriptor. This descriptor takes advantage of DT-CWT representation to enhance the retrieval performance of HRS images. We report an evaluation of the SLV descriptor associated with the new color space using different similarity distances in our content-based image retrieval scheme. We also perform comparison with some standard features. Experimental results show that SLV descriptor allied to DT-CWT representation outperforms the other approaches.","author":[{"dropping-particle":"","family":"Sebai","given":"Houria","non-dropping-particle":"","parse-names":false,"suffix":""},{"dropping-particle":"","family":"Kourgli","given":"Assia","non-dropping-particle":"","parse-names":false,"suffix":""},{"dropping-particle":"","family":"Serir","given":"Amina","non-dropping-particle":"","parse-names":false,"suffix":""}],"container-title":"Journal of Applied Remote Sensing","id":"ITEM-1","issue":"1","issued":{"date-parts":[["2015","10","16"]]},"page":"095994","publisher":"International Society for Optics and Photonics","title":"Dual-tree complex wavelet transform applied on color descriptors for remote-sensed images retrieval","type":"article-journal","volume":"9"},"uris":["http://www.mendeley.com/documents/?uuid=4f4f07c7-b643-33f7-bc03-d2d408983afb"]},{"id":"ITEM-2","itemData":{"DOI":"10.3390/ijgi5120228","ISSN":"2220-9964","abstract":"The rapidly increasing volume of visual Earth Observation data calls for effective content based image retrieval solutions, specifically tailored for their high spatial resolution and heterogeneous content. In this paper, we address this issue with a novel local implementation of the well-known morphological descriptors called pattern spectra. They are computationally efficient histogram-like structures describing the global distribution of arbitrarily defined attributes of connected image components. Besides employing pattern spectra for the first time in this context, our main contribution lies in their dense calculation, at a local scale, thus enabling their combination with sophisticated visual vocabulary strategies. The Merced Landuse/Landcover dataset has been used for comparing the proposed strategy against alternative global and local content description methods, where the introduced approach is shown to yield promising performances.","author":[{"dropping-particle":"","family":"Bosilj","given":"Petra","non-dropping-particle":"","parse-names":false,"suffix":""},{"dropping-particle":"","family":"Aptoula","given":"Erchan","non-dropping-particle":"","parse-names":false,"suffix":""},{"dropping-particle":"","family":"Lefèvre","given":"Sébastien","non-dropping-particle":"","parse-names":false,"suffix":""},{"dropping-particle":"","family":"Kijak","given":"Ewa","non-dropping-particle":"","parse-names":false,"suffix":""}],"container-title":"ISPRS International Journal of Geo-Information","id":"ITEM-2","issue":"12","issued":{"date-parts":[["2016","12","2"]]},"page":"228","publisher":"Multidisciplinary Digital Publishing Institute","title":"Retrieval of Remote Sensing Images with Pattern Spectra Descriptors","type":"article-journal","volume":"5"},"uris":["http://www.mendeley.com/documents/?uuid=6a930674-55d8-33f0-be82-bd8c62735b5d"]}],"mendeley":{"formattedCitation":"(Bosilj et al., 2016; Sebai et al., 2015)","manualFormatting":"(e.g. Sebai et al., 2015; Bosilj et al., 2016)","plainTextFormattedCitation":"(Bosilj et al., 2016; Sebai et al., 2015)","previouslyFormattedCitation":"(Bosilj et al., 2016; Sebai et al., 2015)"},"properties":{"noteIndex":0},"schema":"https://github.com/citation-style-language/schema/raw/master/csl-citation.json"}</w:instrText>
      </w:r>
      <w:r w:rsidRPr="00852292">
        <w:rPr>
          <w:rFonts w:ascii="Times New Roman" w:hAnsi="Times New Roman"/>
        </w:rPr>
        <w:fldChar w:fldCharType="separate"/>
      </w:r>
      <w:r w:rsidRPr="00852292">
        <w:rPr>
          <w:rFonts w:ascii="Times New Roman" w:hAnsi="Times New Roman"/>
          <w:noProof/>
        </w:rPr>
        <w:t>(e.g. Sebai et al., 2015; Bosilj et al., 2016)</w:t>
      </w:r>
      <w:r w:rsidRPr="00852292">
        <w:rPr>
          <w:rFonts w:ascii="Times New Roman" w:hAnsi="Times New Roman"/>
        </w:rPr>
        <w:fldChar w:fldCharType="end"/>
      </w:r>
      <w:r w:rsidRPr="00852292">
        <w:rPr>
          <w:rFonts w:ascii="Times New Roman" w:hAnsi="Times New Roman"/>
        </w:rPr>
        <w:t xml:space="preserve">, texture features </w:t>
      </w:r>
      <w:r w:rsidRPr="00852292">
        <w:rPr>
          <w:rFonts w:ascii="Times New Roman" w:hAnsi="Times New Roman"/>
        </w:rPr>
        <w:fldChar w:fldCharType="begin" w:fldLock="1"/>
      </w:r>
      <w:r w:rsidRPr="00852292">
        <w:rPr>
          <w:rFonts w:ascii="Times New Roman" w:hAnsi="Times New Roman"/>
        </w:rPr>
        <w:instrText>ADDIN CSL_CITATION {"citationItems":[{"id":"ITEM-1","itemData":{"DOI":"10.1117/1.JRS.8.083584","ISSN":"1931-3195","abstract":"Texture features are widely used in image retrieval literature. However, conventional texture features are extracted from grayscale images without taking color information into consideration. We present two improved texture descriptors, named color Gabor wavelet texture (CGWT) and color Gabor opponent texture (CGOT), respectively, for the purpose of remote sensing image retrieval. The former consists of unichrome features computed from color channels independently and opponent features computed across different color channels at different scales, while the latter consists of Gabor texture features and opponent features mentioned above. The two representations incorporate discriminative information among color bands, thus describing well the remote sensing images that have multiple objects. Experimental results demonstrate that CGWT yields better performance compared to other state-of-the-art texture features, and CGOT not only improves the retrieval results of some image classes that have unsatisfactory performance using CGWT representation, but also increases the average precision of all queried images further. In addition, a similarity measure function for proposed representation CGOT has been defined to give a convincing evaluation.","author":[{"dropping-particle":"","family":"Shao","given":"Zhenfeng","non-dropping-particle":"","parse-names":false,"suffix":""},{"dropping-particle":"","family":"Zhou","given":"Weixun","non-dropping-particle":"","parse-names":false,"suffix":""},{"dropping-particle":"","family":"Zhang","given":"Lei","non-dropping-particle":"","parse-names":false,"suffix":""},{"dropping-particle":"","family":"Hou","given":"Jihu","non-dropping-particle":"","parse-names":false,"suffix":""}],"container-title":"Journal of Applied Remote Sensing","id":"ITEM-1","issue":"1","issued":{"date-parts":[["2014","7","24"]]},"page":"083584","publisher":"International Society for Optics and Photonics","title":"Improved color texture descriptors for remote sensing image retrieval","type":"article-journal","volume":"8"},"uris":["http://www.mendeley.com/documents/?uuid=b6a1d496-27e1-3e96-b81d-5885eda2cef7"]}],"mendeley":{"formattedCitation":"(Shao et al., 2014)","manualFormatting":"(e.g. Shao et al., 2014)","plainTextFormattedCitation":"(Shao et al., 2014)","previouslyFormattedCitation":"(Shao et al., 2014)"},"properties":{"noteIndex":0},"schema":"https://github.com/citation-style-language/schema/raw/master/csl-citation.json"}</w:instrText>
      </w:r>
      <w:r w:rsidRPr="00852292">
        <w:rPr>
          <w:rFonts w:ascii="Times New Roman" w:hAnsi="Times New Roman"/>
        </w:rPr>
        <w:fldChar w:fldCharType="separate"/>
      </w:r>
      <w:r w:rsidRPr="00852292">
        <w:rPr>
          <w:rFonts w:ascii="Times New Roman" w:hAnsi="Times New Roman"/>
          <w:noProof/>
        </w:rPr>
        <w:t>(e.g. Shao et al., 2014)</w:t>
      </w:r>
      <w:r w:rsidRPr="00852292">
        <w:rPr>
          <w:rFonts w:ascii="Times New Roman" w:hAnsi="Times New Roman"/>
        </w:rPr>
        <w:fldChar w:fldCharType="end"/>
      </w:r>
      <w:r w:rsidRPr="00852292">
        <w:rPr>
          <w:rFonts w:ascii="Times New Roman" w:hAnsi="Times New Roman"/>
        </w:rPr>
        <w:t xml:space="preserve">, and shape features </w:t>
      </w:r>
      <w:r w:rsidRPr="00852292">
        <w:rPr>
          <w:rFonts w:ascii="Times New Roman" w:hAnsi="Times New Roman"/>
        </w:rPr>
        <w:fldChar w:fldCharType="begin" w:fldLock="1"/>
      </w:r>
      <w:r w:rsidRPr="00852292">
        <w:rPr>
          <w:rFonts w:ascii="Times New Roman" w:hAnsi="Times New Roman"/>
        </w:rPr>
        <w:instrText>ADDIN CSL_CITATION {"citationItems":[{"id":"ITEM-1","itemData":{"DOI":"10.1109/TGRS.2010.2088404","ISSN":"0196-2892","author":[{"dropping-particle":"","family":"Scott","given":"Grant J.","non-dropping-particle":"","parse-names":false,"suffix":""},{"dropping-particle":"","family":"Klaric","given":"Matthew N.","non-dropping-particle":"","parse-names":false,"suffix":""},{"dropping-particle":"","family":"Davis","given":"Curt H.","non-dropping-particle":"","parse-names":false,"suffix":""},{"dropping-particle":"","family":"Shyu","given":"Chi-Ren","non-dropping-particle":"","parse-names":false,"suffix":""}],"container-title":"IEEE Transactions on Geoscience and Remote Sensing","id":"ITEM-1","issue":"5","issued":{"date-parts":[["2011","5"]]},"page":"1603-1616","title":"Entropy-Balanced Bitmap Tree for Shape-Based Object Retrieval From Large-Scale Satellite Imagery Databases","type":"article-journal","volume":"49"},"uris":["http://www.mendeley.com/documents/?uuid=0f9d4dd9-a723-3a21-8ca6-e6656450ad30"]}],"mendeley":{"formattedCitation":"(Scott et al., 2011)","manualFormatting":"(e.g. Scott et al., 2011)","plainTextFormattedCitation":"(Scott et al., 2011)","previouslyFormattedCitation":"(Scott et al., 2011)"},"properties":{"noteIndex":0},"schema":"https://github.com/citation-style-language/schema/raw/master/csl-citation.json"}</w:instrText>
      </w:r>
      <w:r w:rsidRPr="00852292">
        <w:rPr>
          <w:rFonts w:ascii="Times New Roman" w:hAnsi="Times New Roman"/>
        </w:rPr>
        <w:fldChar w:fldCharType="separate"/>
      </w:r>
      <w:r w:rsidRPr="00852292">
        <w:rPr>
          <w:rFonts w:ascii="Times New Roman" w:hAnsi="Times New Roman"/>
          <w:noProof/>
        </w:rPr>
        <w:t xml:space="preserve">(e.g. Scott </w:t>
      </w:r>
      <w:r w:rsidRPr="00852292">
        <w:rPr>
          <w:rFonts w:ascii="Times New Roman" w:hAnsi="Times New Roman"/>
          <w:noProof/>
        </w:rPr>
        <w:lastRenderedPageBreak/>
        <w:t>et al., 2011)</w:t>
      </w:r>
      <w:r w:rsidRPr="00852292">
        <w:rPr>
          <w:rFonts w:ascii="Times New Roman" w:hAnsi="Times New Roman"/>
        </w:rPr>
        <w:fldChar w:fldCharType="end"/>
      </w:r>
      <w:r w:rsidRPr="00852292">
        <w:rPr>
          <w:rFonts w:ascii="Times New Roman" w:hAnsi="Times New Roman"/>
        </w:rPr>
        <w:t xml:space="preserve">. Local features, like Scale Invariant Feature Transform (SIFT) </w:t>
      </w:r>
      <w:r w:rsidRPr="00852292">
        <w:rPr>
          <w:rFonts w:ascii="Times New Roman" w:hAnsi="Times New Roman"/>
        </w:rPr>
        <w:fldChar w:fldCharType="begin" w:fldLock="1"/>
      </w:r>
      <w:r w:rsidRPr="00852292">
        <w:rPr>
          <w:rFonts w:ascii="Times New Roman" w:hAnsi="Times New Roman"/>
        </w:rPr>
        <w:instrText>ADDIN CSL_CITATION {"citationItems":[{"id":"ITEM-1","itemData":{"DOI":"10.1023/B:VISI.0000029664.99615.94","ISSN":"0920-5691","author":[{"dropping-particle":"","family":"Lowe","given":"David G.","non-dropping-particle":"","parse-names":false,"suffix":""}],"container-title":"International Journal of Computer Vision","id":"ITEM-1","issue":"2","issued":{"date-parts":[["2004","11"]]},"page":"91-110","publisher":"Kluwer Academic Publishers","title":"Distinctive Image Features from Scale-Invariant Keypoints","type":"article-journal","volume":"60"},"uris":["http://www.mendeley.com/documents/?uuid=8806b700-7a37-3858-aaf0-de67b75af696"]}],"mendeley":{"formattedCitation":"(Lowe, 2004)","plainTextFormattedCitation":"(Lowe, 2004)","previouslyFormattedCitation":"(Lowe, 2004)"},"properties":{"noteIndex":0},"schema":"https://github.com/citation-style-language/schema/raw/master/csl-citation.json"}</w:instrText>
      </w:r>
      <w:r w:rsidRPr="00852292">
        <w:rPr>
          <w:rFonts w:ascii="Times New Roman" w:hAnsi="Times New Roman"/>
        </w:rPr>
        <w:fldChar w:fldCharType="separate"/>
      </w:r>
      <w:r w:rsidRPr="00852292">
        <w:rPr>
          <w:rFonts w:ascii="Times New Roman" w:hAnsi="Times New Roman"/>
          <w:noProof/>
        </w:rPr>
        <w:t>(Lowe, 2004)</w:t>
      </w:r>
      <w:r w:rsidRPr="00852292">
        <w:rPr>
          <w:rFonts w:ascii="Times New Roman" w:hAnsi="Times New Roman"/>
        </w:rPr>
        <w:fldChar w:fldCharType="end"/>
      </w:r>
      <w:r w:rsidRPr="00852292">
        <w:rPr>
          <w:rFonts w:ascii="Times New Roman" w:hAnsi="Times New Roman"/>
        </w:rPr>
        <w:t xml:space="preserve"> are extracted from image patches that are centered about a point of interest. </w:t>
      </w:r>
      <w:r w:rsidRPr="00852292">
        <w:rPr>
          <w:rFonts w:ascii="Times New Roman" w:hAnsi="Times New Roman"/>
        </w:rPr>
        <w:fldChar w:fldCharType="begin" w:fldLock="1"/>
      </w:r>
      <w:r w:rsidRPr="00852292">
        <w:rPr>
          <w:rFonts w:ascii="Times New Roman" w:hAnsi="Times New Roman"/>
        </w:rPr>
        <w:instrText>ADDIN CSL_CITATION {"citationItems":[{"id":"ITEM-1","itemData":{"DOI":"10.1016/J.ISPRSJPRS.2018.01.004","ISSN":"0924-2716","abstract":"Benchmark datasets are critical for developing, evaluating, and comparing remote sensing image retrieval (RSIR) approaches. However, current benchmark datasets are deficient in that (1) they were originally collected for land use/land cover classification instead of RSIR; (2) they are relatively small in terms of the number of classes as well as the number of images per class which makes them unsuitable for developing deep learning based approaches; and (3) they are not appropriate for RSIR due to the large amount of background present in the images. These limitations restrict the development of novel approaches for RSIR, particularly those based on deep learning which require large amounts of training data. We therefore present a new large-scale remote sensing dataset termed “PatternNet” that was collected specifically for RSIR. PatternNet was collected from high-resolution imagery and contains 38 classes with 800 images per class. Significantly, PatternNet’s large scale makes it suitable for developing novel, deep learning based approaches for RSIR. We use PatternNet to evaluate the performance of over 35 RSIR methods ranging from traditional handcrafted feature based methods to recent, deep learning based ones. These results serve as a baseline for future research on RSIR.","author":[{"dropping-particle":"","family":"Zhou","given":"Weixun","non-dropping-particle":"","parse-names":false,"suffix":""},{"dropping-particle":"","family":"Newsam","given":"Shawn","non-dropping-particle":"","parse-names":false,"suffix":""},{"dropping-particle":"","family":"Li","given":"Congmin","non-dropping-particle":"","parse-names":false,"suffix":""},{"dropping-particle":"","family":"Shao","given":"Zhenfeng","non-dropping-particle":"","parse-names":false,"suffix":""}],"container-title":"ISPRS Journal of Photogrammetry and Remote Sensing","id":"ITEM-1","issued":{"date-parts":[["2018","11","1"]]},"page":"197-209","publisher":"Elsevier","title":"PatternNet: A benchmark dataset for performance evaluation of remote sensing image retrieval","type":"article-journal","volume":"145"},"uris":["http://www.mendeley.com/documents/?uuid=7af9c309-4a75-3f76-b357-a7e54351a9ff"]}],"mendeley":{"formattedCitation":"(Zhou et al., 2018a)","manualFormatting":"Zhou et al. (2018a)","plainTextFormattedCitation":"(Zhou et al., 2018a)","previouslyFormattedCitation":"(Zhou et al., 2018a)"},"properties":{"noteIndex":0},"schema":"https://github.com/citation-style-language/schema/raw/master/csl-citation.json"}</w:instrText>
      </w:r>
      <w:r w:rsidRPr="00852292">
        <w:rPr>
          <w:rFonts w:ascii="Times New Roman" w:hAnsi="Times New Roman"/>
        </w:rPr>
        <w:fldChar w:fldCharType="separate"/>
      </w:r>
      <w:r w:rsidRPr="00852292">
        <w:rPr>
          <w:rFonts w:ascii="Times New Roman" w:hAnsi="Times New Roman"/>
          <w:noProof/>
        </w:rPr>
        <w:t>Zhou et al. (2018a)</w:t>
      </w:r>
      <w:r w:rsidRPr="00852292">
        <w:rPr>
          <w:rFonts w:ascii="Times New Roman" w:hAnsi="Times New Roman"/>
        </w:rPr>
        <w:fldChar w:fldCharType="end"/>
      </w:r>
      <w:r w:rsidRPr="00852292">
        <w:rPr>
          <w:rFonts w:ascii="Times New Roman" w:hAnsi="Times New Roman"/>
        </w:rPr>
        <w:t xml:space="preserve"> observed that the remote sensing community makes use of the properties of local features and proposed several methods for remote sensing image analysis. However, these global and local features are hand-crafted. Furthermore, the development of such features is time consuming and oftentimes depend on ad-hoc or heuristic design decisions. For these reasons, the extraction of low-level global and local features are suboptimal for some scene classification tasks. </w:t>
      </w:r>
      <w:r w:rsidRPr="00852292">
        <w:rPr>
          <w:rFonts w:ascii="Times New Roman" w:hAnsi="Times New Roman"/>
        </w:rPr>
        <w:fldChar w:fldCharType="begin" w:fldLock="1"/>
      </w:r>
      <w:r w:rsidRPr="00852292">
        <w:rPr>
          <w:rFonts w:ascii="Times New Roman" w:hAnsi="Times New Roman"/>
        </w:rPr>
        <w:instrText>ADDIN CSL_CITATION {"citationItems":[{"id":"ITEM-1","itemData":{"DOI":"10.3390/rs71114680","ISSN":"2072-4292","abstract":"Learning efficient image representations is at the core of the scene classification task of remote sensing imagery. The existing methods for solving the scene classification task, based on either feature coding approaches with low-level hand-engineered features or unsupervised feature learning, can only generate mid-level image features with limited representative ability, which essentially prevents them from achieving better performance. Recently, the deep convolutional neural networks (CNNs), which are hierarchical architectures trained on large-scale datasets, have shown astounding performance in object recognition and detection. However, it is still not clear how to use these deep convolutional neural networks for high-resolution remote sensing (HRRS) scene classification. In this paper, we investigate how to transfer features from these successfully pre-trained CNNs for HRRS scene classification. We propose two scenarios for generating image features via extracting CNN features from different layers. In the first scenario, the activation vectors extracted from fully-connected layers are regarded as the final image features; in the second scenario, we extract dense features from the last convolutional layer at multiple scales and then encode the dense features into global image features through commonly used feature coding approaches. Extensive experiments on two public scene classification datasets demonstrate that the image features obtained by the two proposed scenarios, even with a simple linear classifier, can result in remarkable performance and improve the state-of-the-art by a significant margin. The results reveal that the features from pre-trained CNNs generalize well to HRRS datasets and are more expressive than the low- and mid-level features. Moreover, we tentatively combine features extracted from different CNN models for better performance.","author":[{"dropping-particle":"","family":"Hu","given":"Fan","non-dropping-particle":"","parse-names":false,"suffix":""},{"dropping-particle":"","family":"Xia","given":"Gui-Song","non-dropping-particle":"","parse-names":false,"suffix":""},{"dropping-particle":"","family":"Hu","given":"Jingwen","non-dropping-particle":"","parse-names":false,"suffix":""},{"dropping-particle":"","family":"Zhang","given":"Liangpei","non-dropping-particle":"","parse-names":false,"suffix":""}],"container-title":"Remote Sensing","id":"ITEM-1","issue":"11","issued":{"date-parts":[["2015","11","5"]]},"page":"14680-14707","publisher":"Multidisciplinary Digital Publishing Institute","title":"Transferring Deep Convolutional Neural Networks for the Scene Classification of High-Resolution Remote Sensing Imagery","type":"article-journal","volume":"7"},"uris":["http://www.mendeley.com/documents/?uuid=eb6512f6-1586-37cd-aede-16b507b0486c"]}],"mendeley":{"formattedCitation":"(Hu et al., 2015)","manualFormatting":"Hu et al. (2015)","plainTextFormattedCitation":"(Hu et al., 2015)","previouslyFormattedCitation":"(Hu et al., 2015)"},"properties":{"noteIndex":0},"schema":"https://github.com/citation-style-language/schema/raw/master/csl-citation.json"}</w:instrText>
      </w:r>
      <w:r w:rsidRPr="00852292">
        <w:rPr>
          <w:rFonts w:ascii="Times New Roman" w:hAnsi="Times New Roman"/>
        </w:rPr>
        <w:fldChar w:fldCharType="separate"/>
      </w:r>
      <w:r w:rsidRPr="00852292">
        <w:rPr>
          <w:rFonts w:ascii="Times New Roman" w:hAnsi="Times New Roman"/>
          <w:noProof/>
        </w:rPr>
        <w:t>Hu et al. (2015)</w:t>
      </w:r>
      <w:r w:rsidRPr="00852292">
        <w:rPr>
          <w:rFonts w:ascii="Times New Roman" w:hAnsi="Times New Roman"/>
        </w:rPr>
        <w:fldChar w:fldCharType="end"/>
      </w:r>
      <w:r w:rsidRPr="00852292">
        <w:rPr>
          <w:rFonts w:ascii="Times New Roman" w:hAnsi="Times New Roman"/>
        </w:rPr>
        <w:t xml:space="preserve"> remarked that the performance of remote sensing scene classification has only slightly improved in recent years. The main reason remote sensing scene classification only marginally improved due to the fact that the approaches relying on low-level features are incapable of generating sufficiently powerful feature representations for remote sensing scenes. </w:t>
      </w:r>
      <w:r w:rsidRPr="00852292">
        <w:rPr>
          <w:rFonts w:ascii="Times New Roman" w:hAnsi="Times New Roman"/>
        </w:rPr>
        <w:fldChar w:fldCharType="begin" w:fldLock="1"/>
      </w:r>
      <w:r w:rsidRPr="00852292">
        <w:rPr>
          <w:rFonts w:ascii="Times New Roman" w:hAnsi="Times New Roman"/>
        </w:rPr>
        <w:instrText>ADDIN CSL_CITATION {"citationItems":[{"id":"ITEM-1","itemData":{"DOI":"10.3390/rs71114680","ISSN":"2072-4292","abstract":"Learning efficient image representations is at the core of the scene classification task of remote sensing imagery. The existing methods for solving the scene classification task, based on either feature coding approaches with low-level hand-engineered features or unsupervised feature learning, can only generate mid-level image features with limited representative ability, which essentially prevents them from achieving better performance. Recently, the deep convolutional neural networks (CNNs), which are hierarchical architectures trained on large-scale datasets, have shown astounding performance in object recognition and detection. However, it is still not clear how to use these deep convolutional neural networks for high-resolution remote sensing (HRRS) scene classification. In this paper, we investigate how to transfer features from these successfully pre-trained CNNs for HRRS scene classification. We propose two scenarios for generating image features via extracting CNN features from different layers. In the first scenario, the activation vectors extracted from fully-connected layers are regarded as the final image features; in the second scenario, we extract dense features from the last convolutional layer at multiple scales and then encode the dense features into global image features through commonly used feature coding approaches. Extensive experiments on two public scene classification datasets demonstrate that the image features obtained by the two proposed scenarios, even with a simple linear classifier, can result in remarkable performance and improve the state-of-the-art by a significant margin. The results reveal that the features from pre-trained CNNs generalize well to HRRS datasets and are more expressive than the low- and mid-level features. Moreover, we tentatively combine features extracted from different CNN models for better performance.","author":[{"dropping-particle":"","family":"Hu","given":"Fan","non-dropping-particle":"","parse-names":false,"suffix":""},{"dropping-particle":"","family":"Xia","given":"Gui-Song","non-dropping-particle":"","parse-names":false,"suffix":""},{"dropping-particle":"","family":"Hu","given":"Jingwen","non-dropping-particle":"","parse-names":false,"suffix":""},{"dropping-particle":"","family":"Zhang","given":"Liangpei","non-dropping-particle":"","parse-names":false,"suffix":""}],"container-title":"Remote Sensing","id":"ITEM-1","issue":"11","issued":{"date-parts":[["2015","11","5"]]},"page":"14680-14707","publisher":"Multidisciplinary Digital Publishing Institute","title":"Transferring Deep Convolutional Neural Networks for the Scene Classification of High-Resolution Remote Sensing Imagery","type":"article-journal","volume":"7"},"uris":["http://www.mendeley.com/documents/?uuid=eb6512f6-1586-37cd-aede-16b507b0486c"]}],"mendeley":{"formattedCitation":"(Hu et al., 2015)","manualFormatting":"Hu et al. (2015)","plainTextFormattedCitation":"(Hu et al., 2015)","previouslyFormattedCitation":"(Hu et al., 2015)"},"properties":{"noteIndex":0},"schema":"https://github.com/citation-style-language/schema/raw/master/csl-citation.json"}</w:instrText>
      </w:r>
      <w:r w:rsidRPr="00852292">
        <w:rPr>
          <w:rFonts w:ascii="Times New Roman" w:hAnsi="Times New Roman"/>
        </w:rPr>
        <w:fldChar w:fldCharType="separate"/>
      </w:r>
      <w:r w:rsidRPr="00852292">
        <w:rPr>
          <w:rFonts w:ascii="Times New Roman" w:hAnsi="Times New Roman"/>
          <w:noProof/>
        </w:rPr>
        <w:t>Hu et al. (2015)</w:t>
      </w:r>
      <w:r w:rsidRPr="00852292">
        <w:rPr>
          <w:rFonts w:ascii="Times New Roman" w:hAnsi="Times New Roman"/>
        </w:rPr>
        <w:fldChar w:fldCharType="end"/>
      </w:r>
      <w:r w:rsidRPr="00852292">
        <w:rPr>
          <w:rFonts w:ascii="Times New Roman" w:hAnsi="Times New Roman"/>
        </w:rPr>
        <w:t xml:space="preserve"> concluded that the more representative and higher-level features, which are abstractions of the lower-level features, are desirable and play a dominant role in scene classification task. The extraction of high-level features promises to be one of the main advantages of deep learning methods. As observed by </w:t>
      </w:r>
      <w:r w:rsidRPr="00852292">
        <w:rPr>
          <w:rFonts w:ascii="Times New Roman" w:hAnsi="Times New Roman"/>
        </w:rPr>
        <w:fldChar w:fldCharType="begin" w:fldLock="1"/>
      </w:r>
      <w:r w:rsidRPr="00852292">
        <w:rPr>
          <w:rFonts w:ascii="Times New Roman" w:hAnsi="Times New Roman"/>
        </w:rPr>
        <w:instrText>ADDIN CSL_CITATION {"citationItems":[{"id":"ITEM-1","itemData":{"DOI":"10.1109/TGRS.2018.2815613","ISSN":"0196-2892","author":[{"dropping-particle":"","family":"Yang","given":"Xiaofei","non-dropping-particle":"","parse-names":false,"suffix":""},{"dropping-particle":"","family":"Ye","given":"Yunming","non-dropping-particle":"","parse-names":false,"suffix":""},{"dropping-particle":"","family":"Li","given":"Xutao","non-dropping-particle":"","parse-names":false,"suffix":""},{"dropping-particle":"","family":"Lau","given":"Raymond Y. K.","non-dropping-particle":"","parse-names":false,"suffix":""},{"dropping-particle":"","family":"Zhang","given":"Xiaofeng","non-dropping-particle":"","parse-names":false,"suffix":""},{"dropping-particle":"","family":"Huang","given":"Xiaohui","non-dropping-particle":"","parse-names":false,"suffix":""}],"container-title":"IEEE Transactions on Geoscience and Remote Sensing","id":"ITEM-1","issue":"9","issued":{"date-parts":[["2018","9"]]},"page":"5408-5423","title":"Hyperspectral Image Classification With Deep Learning Models","type":"article-journal","volume":"56"},"uris":["http://www.mendeley.com/documents/?uuid=dae089da-82b4-373c-9237-1a0094697e16"]}],"mendeley":{"formattedCitation":"(Yang et al., 2018)","manualFormatting":"Yang et al. (2018)","plainTextFormattedCitation":"(Yang et al., 2018)","previouslyFormattedCitation":"(Yang et al., 2018)"},"properties":{"noteIndex":0},"schema":"https://github.com/citation-style-language/schema/raw/master/csl-citation.json"}</w:instrText>
      </w:r>
      <w:r w:rsidRPr="00852292">
        <w:rPr>
          <w:rFonts w:ascii="Times New Roman" w:hAnsi="Times New Roman"/>
        </w:rPr>
        <w:fldChar w:fldCharType="separate"/>
      </w:r>
      <w:r w:rsidRPr="00852292">
        <w:rPr>
          <w:rFonts w:ascii="Times New Roman" w:hAnsi="Times New Roman"/>
          <w:noProof/>
        </w:rPr>
        <w:t>Yang et al. (2018)</w:t>
      </w:r>
      <w:r w:rsidRPr="00852292">
        <w:rPr>
          <w:rFonts w:ascii="Times New Roman" w:hAnsi="Times New Roman"/>
        </w:rPr>
        <w:fldChar w:fldCharType="end"/>
      </w:r>
      <w:r w:rsidRPr="00852292">
        <w:rPr>
          <w:rFonts w:ascii="Times New Roman" w:hAnsi="Times New Roman"/>
        </w:rPr>
        <w:t>, one of the reasons for the attractiveness of deep learning models is due the models’ capacity to discover effective feature transformations for the desired task.</w:t>
      </w:r>
    </w:p>
    <w:p w14:paraId="6669F781" w14:textId="77777777" w:rsidR="004D5986" w:rsidRPr="00852292" w:rsidRDefault="004D5986" w:rsidP="004D5986">
      <w:pPr>
        <w:ind w:firstLine="720"/>
        <w:rPr>
          <w:rFonts w:ascii="Times New Roman" w:hAnsi="Times New Roman"/>
        </w:rPr>
      </w:pPr>
      <w:r w:rsidRPr="00852292">
        <w:rPr>
          <w:rFonts w:ascii="Times New Roman" w:hAnsi="Times New Roman"/>
        </w:rPr>
        <w:t xml:space="preserve">Recently, the deep learning methods </w:t>
      </w:r>
      <w:r w:rsidRPr="00852292">
        <w:rPr>
          <w:rFonts w:ascii="Times New Roman" w:hAnsi="Times New Roman"/>
        </w:rPr>
        <w:fldChar w:fldCharType="begin" w:fldLock="1"/>
      </w:r>
      <w:r w:rsidRPr="00852292">
        <w:rPr>
          <w:rFonts w:ascii="Times New Roman" w:hAnsi="Times New Roman"/>
        </w:rPr>
        <w:instrText>ADDIN CSL_CITATION {"citationItems":[{"id":"ITEM-1","itemData":{"DOI":"10.1038/nature14539","ISSN":"0028-0836","abstract":"Deep learning","author":[{"dropping-particle":"","family":"LeCun","given":"Yann","non-dropping-particle":"","parse-names":false,"suffix":""},{"dropping-particle":"","family":"Bengio","given":"Yoshua","non-dropping-particle":"","parse-names":false,"suffix":""},{"dropping-particle":"","family":"Hinton","given":"Geoffrey","non-dropping-particle":"","parse-names":false,"suffix":""}],"container-title":"Nature","id":"ITEM-1","issue":"7553","issued":{"date-parts":[["2015","5","28"]]},"page":"436-444","publisher":"Nature Publishing Group","title":"Deep learning","type":"article-journal","volume":"521"},"uris":["http://www.mendeley.com/documents/?uuid=0649e55b-84c4-3d3a-a37b-adcdaa740493"]}],"mendeley":{"formattedCitation":"(LeCun et al., 2015)","plainTextFormattedCitation":"(LeCun et al., 2015)","previouslyFormattedCitation":"(LeCun et al., 2015)"},"properties":{"noteIndex":0},"schema":"https://github.com/citation-style-language/schema/raw/master/csl-citation.json"}</w:instrText>
      </w:r>
      <w:r w:rsidRPr="00852292">
        <w:rPr>
          <w:rFonts w:ascii="Times New Roman" w:hAnsi="Times New Roman"/>
        </w:rPr>
        <w:fldChar w:fldCharType="separate"/>
      </w:r>
      <w:r w:rsidRPr="00852292">
        <w:rPr>
          <w:rFonts w:ascii="Times New Roman" w:hAnsi="Times New Roman"/>
          <w:noProof/>
        </w:rPr>
        <w:t>(LeCun et al., 2015)</w:t>
      </w:r>
      <w:r w:rsidRPr="00852292">
        <w:rPr>
          <w:rFonts w:ascii="Times New Roman" w:hAnsi="Times New Roman"/>
        </w:rPr>
        <w:fldChar w:fldCharType="end"/>
      </w:r>
      <w:r w:rsidRPr="00852292">
        <w:rPr>
          <w:rFonts w:ascii="Times New Roman" w:hAnsi="Times New Roman"/>
        </w:rPr>
        <w:t xml:space="preserve"> are being applied in many fields of science and industry. Current progress in deep learning models, specifically deep convolutional neural networks (CNN) architectures, have improved the state-of-the-art in visual object recognition and detection, speech recognition and many other fields of study </w:t>
      </w:r>
      <w:r w:rsidRPr="00852292">
        <w:rPr>
          <w:rFonts w:ascii="Times New Roman" w:hAnsi="Times New Roman"/>
        </w:rPr>
        <w:fldChar w:fldCharType="begin" w:fldLock="1"/>
      </w:r>
      <w:r w:rsidRPr="00852292">
        <w:rPr>
          <w:rFonts w:ascii="Times New Roman" w:hAnsi="Times New Roman"/>
        </w:rPr>
        <w:instrText>ADDIN CSL_CITATION {"citationItems":[{"id":"ITEM-1","itemData":{"DOI":"10.1038/nature14539","ISSN":"0028-0836","abstract":"Deep learning","author":[{"dropping-particle":"","family":"LeCun","given":"Yann","non-dropping-particle":"","parse-names":false,"suffix":""},{"dropping-particle":"","family":"Bengio","given":"Yoshua","non-dropping-particle":"","parse-names":false,"suffix":""},{"dropping-particle":"","family":"Hinton","given":"Geoffrey","non-dropping-particle":"","parse-names":false,"suffix":""}],"container-title":"Nature","id":"ITEM-1","issue":"7553","issued":{"date-parts":[["2015","5","28"]]},"page":"436-444","publisher":"Nature Publishing Group","title":"Deep learning","type":"article-journal","volume":"521"},"uris":["http://www.mendeley.com/documents/?uuid=0649e55b-84c4-3d3a-a37b-adcdaa740493"]}],"mendeley":{"formattedCitation":"(LeCun et al., 2015)","plainTextFormattedCitation":"(LeCun et al., 2015)","previouslyFormattedCitation":"(LeCun et al., 2015)"},"properties":{"noteIndex":0},"schema":"https://github.com/citation-style-language/schema/raw/master/csl-citation.json"}</w:instrText>
      </w:r>
      <w:r w:rsidRPr="00852292">
        <w:rPr>
          <w:rFonts w:ascii="Times New Roman" w:hAnsi="Times New Roman"/>
        </w:rPr>
        <w:fldChar w:fldCharType="separate"/>
      </w:r>
      <w:r w:rsidRPr="00852292">
        <w:rPr>
          <w:rFonts w:ascii="Times New Roman" w:hAnsi="Times New Roman"/>
          <w:noProof/>
        </w:rPr>
        <w:t>(LeCun et al., 2015)</w:t>
      </w:r>
      <w:r w:rsidRPr="00852292">
        <w:rPr>
          <w:rFonts w:ascii="Times New Roman" w:hAnsi="Times New Roman"/>
        </w:rPr>
        <w:fldChar w:fldCharType="end"/>
      </w:r>
      <w:r w:rsidRPr="00852292">
        <w:rPr>
          <w:rFonts w:ascii="Times New Roman" w:hAnsi="Times New Roman"/>
        </w:rPr>
        <w:t xml:space="preserve">. The model described by </w:t>
      </w:r>
      <w:r w:rsidRPr="00852292">
        <w:rPr>
          <w:rFonts w:ascii="Times New Roman" w:hAnsi="Times New Roman"/>
        </w:rPr>
        <w:fldChar w:fldCharType="begin" w:fldLock="1"/>
      </w:r>
      <w:r w:rsidRPr="00852292">
        <w:rPr>
          <w:rFonts w:ascii="Times New Roman" w:hAnsi="Times New Roman"/>
        </w:rPr>
        <w:instrText>ADDIN CSL_CITATION {"citationItems":[{"id":"ITEM-1","itemData":{"author":[{"dropping-particle":"","family":"Krizhevsky","given":"Alex","non-dropping-particle":"","parse-names":false,"suffix":""},{"dropping-particle":"","family":"Sutskever","given":"Ilya","non-dropping-particle":"","parse-names":false,"suffix":""},{"dropping-particle":"","family":"Hinton","given":"Geoffrey E","non-dropping-particle":"","parse-names":false,"suffix":""}],"collection-title":"NIPS'12","container-title":"Proceedings of the 25th International Conference on Neural Information Processing Systems - Volume 1","id":"ITEM-1","issued":{"date-parts":[["2012"]]},"page":"1097-1105","publisher":"Curran Associates Inc.","publisher-place":"USA","title":"ImageNet Classification with Deep Convolutional Neural Networks","type":"paper-conference"},"uris":["http://www.mendeley.com/documents/?uuid=d1bdbb5f-bb6d-464f-b23e-e9ad964cafa2"]}],"mendeley":{"formattedCitation":"(Krizhevsky et al., 2012)","manualFormatting":"Krizhevsky et al. (2012)","plainTextFormattedCitation":"(Krizhevsky et al., 2012)","previouslyFormattedCitation":"(Krizhevsky et al., 2012)"},"properties":{"noteIndex":0},"schema":"https://github.com/citation-style-language/schema/raw/master/csl-citation.json"}</w:instrText>
      </w:r>
      <w:r w:rsidRPr="00852292">
        <w:rPr>
          <w:rFonts w:ascii="Times New Roman" w:hAnsi="Times New Roman"/>
        </w:rPr>
        <w:fldChar w:fldCharType="separate"/>
      </w:r>
      <w:r w:rsidRPr="00852292">
        <w:rPr>
          <w:rFonts w:ascii="Times New Roman" w:hAnsi="Times New Roman"/>
          <w:noProof/>
        </w:rPr>
        <w:t>Krizhevsky et al. (2012)</w:t>
      </w:r>
      <w:r w:rsidRPr="00852292">
        <w:rPr>
          <w:rFonts w:ascii="Times New Roman" w:hAnsi="Times New Roman"/>
        </w:rPr>
        <w:fldChar w:fldCharType="end"/>
      </w:r>
      <w:r w:rsidRPr="00852292">
        <w:rPr>
          <w:rFonts w:ascii="Times New Roman" w:hAnsi="Times New Roman"/>
        </w:rPr>
        <w:t xml:space="preserve">, frequently referenced to as AlexNet, is considered a breakthrough and influenced the rapid adoption of DL in the computer vision </w:t>
      </w:r>
      <w:r w:rsidRPr="00852292">
        <w:rPr>
          <w:rFonts w:ascii="Times New Roman" w:hAnsi="Times New Roman"/>
        </w:rPr>
        <w:lastRenderedPageBreak/>
        <w:t xml:space="preserve">field </w:t>
      </w:r>
      <w:r w:rsidRPr="00852292">
        <w:rPr>
          <w:rFonts w:ascii="Times New Roman" w:hAnsi="Times New Roman"/>
        </w:rPr>
        <w:fldChar w:fldCharType="begin" w:fldLock="1"/>
      </w:r>
      <w:r w:rsidRPr="00852292">
        <w:rPr>
          <w:rFonts w:ascii="Times New Roman" w:hAnsi="Times New Roman"/>
        </w:rPr>
        <w:instrText>ADDIN CSL_CITATION {"citationItems":[{"id":"ITEM-1","itemData":{"DOI":"10.1038/nature14539","ISSN":"0028-0836","abstract":"Deep learning","author":[{"dropping-particle":"","family":"LeCun","given":"Yann","non-dropping-particle":"","parse-names":false,"suffix":""},{"dropping-particle":"","family":"Bengio","given":"Yoshua","non-dropping-particle":"","parse-names":false,"suffix":""},{"dropping-particle":"","family":"Hinton","given":"Geoffrey","non-dropping-particle":"","parse-names":false,"suffix":""}],"container-title":"Nature","id":"ITEM-1","issue":"7553","issued":{"date-parts":[["2015","5","28"]]},"page":"436-444","publisher":"Nature Publishing Group","title":"Deep learning","type":"article-journal","volume":"521"},"uris":["http://www.mendeley.com/documents/?uuid=0649e55b-84c4-3d3a-a37b-adcdaa740493"]}],"mendeley":{"formattedCitation":"(LeCun et al., 2015)","plainTextFormattedCitation":"(LeCun et al., 2015)","previouslyFormattedCitation":"(LeCun et al., 2015)"},"properties":{"noteIndex":0},"schema":"https://github.com/citation-style-language/schema/raw/master/csl-citation.json"}</w:instrText>
      </w:r>
      <w:r w:rsidRPr="00852292">
        <w:rPr>
          <w:rFonts w:ascii="Times New Roman" w:hAnsi="Times New Roman"/>
        </w:rPr>
        <w:fldChar w:fldCharType="separate"/>
      </w:r>
      <w:r w:rsidRPr="00852292">
        <w:rPr>
          <w:rFonts w:ascii="Times New Roman" w:hAnsi="Times New Roman"/>
          <w:noProof/>
        </w:rPr>
        <w:t>(LeCun et al., 2015)</w:t>
      </w:r>
      <w:r w:rsidRPr="00852292">
        <w:rPr>
          <w:rFonts w:ascii="Times New Roman" w:hAnsi="Times New Roman"/>
        </w:rPr>
        <w:fldChar w:fldCharType="end"/>
      </w:r>
      <w:r w:rsidRPr="00852292">
        <w:rPr>
          <w:rFonts w:ascii="Times New Roman" w:hAnsi="Times New Roman"/>
        </w:rPr>
        <w:t xml:space="preserve">. CNNs currently are the dominant method in the vast majority image classification, segmentation, and detection tasks due to their remarkable performance in many benchmarks, e.g. the MNIST handwritten database </w:t>
      </w:r>
      <w:r w:rsidRPr="00852292">
        <w:rPr>
          <w:rFonts w:ascii="Times New Roman" w:hAnsi="Times New Roman"/>
        </w:rPr>
        <w:fldChar w:fldCharType="begin" w:fldLock="1"/>
      </w:r>
      <w:r w:rsidRPr="00852292">
        <w:rPr>
          <w:rFonts w:ascii="Times New Roman" w:hAnsi="Times New Roman"/>
        </w:rPr>
        <w:instrText>ADDIN CSL_CITATION {"citationItems":[{"id":"ITEM-1","itemData":{"author":[{"dropping-particle":"","family":"LeCun","given":"Yann","non-dropping-particle":"","parse-names":false,"suffix":""}],"container-title":"http://yann. lecun. com/exdb/mnist/","id":"ITEM-1","issued":{"date-parts":[["1998"]]},"title":"The MNIST database of handwritten digits","type":"article-journal"},"uris":["http://www.mendeley.com/documents/?uuid=5c5747b4-2dd1-4aa2-9eec-ecaa69c71d15"]}],"mendeley":{"formattedCitation":"(LeCun, 1998)","plainTextFormattedCitation":"(LeCun, 1998)","previouslyFormattedCitation":"(LeCun, 1998)"},"properties":{"noteIndex":0},"schema":"https://github.com/citation-style-language/schema/raw/master/csl-citation.json"}</w:instrText>
      </w:r>
      <w:r w:rsidRPr="00852292">
        <w:rPr>
          <w:rFonts w:ascii="Times New Roman" w:hAnsi="Times New Roman"/>
        </w:rPr>
        <w:fldChar w:fldCharType="separate"/>
      </w:r>
      <w:r w:rsidRPr="00852292">
        <w:rPr>
          <w:rFonts w:ascii="Times New Roman" w:hAnsi="Times New Roman"/>
          <w:noProof/>
        </w:rPr>
        <w:t>(LeCun, 1998)</w:t>
      </w:r>
      <w:r w:rsidRPr="00852292">
        <w:rPr>
          <w:rFonts w:ascii="Times New Roman" w:hAnsi="Times New Roman"/>
        </w:rPr>
        <w:fldChar w:fldCharType="end"/>
      </w:r>
      <w:r w:rsidRPr="00852292">
        <w:rPr>
          <w:rFonts w:ascii="Times New Roman" w:hAnsi="Times New Roman"/>
        </w:rPr>
        <w:t xml:space="preserve"> and the ImageNet dataset </w:t>
      </w:r>
      <w:r w:rsidRPr="00852292">
        <w:rPr>
          <w:rFonts w:ascii="Times New Roman" w:hAnsi="Times New Roman"/>
        </w:rPr>
        <w:fldChar w:fldCharType="begin" w:fldLock="1"/>
      </w:r>
      <w:r w:rsidRPr="00852292">
        <w:rPr>
          <w:rFonts w:ascii="Times New Roman" w:hAnsi="Times New Roman"/>
        </w:rPr>
        <w:instrText>ADDIN CSL_CITATION {"citationItems":[{"id":"ITEM-1","itemData":{"DOI":"10.1007/s11263-015-0816-y","ISSN":"0920-5691","author":[{"dropping-particle":"","family":"Russakovsky","given":"Olga","non-dropping-particle":"","parse-names":false,"suffix":""},{"dropping-particle":"","family":"Deng","given":"Jia","non-dropping-particle":"","parse-names":false,"suffix":""},{"dropping-particle":"","family":"Su","given":"Hao","non-dropping-particle":"","parse-names":false,"suffix":""},{"dropping-particle":"","family":"Krause","given":"Jonathan","non-dropping-particle":"","parse-names":false,"suffix":""},{"dropping-particle":"","family":"Satheesh","given":"Sanjeev","non-dropping-particle":"","parse-names":false,"suffix":""},{"dropping-particle":"","family":"Ma","given":"Sean","non-dropping-particle":"","parse-names":false,"suffix":""},{"dropping-particle":"","family":"Huang","given":"Zhiheng","non-dropping-particle":"","parse-names":false,"suffix":""},{"dropping-particle":"","family":"Karpathy","given":"Andrej","non-dropping-particle":"","parse-names":false,"suffix":""},{"dropping-particle":"","family":"Khosla","given":"Aditya","non-dropping-particle":"","parse-names":false,"suffix":""},{"dropping-particle":"","family":"Bernstein","given":"Michael","non-dropping-particle":"","parse-names":false,"suffix":""},{"dropping-particle":"","family":"Berg","given":"Alexander C.","non-dropping-particle":"","parse-names":false,"suffix":""},{"dropping-particle":"","family":"Fei-Fei","given":"Li","non-dropping-particle":"","parse-names":false,"suffix":""}],"container-title":"International Journal of Computer Vision","id":"ITEM-1","issue":"3","issued":{"date-parts":[["2015","12","11"]]},"page":"211-252","publisher":"Springer US","title":"ImageNet Large Scale Visual Recognition Challenge","type":"article-journal","volume":"115"},"uris":["http://www.mendeley.com/documents/?uuid=2c3988eb-b27d-3475-963d-67d67b346a31"]}],"mendeley":{"formattedCitation":"(Russakovsky et al., 2015)","plainTextFormattedCitation":"(Russakovsky et al., 2015)","previouslyFormattedCitation":"(Russakovsky et al., 2015)"},"properties":{"noteIndex":0},"schema":"https://github.com/citation-style-language/schema/raw/master/csl-citation.json"}</w:instrText>
      </w:r>
      <w:r w:rsidRPr="00852292">
        <w:rPr>
          <w:rFonts w:ascii="Times New Roman" w:hAnsi="Times New Roman"/>
        </w:rPr>
        <w:fldChar w:fldCharType="separate"/>
      </w:r>
      <w:r w:rsidRPr="00852292">
        <w:rPr>
          <w:rFonts w:ascii="Times New Roman" w:hAnsi="Times New Roman"/>
          <w:noProof/>
        </w:rPr>
        <w:t>(Russakovsky et al., 2015)</w:t>
      </w:r>
      <w:r w:rsidRPr="00852292">
        <w:rPr>
          <w:rFonts w:ascii="Times New Roman" w:hAnsi="Times New Roman"/>
        </w:rPr>
        <w:fldChar w:fldCharType="end"/>
      </w:r>
      <w:r w:rsidRPr="00852292">
        <w:rPr>
          <w:rFonts w:ascii="Times New Roman" w:hAnsi="Times New Roman"/>
        </w:rPr>
        <w:t xml:space="preserve">, a large dataset with millions of natural images. </w:t>
      </w:r>
      <w:r w:rsidRPr="00852292">
        <w:rPr>
          <w:rFonts w:ascii="Times New Roman" w:hAnsi="Times New Roman"/>
          <w:noProof/>
        </w:rPr>
        <w:t>In 2012 AlexNet used a five-layer deep CNN model to win the ImageNet Large Scale Visual Recognition Competition. Now, many CNN models use</w:t>
      </w:r>
      <w:r w:rsidRPr="00852292">
        <w:rPr>
          <w:rFonts w:ascii="Times New Roman" w:hAnsi="Times New Roman"/>
        </w:rPr>
        <w:t xml:space="preserve"> twenty to hundreds of layers. </w:t>
      </w:r>
      <w:r w:rsidRPr="00852292">
        <w:rPr>
          <w:rFonts w:ascii="Times New Roman" w:hAnsi="Times New Roman"/>
        </w:rPr>
        <w:fldChar w:fldCharType="begin" w:fldLock="1"/>
      </w:r>
      <w:r w:rsidRPr="00852292">
        <w:rPr>
          <w:rFonts w:ascii="Times New Roman" w:hAnsi="Times New Roman"/>
        </w:rPr>
        <w:instrText>ADDIN CSL_CITATION {"citationItems":[{"id":"ITEM-1","itemData":{"author":[{"dropping-particle":"","family":"Huang","given":"Gao","non-dropping-particle":"","parse-names":false,"suffix":""},{"dropping-particle":"","family":"Sun","given":"Yu","non-dropping-particle":"","parse-names":false,"suffix":""},{"dropping-particle":"","family":"Liu","given":"Zhuang","non-dropping-particle":"","parse-names":false,"suffix":""},{"dropping-particle":"","family":"Sedra","given":"Daniel","non-dropping-particle":"","parse-names":false,"suffix":""},{"dropping-particle":"","family":"Weinberger","given":"Kilian","non-dropping-particle":"","parse-names":false,"suffix":""}],"id":"ITEM-1","issued":{"date-parts":[["2016","3","30"]]},"title":"Deep Networks with Stochastic Depth","type":"article-journal"},"uris":["http://www.mendeley.com/documents/?uuid=a7cd053a-d51c-3e9e-9128-38c36a25f06a"]}],"mendeley":{"formattedCitation":"(Huang et al., 2016)","manualFormatting":"Huang et al. (2016)","plainTextFormattedCitation":"(Huang et al., 2016)","previouslyFormattedCitation":"(Huang et al., 2016)"},"properties":{"noteIndex":0},"schema":"https://github.com/citation-style-language/schema/raw/master/csl-citation.json"}</w:instrText>
      </w:r>
      <w:r w:rsidRPr="00852292">
        <w:rPr>
          <w:rFonts w:ascii="Times New Roman" w:hAnsi="Times New Roman"/>
        </w:rPr>
        <w:fldChar w:fldCharType="separate"/>
      </w:r>
      <w:r w:rsidRPr="00852292">
        <w:rPr>
          <w:rFonts w:ascii="Times New Roman" w:hAnsi="Times New Roman"/>
          <w:noProof/>
        </w:rPr>
        <w:t>Huang et al. (2016)</w:t>
      </w:r>
      <w:r w:rsidRPr="00852292">
        <w:rPr>
          <w:rFonts w:ascii="Times New Roman" w:hAnsi="Times New Roman"/>
        </w:rPr>
        <w:fldChar w:fldCharType="end"/>
      </w:r>
      <w:r w:rsidRPr="00852292">
        <w:rPr>
          <w:rFonts w:ascii="Times New Roman" w:hAnsi="Times New Roman"/>
        </w:rPr>
        <w:t xml:space="preserve"> proposed models with thousands of layers. Due to the vast number of operations performed in deep CNN models, it is often difficult to discuss the interpretability, or the degree to which a decision taken by a model can be interpreted. Thus, CNN interpretability itself remains a research topic (e. g. </w:t>
      </w:r>
      <w:r w:rsidRPr="00852292">
        <w:rPr>
          <w:rFonts w:ascii="Times New Roman" w:hAnsi="Times New Roman"/>
        </w:rPr>
        <w:fldChar w:fldCharType="begin" w:fldLock="1"/>
      </w:r>
      <w:r w:rsidRPr="00852292">
        <w:rPr>
          <w:rFonts w:ascii="Times New Roman" w:hAnsi="Times New Roman"/>
        </w:rPr>
        <w:instrText>ADDIN CSL_CITATION {"citationItems":[{"id":"ITEM-1","itemData":{"author":[{"dropping-particle":"","family":"Simonyan","given":"Karen","non-dropping-particle":"","parse-names":false,"suffix":""},{"dropping-particle":"","family":"Vedaldi","given":"Andrea","non-dropping-particle":"","parse-names":false,"suffix":""},{"dropping-particle":"","family":"Zisserman","given":"Andrew","non-dropping-particle":"","parse-names":false,"suffix":""}],"container-title":"CoRR","id":"ITEM-1","issued":{"date-parts":[["2013"]]},"title":"Deep Inside Convolutional Networks: Visualising Image Classification Models and Saliency Maps","type":"article-journal","volume":"abs/1312.6"},"uris":["http://www.mendeley.com/documents/?uuid=34b3aa56-ea58-4788-a2d1-24d7824a9912"]},{"id":"ITEM-2","itemData":{"DOI":"10.1109/ICIEA.2017.8283041","ISBN":"978-1-5090-6161-7","author":[{"dropping-particle":"","family":"Yin","given":"Xiangnan","non-dropping-particle":"","parse-names":false,"suffix":""},{"dropping-particle":"","family":"Chen","given":"Weihai","non-dropping-particle":"","parse-names":false,"suffix":""},{"dropping-particle":"","family":"Wu","given":"Xingming","non-dropping-particle":"","parse-names":false,"suffix":""},{"dropping-particle":"","family":"Yue","given":"Haosong","non-dropping-particle":"","parse-names":false,"suffix":""}],"container-title":"2017 12th IEEE Conference on Industrial Electronics and Applications (ICIEA)","id":"ITEM-2","issued":{"date-parts":[["2017","6"]]},"page":"1310-1315","publisher":"IEEE","title":"Fine-tuning and visualization of convolutional neural networks","type":"paper-conference"},"uris":["http://www.mendeley.com/documents/?uuid=a1ac473f-aaff-37ed-951c-4634138c633c"]},{"id":"ITEM-3","itemData":{"DOI":"10.23915/distill.00007","author":[{"dropping-particle":"","family":"Olah","given":"Chris","non-dropping-particle":"","parse-names":false,"suffix":""},{"dropping-particle":"","family":"Mordvintsev","given":"Alexander","non-dropping-particle":"","parse-names":false,"suffix":""},{"dropping-particle":"","family":"Schubert","given":"Ludwig","non-dropping-particle":"","parse-names":false,"suffix":""}],"container-title":"Distill","id":"ITEM-3","issued":{"date-parts":[["2017"]]},"note":"https://distill.pub/2017/feature-visualization","title":"Feature Visualization","type":"article-journal"},"uris":["http://www.mendeley.com/documents/?uuid=173495c0-8322-4a7f-b026-bc1185657a6a"]},{"id":"ITEM-4","itemData":{"DOI":"10.23915/distill.00010","author":[{"dropping-particle":"","family":"Olah","given":"Chris","non-dropping-particle":"","parse-names":false,"suffix":""},{"dropping-particle":"","family":"Satyanarayan","given":"Arvind","non-dropping-particle":"","parse-names":false,"suffix":""},{"dropping-particle":"","family":"Johnson","given":"Ian","non-dropping-particle":"","parse-names":false,"suffix":""},{"dropping-particle":"","family":"Carter","given":"Shan","non-dropping-particle":"","parse-names":false,"suffix":""},{"dropping-particle":"","family":"Schubert","given":"Ludwig","non-dropping-particle":"","parse-names":false,"suffix":""},{"dropping-particle":"","family":"Ye","given":"Katherine","non-dropping-particle":"","parse-names":false,"suffix":""},{"dropping-particle":"","family":"Mordvintsev","given":"Alexander","non-dropping-particle":"","parse-names":false,"suffix":""}],"container-title":"Distill","id":"ITEM-4","issued":{"date-parts":[["2018"]]},"note":"https://distill.pub/2018/building-blocks","title":"The Building Blocks of Interpretability","type":"article-journal"},"uris":["http://www.mendeley.com/documents/?uuid=9c175a0a-4c26-4ca4-b472-f29eed38a0b4"]}],"mendeley":{"formattedCitation":"(Olah et al., 2018, 2017; Simonyan et al., 2013; Yin et al., 2017)","manualFormatting":"Simonyan et al., 2013; Olah et al., 2017, 2018; Yin et al., 2017)","plainTextFormattedCitation":"(Olah et al., 2018, 2017; Simonyan et al., 2013; Yin et al., 2017)","previouslyFormattedCitation":"(Olah et al., 2018, 2017; Simonyan et al., 2013; Yin et al., 2017)"},"properties":{"noteIndex":0},"schema":"https://github.com/citation-style-language/schema/raw/master/csl-citation.json"}</w:instrText>
      </w:r>
      <w:r w:rsidRPr="00852292">
        <w:rPr>
          <w:rFonts w:ascii="Times New Roman" w:hAnsi="Times New Roman"/>
        </w:rPr>
        <w:fldChar w:fldCharType="separate"/>
      </w:r>
      <w:r w:rsidRPr="00852292">
        <w:rPr>
          <w:rFonts w:ascii="Times New Roman" w:hAnsi="Times New Roman"/>
          <w:noProof/>
        </w:rPr>
        <w:t>Simonyan et al., 2013; Olah et al., 2017, 2018; Yin et al., 2017)</w:t>
      </w:r>
      <w:r w:rsidRPr="00852292">
        <w:rPr>
          <w:rFonts w:ascii="Times New Roman" w:hAnsi="Times New Roman"/>
        </w:rPr>
        <w:fldChar w:fldCharType="end"/>
      </w:r>
      <w:r w:rsidRPr="00852292">
        <w:rPr>
          <w:rFonts w:ascii="Times New Roman" w:hAnsi="Times New Roman"/>
        </w:rPr>
        <w:t xml:space="preserve">. </w:t>
      </w:r>
    </w:p>
    <w:p w14:paraId="0A490727" w14:textId="77777777" w:rsidR="004D5986" w:rsidRPr="00852292" w:rsidRDefault="004D5986" w:rsidP="004D5986">
      <w:pPr>
        <w:ind w:firstLine="720"/>
        <w:rPr>
          <w:rFonts w:ascii="Times New Roman" w:hAnsi="Times New Roman"/>
        </w:rPr>
      </w:pPr>
      <w:r w:rsidRPr="00852292">
        <w:rPr>
          <w:rFonts w:ascii="Times New Roman" w:hAnsi="Times New Roman"/>
        </w:rPr>
        <w:t xml:space="preserve">Despite CNNs’ powerful feature extraction capabilities, </w:t>
      </w:r>
      <w:r w:rsidRPr="00852292">
        <w:rPr>
          <w:rFonts w:ascii="Times New Roman" w:hAnsi="Times New Roman"/>
        </w:rPr>
        <w:fldChar w:fldCharType="begin" w:fldLock="1"/>
      </w:r>
      <w:r w:rsidRPr="00852292">
        <w:rPr>
          <w:rFonts w:ascii="Times New Roman" w:hAnsi="Times New Roman"/>
        </w:rPr>
        <w:instrText>ADDIN CSL_CITATION {"citationItems":[{"id":"ITEM-1","itemData":{"DOI":"10.3390/rs71114680","ISSN":"2072-4292","abstract":"Learning efficient image representations is at the core of the scene classification task of remote sensing imagery. The existing methods for solving the scene classification task, based on either feature coding approaches with low-level hand-engineered features or unsupervised feature learning, can only generate mid-level image features with limited representative ability, which essentially prevents them from achieving better performance. Recently, the deep convolutional neural networks (CNNs), which are hierarchical architectures trained on large-scale datasets, have shown astounding performance in object recognition and detection. However, it is still not clear how to use these deep convolutional neural networks for high-resolution remote sensing (HRRS) scene classification. In this paper, we investigate how to transfer features from these successfully pre-trained CNNs for HRRS scene classification. We propose two scenarios for generating image features via extracting CNN features from different layers. In the first scenario, the activation vectors extracted from fully-connected layers are regarded as the final image features; in the second scenario, we extract dense features from the last convolutional layer at multiple scales and then encode the dense features into global image features through commonly used feature coding approaches. Extensive experiments on two public scene classification datasets demonstrate that the image features obtained by the two proposed scenarios, even with a simple linear classifier, can result in remarkable performance and improve the state-of-the-art by a significant margin. The results reveal that the features from pre-trained CNNs generalize well to HRRS datasets and are more expressive than the low- and mid-level features. Moreover, we tentatively combine features extracted from different CNN models for better performance.","author":[{"dropping-particle":"","family":"Hu","given":"Fan","non-dropping-particle":"","parse-names":false,"suffix":""},{"dropping-particle":"","family":"Xia","given":"Gui-Song","non-dropping-particle":"","parse-names":false,"suffix":""},{"dropping-particle":"","family":"Hu","given":"Jingwen","non-dropping-particle":"","parse-names":false,"suffix":""},{"dropping-particle":"","family":"Zhang","given":"Liangpei","non-dropping-particle":"","parse-names":false,"suffix":""}],"container-title":"Remote Sensing","id":"ITEM-1","issue":"11","issued":{"date-parts":[["2015","11","5"]]},"page":"14680-14707","publisher":"Multidisciplinary Digital Publishing Institute","title":"Transferring Deep Convolutional Neural Networks for the Scene Classification of High-Resolution Remote Sensing Imagery","type":"article-journal","volume":"7"},"uris":["http://www.mendeley.com/documents/?uuid=eb6512f6-1586-37cd-aede-16b507b0486c"]}],"mendeley":{"formattedCitation":"(Hu et al., 2015)","manualFormatting":"Hu et al. (2015)","plainTextFormattedCitation":"(Hu et al., 2015)","previouslyFormattedCitation":"(Hu et al., 2015)"},"properties":{"noteIndex":0},"schema":"https://github.com/citation-style-language/schema/raw/master/csl-citation.json"}</w:instrText>
      </w:r>
      <w:r w:rsidRPr="00852292">
        <w:rPr>
          <w:rFonts w:ascii="Times New Roman" w:hAnsi="Times New Roman"/>
        </w:rPr>
        <w:fldChar w:fldCharType="separate"/>
      </w:r>
      <w:r w:rsidRPr="00852292">
        <w:rPr>
          <w:rFonts w:ascii="Times New Roman" w:hAnsi="Times New Roman"/>
          <w:noProof/>
        </w:rPr>
        <w:t>Hu et al. (2015)</w:t>
      </w:r>
      <w:r w:rsidRPr="00852292">
        <w:rPr>
          <w:rFonts w:ascii="Times New Roman" w:hAnsi="Times New Roman"/>
        </w:rPr>
        <w:fldChar w:fldCharType="end"/>
      </w:r>
      <w:r w:rsidRPr="00852292">
        <w:rPr>
          <w:rFonts w:ascii="Times New Roman" w:hAnsi="Times New Roman"/>
        </w:rPr>
        <w:t xml:space="preserve"> and others found that in practice it is difficult to train CNNs with small datasets. However, Yosinski et al. (2014) and Yin et al. (2017) observed that the parameters learned by the layers in many CNN models trained on images exhibit a very common behavior. The layers closer to the input data tend to learn general features, resulting in convolutional operators akin to edge detection filters, smoothing, or color filters. Then there is a transition to features more specific to the dataset on which the model is trained. These general-specific CNN layer feature transition lead to the development of transfer learning (Caruana, 1995; Bengio, 2012; Yosinski et al., 2014). In transfer learning, the filters learned by a CNN model on a primary task are applied to an unrelated secondary task. The primary CNN model can be used a as feature extractor, or as a starting point for a secondary CNN model. </w:t>
      </w:r>
    </w:p>
    <w:p w14:paraId="2EA41D3D" w14:textId="77777777" w:rsidR="004D5986" w:rsidRPr="00852292" w:rsidRDefault="004D5986" w:rsidP="004D5986">
      <w:pPr>
        <w:ind w:firstLine="720"/>
        <w:rPr>
          <w:rFonts w:ascii="Times New Roman" w:eastAsia="Calibri" w:hAnsi="Times New Roman"/>
        </w:rPr>
      </w:pPr>
      <w:r w:rsidRPr="00852292">
        <w:rPr>
          <w:rFonts w:ascii="Times New Roman" w:eastAsia="Calibri" w:hAnsi="Times New Roman"/>
        </w:rPr>
        <w:t xml:space="preserve">Even though large datasets help the performance of CNN models, the use of transfer learning facilitated the application of CNN techniques to other scientific fields that have less </w:t>
      </w:r>
      <w:r w:rsidRPr="00852292">
        <w:rPr>
          <w:rFonts w:ascii="Times New Roman" w:eastAsia="Calibri" w:hAnsi="Times New Roman"/>
        </w:rPr>
        <w:lastRenderedPageBreak/>
        <w:t xml:space="preserve">available data. For example, </w:t>
      </w:r>
      <w:r w:rsidRPr="00852292">
        <w:rPr>
          <w:rFonts w:ascii="Times New Roman" w:eastAsia="Calibri" w:hAnsi="Times New Roman"/>
        </w:rPr>
        <w:fldChar w:fldCharType="begin" w:fldLock="1"/>
      </w:r>
      <w:r w:rsidRPr="00852292">
        <w:rPr>
          <w:rFonts w:ascii="Times New Roman" w:eastAsia="Calibri" w:hAnsi="Times New Roman"/>
        </w:rPr>
        <w:instrText>ADDIN CSL_CITATION {"citationItems":[{"id":"ITEM-1","itemData":{"DOI":"10.1186/s12862-017-1014-z","ISSN":"1471-2148","abstract":"Hundreds of herbarium collections have accumulated a valuable heritage and knowledge of plants over several centuries. Recent initiatives started ambitious preservation plans to digitize this information and make it available to botanists and the general public through web portals. However, thousands of sheets are still unidentified at the species level while numerous sheets should be reviewed and updated following more recent taxonomic knowledge. These annotations and revisions require an unrealistic amount of work for botanists to carry out in a reasonable time. Computer vision and machine learning approaches applied to herbarium sheets are promising but are still not well studied compared to automated species identification from leaf scans or pictures of plants in the field. In this work, we propose to study and evaluate the accuracy with which herbarium images can be potentially exploited for species identification with deep learning technology. In addition, we propose to study if the combination of herbarium sheets with photos of plants in the field is relevant in terms of accuracy, and finally, we explore if herbarium images from one region that has one specific flora can be used to do transfer learning to another region with other species; for example, on a region under-represented in terms of collected data. This is, to our knowledge, the first study that uses deep learning to analyze a big dataset with thousands of species from herbaria. Results show the potential of Deep Learning on herbarium species identification, particularly by training and testing across different datasets from different herbaria. This could potentially lead to the creation of a semi, or even fully automated system to help taxonomists and experts with their annotation, classification, and revision works.","author":[{"dropping-particle":"","family":"Carranza-Rojas","given":"Jose","non-dropping-particle":"","parse-names":false,"suffix":""},{"dropping-particle":"","family":"Goeau","given":"Herve","non-dropping-particle":"","parse-names":false,"suffix":""},{"dropping-particle":"","family":"Bonnet","given":"Pierre","non-dropping-particle":"","parse-names":false,"suffix":""},{"dropping-particle":"","family":"Mata-Montero","given":"Erick","non-dropping-particle":"","parse-names":false,"suffix":""},{"dropping-particle":"","family":"Joly","given":"Alexis","non-dropping-particle":"","parse-names":false,"suffix":""}],"container-title":"BMC Evolutionary Biology","id":"ITEM-1","issue":"1","issued":{"date-parts":[["2017","12","11"]]},"page":"181","publisher":"BioMed Central","title":"Going deeper in the automated identification of Herbarium specimens","type":"article-journal","volume":"17"},"uris":["http://www.mendeley.com/documents/?uuid=cb983aa2-86e4-31b4-93fd-970edddbfe2e"]}],"mendeley":{"formattedCitation":"(Carranza-Rojas et al., 2017)","manualFormatting":"Carranza-Rojas et al. (2017)","plainTextFormattedCitation":"(Carranza-Rojas et al., 2017)","previouslyFormattedCitation":"(Carranza-Rojas et al., 2017)"},"properties":{"noteIndex":0},"schema":"https://github.com/citation-style-language/schema/raw/master/csl-citation.json"}</w:instrText>
      </w:r>
      <w:r w:rsidRPr="00852292">
        <w:rPr>
          <w:rFonts w:ascii="Times New Roman" w:eastAsia="Calibri" w:hAnsi="Times New Roman"/>
        </w:rPr>
        <w:fldChar w:fldCharType="separate"/>
      </w:r>
      <w:r w:rsidRPr="00852292">
        <w:rPr>
          <w:rFonts w:ascii="Times New Roman" w:eastAsia="Calibri" w:hAnsi="Times New Roman"/>
          <w:noProof/>
        </w:rPr>
        <w:t>Carranza-Rojas et al. (2017)</w:t>
      </w:r>
      <w:r w:rsidRPr="00852292">
        <w:rPr>
          <w:rFonts w:ascii="Times New Roman" w:eastAsia="Calibri" w:hAnsi="Times New Roman"/>
        </w:rPr>
        <w:fldChar w:fldCharType="end"/>
      </w:r>
      <w:r w:rsidRPr="00852292">
        <w:rPr>
          <w:rFonts w:ascii="Times New Roman" w:eastAsia="Calibri" w:hAnsi="Times New Roman"/>
        </w:rPr>
        <w:t xml:space="preserve"> used transfer learning for herbarium specimens classification, </w:t>
      </w:r>
      <w:r w:rsidRPr="00852292">
        <w:rPr>
          <w:rFonts w:ascii="Times New Roman" w:eastAsia="Calibri" w:hAnsi="Times New Roman"/>
        </w:rPr>
        <w:fldChar w:fldCharType="begin" w:fldLock="1"/>
      </w:r>
      <w:r w:rsidRPr="00852292">
        <w:rPr>
          <w:rFonts w:ascii="Times New Roman" w:eastAsia="Calibri" w:hAnsi="Times New Roman"/>
        </w:rPr>
        <w:instrText>ADDIN CSL_CITATION {"citationItems":[{"id":"ITEM-1","itemData":{"DOI":"10.1038/nature21056","ISSN":"0028-0836","abstract":"An artificial intelligence trained to classify images of skin lesions as benign lesions or malignant skin cancers achieves the accuracy of board-certified dermatologists.","author":[{"dropping-particle":"","family":"Esteva","given":"Andre","non-dropping-particle":"","parse-names":false,"suffix":""},{"dropping-particle":"","family":"Kuprel","given":"Brett","non-dropping-particle":"","parse-names":false,"suffix":""},{"dropping-particle":"","family":"Novoa","given":"Roberto A.","non-dropping-particle":"","parse-names":false,"suffix":""},{"dropping-particle":"","family":"Ko","given":"Justin","non-dropping-particle":"","parse-names":false,"suffix":""},{"dropping-particle":"","family":"Swetter","given":"Susan M.","non-dropping-particle":"","parse-names":false,"suffix":""},{"dropping-particle":"","family":"Blau","given":"Helen M.","non-dropping-particle":"","parse-names":false,"suffix":""},{"dropping-particle":"","family":"Thrun","given":"Sebastian","non-dropping-particle":"","parse-names":false,"suffix":""}],"container-title":"Nature","id":"ITEM-1","issue":"7639","issued":{"date-parts":[["2017","2","25"]]},"page":"115-118","publisher":"Nature Publishing Group","title":"Dermatologist-level classification of skin cancer with deep neural networks","type":"article-journal","volume":"542"},"uris":["http://www.mendeley.com/documents/?uuid=a4209ae8-b4b6-3e70-aa81-a3ee3381d82a"]}],"mendeley":{"formattedCitation":"(Esteva et al., 2017)","manualFormatting":"Esteva et al. (2017)","plainTextFormattedCitation":"(Esteva et al., 2017)","previouslyFormattedCitation":"(Esteva et al., 2017)"},"properties":{"noteIndex":0},"schema":"https://github.com/citation-style-language/schema/raw/master/csl-citation.json"}</w:instrText>
      </w:r>
      <w:r w:rsidRPr="00852292">
        <w:rPr>
          <w:rFonts w:ascii="Times New Roman" w:eastAsia="Calibri" w:hAnsi="Times New Roman"/>
        </w:rPr>
        <w:fldChar w:fldCharType="separate"/>
      </w:r>
      <w:r w:rsidRPr="00852292">
        <w:rPr>
          <w:rFonts w:ascii="Times New Roman" w:eastAsia="Calibri" w:hAnsi="Times New Roman"/>
          <w:noProof/>
        </w:rPr>
        <w:t>Esteva et al. (2017)</w:t>
      </w:r>
      <w:r w:rsidRPr="00852292">
        <w:rPr>
          <w:rFonts w:ascii="Times New Roman" w:eastAsia="Calibri" w:hAnsi="Times New Roman"/>
        </w:rPr>
        <w:fldChar w:fldCharType="end"/>
      </w:r>
      <w:r w:rsidRPr="00852292">
        <w:rPr>
          <w:rFonts w:ascii="Times New Roman" w:eastAsia="Calibri" w:hAnsi="Times New Roman"/>
        </w:rPr>
        <w:t xml:space="preserve"> for dermatologist-level classification of skin cancer classification, </w:t>
      </w:r>
      <w:r w:rsidRPr="00852292">
        <w:rPr>
          <w:rFonts w:ascii="Times New Roman" w:eastAsia="Calibri" w:hAnsi="Times New Roman"/>
        </w:rPr>
        <w:fldChar w:fldCharType="begin" w:fldLock="1"/>
      </w:r>
      <w:r w:rsidRPr="00852292">
        <w:rPr>
          <w:rFonts w:ascii="Times New Roman" w:eastAsia="Calibri" w:hAnsi="Times New Roman"/>
        </w:rPr>
        <w:instrText>ADDIN CSL_CITATION {"citationItems":[{"id":"ITEM-1","itemData":{"DOI":"10.1190/INT-2018-0245.1","ISSN":"2324-8858","abstract":"&lt;p&gt;Artificial intelligence methods have a very wide range of applications. From speech recognition to self-driving cars, the development of modern deep-learning architectures is helping researchers to achieve new levels of accuracy in different fields. Although deep convolutional neural networks (CNNs) (a kind of deep-learning technique) have reached or surpassed human-level performance in image recognition tasks, little has been done to transport this new image classification technology to geoscientific problems. We have developed what we believe to be the first use of CNNs to identify lithofacies in cores. We use highly accurate models (trained with millions of images) and transfer learning to classify images of cored carbonate rocks. We found that different modern CNN architectures can achieve high levels of lithologic image classification accuracy (approximately 90%) and can aid in the core description task. This core image classification technique has the potential to greatly standardize and accelerate the description process. We also provide the community with a new set of labeled data that can be used for further geologic/data science studies.&lt;/p&gt;","author":[{"dropping-particle":"","family":"Pires de Lima","given":"Rafael","non-dropping-particle":"","parse-names":false,"suffix":""},{"dropping-particle":"","family":"Suriamin","given":"Fnu","non-dropping-particle":"","parse-names":false,"suffix":""},{"dropping-particle":"","family":"Marfurt","given":"Kurt J.","non-dropping-particle":"","parse-names":false,"suffix":""},{"dropping-particle":"","family":"Pranter","given":"Matthew J.","non-dropping-particle":"","parse-names":false,"suffix":""}],"container-title":"Interpretation","id":"ITEM-1","issue":"3","issued":{"date-parts":[["2019","8","28"]]},"page":"SF27-SF40","publisher":"Society of Exploration Geophysicists and American Association of Petroleum Geologists","title":"Convolutional neural networks as aid in core lithofacies classification","type":"article-journal","volume":"7"},"uris":["http://www.mendeley.com/documents/?uuid=ff82e865-06c1-32d7-8c5d-d4956aedfd69"]}],"mendeley":{"formattedCitation":"(Pires de Lima et al., 2019d)","manualFormatting":"Pires de Lima et al. (2019d)","plainTextFormattedCitation":"(Pires de Lima et al., 2019d)","previouslyFormattedCitation":"(Pires de Lima et al., 2019d)"},"properties":{"noteIndex":0},"schema":"https://github.com/citation-style-language/schema/raw/master/csl-citation.json"}</w:instrText>
      </w:r>
      <w:r w:rsidRPr="00852292">
        <w:rPr>
          <w:rFonts w:ascii="Times New Roman" w:eastAsia="Calibri" w:hAnsi="Times New Roman"/>
        </w:rPr>
        <w:fldChar w:fldCharType="separate"/>
      </w:r>
      <w:r w:rsidRPr="00852292">
        <w:rPr>
          <w:rFonts w:ascii="Times New Roman" w:eastAsia="Calibri" w:hAnsi="Times New Roman"/>
          <w:noProof/>
        </w:rPr>
        <w:t>Pires de Lima et al. (2019d)</w:t>
      </w:r>
      <w:r w:rsidRPr="00852292">
        <w:rPr>
          <w:rFonts w:ascii="Times New Roman" w:eastAsia="Calibri" w:hAnsi="Times New Roman"/>
        </w:rPr>
        <w:fldChar w:fldCharType="end"/>
      </w:r>
      <w:r w:rsidRPr="00852292">
        <w:rPr>
          <w:rFonts w:ascii="Times New Roman" w:eastAsia="Calibri" w:hAnsi="Times New Roman"/>
          <w:noProof/>
        </w:rPr>
        <w:t xml:space="preserve"> </w:t>
      </w:r>
      <w:r w:rsidRPr="00852292">
        <w:rPr>
          <w:rFonts w:ascii="Times New Roman" w:eastAsia="Calibri" w:hAnsi="Times New Roman"/>
        </w:rPr>
        <w:t xml:space="preserve">for oil field drill core images, </w:t>
      </w:r>
      <w:r w:rsidRPr="00852292">
        <w:rPr>
          <w:rFonts w:ascii="Times New Roman" w:eastAsia="Calibri" w:hAnsi="Times New Roman"/>
        </w:rPr>
        <w:fldChar w:fldCharType="begin" w:fldLock="1"/>
      </w:r>
      <w:r w:rsidRPr="00852292">
        <w:rPr>
          <w:rFonts w:ascii="Times New Roman" w:eastAsia="Calibri" w:hAnsi="Times New Roman"/>
        </w:rPr>
        <w:instrText>ADDIN CSL_CITATION {"citationItems":[{"id":"ITEM-1","itemData":{"DOI":"10.1190/segam2019-3216898.1","author":[{"dropping-particle":"","family":"Duarte-Coronado","given":"David","non-dropping-particle":"","parse-names":false,"suffix":""},{"dropping-particle":"","family":"Tellez-Rodriguez","given":"Jerson","non-dropping-particle":"","parse-names":false,"suffix":""},{"dropping-particle":"","family":"Pires de Lima","given":"Rafael","non-dropping-particle":"","parse-names":false,"suffix":""},{"dropping-particle":"","family":"Marfurt","given":"Kurt","non-dropping-particle":"","parse-names":false,"suffix":""},{"dropping-particle":"","family":"Slatt","given":"Roger","non-dropping-particle":"","parse-names":false,"suffix":""}],"container-title":"SEG Technical Program Expanded Abstracts 2019","id":"ITEM-1","issued":{"date-parts":[["2019","8"]]},"page":"3181-3184","publisher":"Society of Exploration Geophysicists","title":"Deep convolutional neural networks as an estimator of porosity in thin-section images for unconventional reservoirs","type":"paper-conference"},"uris":["http://www.mendeley.com/documents/?uuid=0f4d1b50-c57f-3623-a44a-7106dc3c4598"]}],"mendeley":{"formattedCitation":"(Duarte-Coronado et al., 2019)","manualFormatting":"Duarte-Coronado et al. (2019)","plainTextFormattedCitation":"(Duarte-Coronado et al., 2019)","previouslyFormattedCitation":"(Duarte-Coronado et al., 2019)"},"properties":{"noteIndex":0},"schema":"https://github.com/citation-style-language/schema/raw/master/csl-citation.json"}</w:instrText>
      </w:r>
      <w:r w:rsidRPr="00852292">
        <w:rPr>
          <w:rFonts w:ascii="Times New Roman" w:eastAsia="Calibri" w:hAnsi="Times New Roman"/>
        </w:rPr>
        <w:fldChar w:fldCharType="separate"/>
      </w:r>
      <w:r w:rsidRPr="00852292">
        <w:rPr>
          <w:rFonts w:ascii="Times New Roman" w:eastAsia="Calibri" w:hAnsi="Times New Roman"/>
          <w:noProof/>
        </w:rPr>
        <w:t>Duarte-Coronado et al. (2019)</w:t>
      </w:r>
      <w:r w:rsidRPr="00852292">
        <w:rPr>
          <w:rFonts w:ascii="Times New Roman" w:eastAsia="Calibri" w:hAnsi="Times New Roman"/>
        </w:rPr>
        <w:fldChar w:fldCharType="end"/>
      </w:r>
      <w:r w:rsidRPr="00852292">
        <w:rPr>
          <w:rFonts w:ascii="Times New Roman" w:eastAsia="Calibri" w:hAnsi="Times New Roman"/>
        </w:rPr>
        <w:t xml:space="preserve"> for the estimation of porosity in thin section images, </w:t>
      </w:r>
      <w:r w:rsidRPr="00852292">
        <w:rPr>
          <w:rFonts w:ascii="Times New Roman" w:eastAsia="Calibri" w:hAnsi="Times New Roman"/>
        </w:rPr>
        <w:fldChar w:fldCharType="begin" w:fldLock="1"/>
      </w:r>
      <w:r w:rsidRPr="00852292">
        <w:rPr>
          <w:rFonts w:ascii="Times New Roman" w:eastAsia="Calibri" w:hAnsi="Times New Roman"/>
        </w:rPr>
        <w:instrText>ADDIN CSL_CITATION {"citationItems":[{"id":"ITEM-1","itemData":{"DOI":"10.3997/2214-4609.201901607","ISSN":"2214-4609","abstract":"Deep learning and deep convolutional neural network (CNN) models have shown promising results and are gaining popularity in the geoscientific community. In contrast to traditional machine learning methodologies based on a suite of carefully selected attributes, deep learning is based on the raw images themselves. Deep CNNs are currently the tools of choice for computer vision tasks such as self-driving cars. Unfortunately, deep learning is encumbered by jargon that is unfamiliar to most geoscientists, providing black box applications resulting in two common reactions: deep learning models are the solution for everything or deep learning models are a modern fad that discards the interpreter’s insight or experience with a given problem. In this presentation, we show that CNN models are based on attributes similar to those we use in seismic interpretation and remote sensing. We also show that through a process called transfer learning based on the analysis of 2D colour images, we can exploit much of the previous work developed for image recognition applications to rocks. We illustrate the successful use of transfer learning to microfossil classification, core description, petrographic analysis, and hand specimen identification. We also discuss some of the challenges in CNN analysis of 3D seismic data volumes.","author":[{"dropping-particle":"","family":"Pires de Lima","given":"Rafael","non-dropping-particle":"","parse-names":false,"suffix":""},{"dropping-particle":"","family":"Marfurt","given":"Kurt","non-dropping-particle":"","parse-names":false,"suffix":""},{"dropping-particle":"","family":"Duarte","given":"David","non-dropping-particle":"","parse-names":false,"suffix":""},{"dropping-particle":"","family":"Bonar","given":"Alicia","non-dropping-particle":"","parse-names":false,"suffix":""}],"container-title":"81st EAGE Conference and Exhibition 2019","id":"ITEM-1","issued":{"date-parts":[["2019","6","3"]]},"publisher":"EAGE","title":"Progress and Challenges in Deep Learning Analysis of Geoscience Images","type":"paper-conference"},"uris":["http://www.mendeley.com/documents/?uuid=724f3e71-7a52-3626-b08c-c13d9e8e7bfb"]}],"mendeley":{"formattedCitation":"(Pires de Lima et al., 2019c)","manualFormatting":"Pires de Lima et al. (2019c)","plainTextFormattedCitation":"(Pires de Lima et al., 2019c)","previouslyFormattedCitation":"(Pires de Lima et al., 2019c)"},"properties":{"noteIndex":0},"schema":"https://github.com/citation-style-language/schema/raw/master/csl-citation.json"}</w:instrText>
      </w:r>
      <w:r w:rsidRPr="00852292">
        <w:rPr>
          <w:rFonts w:ascii="Times New Roman" w:eastAsia="Calibri" w:hAnsi="Times New Roman"/>
        </w:rPr>
        <w:fldChar w:fldCharType="separate"/>
      </w:r>
      <w:r w:rsidRPr="00852292">
        <w:rPr>
          <w:rFonts w:ascii="Times New Roman" w:eastAsia="Calibri" w:hAnsi="Times New Roman"/>
          <w:noProof/>
        </w:rPr>
        <w:t>Pires de Lima et al. (2019c)</w:t>
      </w:r>
      <w:r w:rsidRPr="00852292">
        <w:rPr>
          <w:rFonts w:ascii="Times New Roman" w:eastAsia="Calibri" w:hAnsi="Times New Roman"/>
        </w:rPr>
        <w:fldChar w:fldCharType="end"/>
      </w:r>
      <w:r w:rsidRPr="00852292">
        <w:rPr>
          <w:rFonts w:ascii="Times New Roman" w:eastAsia="Calibri" w:hAnsi="Times New Roman"/>
          <w:noProof/>
        </w:rPr>
        <w:t xml:space="preserve"> </w:t>
      </w:r>
      <w:r w:rsidRPr="00852292">
        <w:rPr>
          <w:rFonts w:ascii="Times New Roman" w:eastAsia="Calibri" w:hAnsi="Times New Roman"/>
        </w:rPr>
        <w:t xml:space="preserve">and </w:t>
      </w:r>
      <w:r w:rsidRPr="00852292">
        <w:rPr>
          <w:rFonts w:ascii="Times New Roman" w:eastAsia="Calibri" w:hAnsi="Times New Roman"/>
        </w:rPr>
        <w:fldChar w:fldCharType="begin" w:fldLock="1"/>
      </w:r>
      <w:r w:rsidRPr="00852292">
        <w:rPr>
          <w:rFonts w:ascii="Times New Roman" w:eastAsia="Calibri" w:hAnsi="Times New Roman"/>
        </w:rPr>
        <w:instrText>ADDIN CSL_CITATION {"citationItems":[{"id":"ITEM-1","itemData":{"DOI":"10.210/sedred.2019.2","author":[{"dropping-particle":"","family":"Pires de Lima","given":"Rafael","non-dropping-particle":"","parse-names":false,"suffix":""},{"dropping-particle":"","family":"Bonar","given":"Alicia","non-dropping-particle":"","parse-names":false,"suffix":""},{"dropping-particle":"","family":"Coronado","given":"David Duarte","non-dropping-particle":"","parse-names":false,"suffix":""},{"dropping-particle":"","family":"Marfurt","given":"Kurt","non-dropping-particle":"","parse-names":false,"suffix":""},{"dropping-particle":"","family":"Nicholson","given":"Charles","non-dropping-particle":"","parse-names":false,"suffix":""}],"container-title":"The Sedimentary Record","id":"ITEM-1","issue":"2","issued":{"date-parts":[["2019"]]},"page":"4-9","title":"Deep convolutional neural networks as a geological image classification tool","type":"article-journal","volume":"17"},"uris":["http://www.mendeley.com/documents/?uuid=3a7d999b-e892-4f63-92ee-8560f96f8631"]}],"mendeley":{"formattedCitation":"(Pires de Lima et al., 2019a)","plainTextFormattedCitation":"(Pires de Lima et al., 2019a)","previouslyFormattedCitation":"(Pires de Lima et al., 2019a)"},"properties":{"noteIndex":0},"schema":"https://github.com/citation-style-language/schema/raw/master/csl-citation.json"}</w:instrText>
      </w:r>
      <w:r w:rsidRPr="00852292">
        <w:rPr>
          <w:rFonts w:ascii="Times New Roman" w:eastAsia="Calibri" w:hAnsi="Times New Roman"/>
        </w:rPr>
        <w:fldChar w:fldCharType="separate"/>
      </w:r>
      <w:r w:rsidRPr="00852292">
        <w:rPr>
          <w:rFonts w:ascii="Times New Roman" w:eastAsia="Calibri" w:hAnsi="Times New Roman"/>
          <w:noProof/>
        </w:rPr>
        <w:t>Pires de Lima et al. (2019a)</w:t>
      </w:r>
      <w:r w:rsidRPr="00852292">
        <w:rPr>
          <w:rFonts w:ascii="Times New Roman" w:eastAsia="Calibri" w:hAnsi="Times New Roman"/>
        </w:rPr>
        <w:fldChar w:fldCharType="end"/>
      </w:r>
      <w:r w:rsidRPr="00852292">
        <w:rPr>
          <w:rFonts w:ascii="Times New Roman" w:eastAsia="Calibri" w:hAnsi="Times New Roman"/>
          <w:noProof/>
        </w:rPr>
        <w:t xml:space="preserve"> </w:t>
      </w:r>
      <w:r w:rsidRPr="00852292">
        <w:rPr>
          <w:rFonts w:ascii="Times New Roman" w:eastAsia="Calibri" w:hAnsi="Times New Roman"/>
        </w:rPr>
        <w:t xml:space="preserve">for the classification of a variety of geoscience images. Transfer learning is also widely used in the remote sensing field. For example, </w:t>
      </w:r>
      <w:r w:rsidRPr="00852292">
        <w:rPr>
          <w:rFonts w:ascii="Times New Roman" w:hAnsi="Times New Roman"/>
        </w:rPr>
        <w:fldChar w:fldCharType="begin" w:fldLock="1"/>
      </w:r>
      <w:r w:rsidRPr="00852292">
        <w:rPr>
          <w:rFonts w:ascii="Times New Roman" w:hAnsi="Times New Roman"/>
        </w:rPr>
        <w:instrText>ADDIN CSL_CITATION {"citationItems":[{"id":"ITEM-1","itemData":{"DOI":"10.3390/rs71114680","ISSN":"2072-4292","abstract":"Learning efficient image representations is at the core of the scene classification task of remote sensing imagery. The existing methods for solving the scene classification task, based on either feature coding approaches with low-level hand-engineered features or unsupervised feature learning, can only generate mid-level image features with limited representative ability, which essentially prevents them from achieving better performance. Recently, the deep convolutional neural networks (CNNs), which are hierarchical architectures trained on large-scale datasets, have shown astounding performance in object recognition and detection. However, it is still not clear how to use these deep convolutional neural networks for high-resolution remote sensing (HRRS) scene classification. In this paper, we investigate how to transfer features from these successfully pre-trained CNNs for HRRS scene classification. We propose two scenarios for generating image features via extracting CNN features from different layers. In the first scenario, the activation vectors extracted from fully-connected layers are regarded as the final image features; in the second scenario, we extract dense features from the last convolutional layer at multiple scales and then encode the dense features into global image features through commonly used feature coding approaches. Extensive experiments on two public scene classification datasets demonstrate that the image features obtained by the two proposed scenarios, even with a simple linear classifier, can result in remarkable performance and improve the state-of-the-art by a significant margin. The results reveal that the features from pre-trained CNNs generalize well to HRRS datasets and are more expressive than the low- and mid-level features. Moreover, we tentatively combine features extracted from different CNN models for better performance.","author":[{"dropping-particle":"","family":"Hu","given":"Fan","non-dropping-particle":"","parse-names":false,"suffix":""},{"dropping-particle":"","family":"Xia","given":"Gui-Song","non-dropping-particle":"","parse-names":false,"suffix":""},{"dropping-particle":"","family":"Hu","given":"Jingwen","non-dropping-particle":"","parse-names":false,"suffix":""},{"dropping-particle":"","family":"Zhang","given":"Liangpei","non-dropping-particle":"","parse-names":false,"suffix":""}],"container-title":"Remote Sensing","id":"ITEM-1","issue":"11","issued":{"date-parts":[["2015","11","5"]]},"page":"14680-14707","publisher":"Multidisciplinary Digital Publishing Institute","title":"Transferring Deep Convolutional Neural Networks for the Scene Classification of High-Resolution Remote Sensing Imagery","type":"article-journal","volume":"7"},"uris":["http://www.mendeley.com/documents/?uuid=eb6512f6-1586-37cd-aede-16b507b0486c"]}],"mendeley":{"formattedCitation":"(Hu et al., 2015)","manualFormatting":"Hu et al. (2015)","plainTextFormattedCitation":"(Hu et al., 2015)","previouslyFormattedCitation":"(Hu et al., 2015)"},"properties":{"noteIndex":0},"schema":"https://github.com/citation-style-language/schema/raw/master/csl-citation.json"}</w:instrText>
      </w:r>
      <w:r w:rsidRPr="00852292">
        <w:rPr>
          <w:rFonts w:ascii="Times New Roman" w:hAnsi="Times New Roman"/>
        </w:rPr>
        <w:fldChar w:fldCharType="separate"/>
      </w:r>
      <w:r w:rsidRPr="00852292">
        <w:rPr>
          <w:rFonts w:ascii="Times New Roman" w:hAnsi="Times New Roman"/>
          <w:noProof/>
        </w:rPr>
        <w:t>Hu et al. (2015)</w:t>
      </w:r>
      <w:r w:rsidRPr="00852292">
        <w:rPr>
          <w:rFonts w:ascii="Times New Roman" w:hAnsi="Times New Roman"/>
        </w:rPr>
        <w:fldChar w:fldCharType="end"/>
      </w:r>
      <w:r w:rsidRPr="00852292">
        <w:rPr>
          <w:rFonts w:ascii="Times New Roman" w:hAnsi="Times New Roman"/>
        </w:rPr>
        <w:t xml:space="preserve"> performed an analysis of the use of transfer learning from pretrained CNN models to perform remote sensing scene classification. </w:t>
      </w:r>
      <w:r w:rsidRPr="00852292">
        <w:rPr>
          <w:rFonts w:ascii="Times New Roman" w:eastAsia="Calibri" w:hAnsi="Times New Roman"/>
        </w:rPr>
        <w:fldChar w:fldCharType="begin" w:fldLock="1"/>
      </w:r>
      <w:r w:rsidRPr="00852292">
        <w:rPr>
          <w:rFonts w:ascii="Times New Roman" w:eastAsia="Calibri" w:hAnsi="Times New Roman"/>
        </w:rPr>
        <w:instrText>ADDIN CSL_CITATION {"citationItems":[{"id":"ITEM-1","itemData":{"DOI":"10.3390/rs10010139","ISSN":"2072-4292","abstract":"Airplane detection in remote sensing images remains a challenging problem due to the complexity of backgrounds. In recent years, with the development of deep learning, object detection has also obtained great breakthroughs. For object detection tasks in natural images, such as the PASCAL (Pattern Analysis, Statistical Modelling and Computational Learning) VOC (Visual Object Classes) Challenge, the major trend of current development is to use a large amount of labeled classification data to pre-train the deep neural network as a base network, and then use a small amount of annotated detection data to fine-tune the network for detection. In this paper, we use object detection technology based on deep learning for airplane detection in remote sensing images. In addition to using some characteristics of remote sensing images, some new data augmentation techniques have been proposed. We also use transfer learning and adopt a single deep convolutional neural network and limited training samples to implement end-to-end trainable airplane detection. Classification and positioning are no longer divided into multistage tasks; end-to-end detection attempts to combine them for optimization, which ensures an optimal solution for the final stage. In our experiment, we use remote sensing images of airports collected from Google Earth. The experimental results show that the proposed algorithm is highly accurate and meaningful for remote sensing object detection.","author":[{"dropping-particle":"","family":"Chen","given":"Zhong","non-dropping-particle":"","parse-names":false,"suffix":""},{"dropping-particle":"","family":"Zhang","given":"Ting","non-dropping-particle":"","parse-names":false,"suffix":""},{"dropping-particle":"","family":"Ouyang","given":"Chao","non-dropping-particle":"","parse-names":false,"suffix":""},{"dropping-particle":"","family":"Chen","given":"Zhong","non-dropping-particle":"","parse-names":false,"suffix":""},{"dropping-particle":"","family":"Zhang","given":"Ting","non-dropping-particle":"","parse-names":false,"suffix":""},{"dropping-particle":"","family":"Ouyang","given":"Chao","non-dropping-particle":"","parse-names":false,"suffix":""}],"container-title":"Remote Sensing","id":"ITEM-1","issue":"1","issued":{"date-parts":[["2018","1","18"]]},"page":"139","publisher":"Multidisciplinary Digital Publishing Institute","title":"End-to-End Airplane Detection Using Transfer Learning in Remote Sensing Images","type":"article-journal","volume":"10"},"uris":["http://www.mendeley.com/documents/?uuid=d25d7f9d-c8b9-3d6b-8bdf-bc2eba20e221"]}],"mendeley":{"formattedCitation":"(Chen et al., 2018)","manualFormatting":"Chen et al. (2018)","plainTextFormattedCitation":"(Chen et al., 2018)","previouslyFormattedCitation":"(Chen et al., 2018)"},"properties":{"noteIndex":0},"schema":"https://github.com/citation-style-language/schema/raw/master/csl-citation.json"}</w:instrText>
      </w:r>
      <w:r w:rsidRPr="00852292">
        <w:rPr>
          <w:rFonts w:ascii="Times New Roman" w:eastAsia="Calibri" w:hAnsi="Times New Roman"/>
        </w:rPr>
        <w:fldChar w:fldCharType="separate"/>
      </w:r>
      <w:r w:rsidRPr="00852292">
        <w:rPr>
          <w:rFonts w:ascii="Times New Roman" w:eastAsia="Calibri" w:hAnsi="Times New Roman"/>
          <w:noProof/>
        </w:rPr>
        <w:t>Chen et al. (2018)</w:t>
      </w:r>
      <w:r w:rsidRPr="00852292">
        <w:rPr>
          <w:rFonts w:ascii="Times New Roman" w:eastAsia="Calibri" w:hAnsi="Times New Roman"/>
        </w:rPr>
        <w:fldChar w:fldCharType="end"/>
      </w:r>
      <w:r w:rsidRPr="00852292">
        <w:rPr>
          <w:rFonts w:ascii="Times New Roman" w:eastAsia="Calibri" w:hAnsi="Times New Roman"/>
        </w:rPr>
        <w:t xml:space="preserve"> used transfer learning for airplane detection, </w:t>
      </w:r>
      <w:r w:rsidRPr="00852292">
        <w:rPr>
          <w:rFonts w:ascii="Times New Roman" w:eastAsia="Calibri" w:hAnsi="Times New Roman"/>
        </w:rPr>
        <w:fldChar w:fldCharType="begin" w:fldLock="1"/>
      </w:r>
      <w:r w:rsidRPr="00852292">
        <w:rPr>
          <w:rFonts w:ascii="Times New Roman" w:eastAsia="Calibri" w:hAnsi="Times New Roman"/>
        </w:rPr>
        <w:instrText>ADDIN CSL_CITATION {"citationItems":[{"id":"ITEM-1","itemData":{"DOI":"10.3390/rs11111374","ISSN":"2072-4292","abstract":"&lt;p&gt;The reemergence of Deep Neural Networks (DNNs) has lead to high-performance supervised learning algorithms for the Electro-Optical (EO) domain classification and detection problems. This success is because generating huge labeled datasets has become possible using modern crowdsourcing labeling platforms such as Amazon’s Mechanical Turk that recruit ordinary people to label data. Unlike the EO domain, labeling the Synthetic Aperture Radar (SAR) domain data can be much more challenging, and for various reasons, using crowdsourcing platforms is not feasible for labeling the SAR domain data. As a result, training deep networks using supervised learning is more challenging in the SAR domain. In the paper, we present a new framework to train a deep neural network for classifying Synthetic Aperture Radar (SAR) images by eliminating the need for a huge labeled dataset. Our idea is based on transferring knowledge from a related EO domain problem, where labeled data are easy to obtain. We transfer knowledge from the EO domain through learning a shared invariant cross-domain embedding space that is also discriminative for classification. To this end, we train two deep encoders that are coupled through their last year to map data points from the EO and the SAR domains to the shared embedding space such that the distance between the distributions of the two domains is minimized in the latent embedding space. We use the Sliced Wasserstein Distance (SWD) to measure and minimize the distance between these two distributions and use a limited number of SAR label data points to match the distributions class-conditionally. As a result of this training procedure, a classifier trained from the embedding space to the label space using mostly the EO data would generalize well on the SAR domain. We provide a theoretical analysis to demonstrate why our approach is effective and validate our algorithm on the problem of ship classification in the SAR domain by comparing against several other competing learning approaches.&lt;/p&gt;","author":[{"dropping-particle":"","family":"Rostami","given":"Mohammad","non-dropping-particle":"","parse-names":false,"suffix":""},{"dropping-particle":"","family":"Kolouri","given":"Soheil","non-dropping-particle":"","parse-names":false,"suffix":""},{"dropping-particle":"","family":"Eaton","given":"Eric","non-dropping-particle":"","parse-names":false,"suffix":""},{"dropping-particle":"","family":"Kim","given":"Kyungnam","non-dropping-particle":"","parse-names":false,"suffix":""}],"container-title":"Remote Sensing","id":"ITEM-1","issue":"11","issued":{"date-parts":[["2019","6","8"]]},"page":"1374","publisher":"Multidisciplinary Digital Publishing Institute","title":"Deep Transfer Learning for Few-Shot SAR Image Classification","type":"article-journal","volume":"11"},"uris":["http://www.mendeley.com/documents/?uuid=52bdc2a4-89a1-36eb-a4fb-930ca8ff8ae6"]}],"mendeley":{"formattedCitation":"(Rostami et al., 2019)","manualFormatting":"Rostami et al. (2019)","plainTextFormattedCitation":"(Rostami et al., 2019)","previouslyFormattedCitation":"(Rostami et al., 2019)"},"properties":{"noteIndex":0},"schema":"https://github.com/citation-style-language/schema/raw/master/csl-citation.json"}</w:instrText>
      </w:r>
      <w:r w:rsidRPr="00852292">
        <w:rPr>
          <w:rFonts w:ascii="Times New Roman" w:eastAsia="Calibri" w:hAnsi="Times New Roman"/>
        </w:rPr>
        <w:fldChar w:fldCharType="separate"/>
      </w:r>
      <w:r w:rsidRPr="00852292">
        <w:rPr>
          <w:rFonts w:ascii="Times New Roman" w:eastAsia="Calibri" w:hAnsi="Times New Roman"/>
          <w:noProof/>
        </w:rPr>
        <w:t>Rostami et al. (2019)</w:t>
      </w:r>
      <w:r w:rsidRPr="00852292">
        <w:rPr>
          <w:rFonts w:ascii="Times New Roman" w:eastAsia="Calibri" w:hAnsi="Times New Roman"/>
        </w:rPr>
        <w:fldChar w:fldCharType="end"/>
      </w:r>
      <w:r w:rsidRPr="00852292">
        <w:rPr>
          <w:rFonts w:ascii="Times New Roman" w:eastAsia="Calibri" w:hAnsi="Times New Roman"/>
        </w:rPr>
        <w:t xml:space="preserve"> for classifying Synthetic Aperture Radar images, </w:t>
      </w:r>
      <w:r w:rsidRPr="00852292">
        <w:rPr>
          <w:rFonts w:ascii="Times New Roman" w:eastAsia="Calibri" w:hAnsi="Times New Roman"/>
        </w:rPr>
        <w:fldChar w:fldCharType="begin" w:fldLock="1"/>
      </w:r>
      <w:r w:rsidRPr="00852292">
        <w:rPr>
          <w:rFonts w:ascii="Times New Roman" w:eastAsia="Calibri" w:hAnsi="Times New Roman"/>
        </w:rPr>
        <w:instrText>ADDIN CSL_CITATION {"citationItems":[{"id":"ITEM-1","itemData":{"DOI":"10.3390/rs11111309","ISSN":"2072-4292","abstract":"&lt;p&gt;Remote sensing can transform the speed, scale, and cost of biodiversity and forestry surveys. Data acquisition currently outpaces the ability to identify individual organisms in high resolution imagery. We outline an approach for identifying tree-crowns in RGB imagery while using a semi-supervised deep learning detection network. Individual crown delineation has been a long-standing challenge in remote sensing and available algorithms produce mixed results. We show that deep learning models can leverage existing Light Detection and Ranging (LIDAR)-based unsupervised delineation to generate trees that are used for training an initial RGB crown detection model. Despite limitations in the original unsupervised detection approach, this noisy training data may contain information from which the neural network can learn initial tree features. We then refine the initial model using a small number of higher-quality hand-annotated RGB images. We validate our proposed approach while using an open-canopy site in the National Ecological Observation Network. Our results show that a model using 434,551 self-generated trees with the addition of 2848 hand-annotated trees yields accurate predictions in natural landscapes. Using an intersection-over-union threshold of 0.5, the full model had an average tree crown recall of 0.69, with a precision of 0.61 for the visually-annotated data. The model had an average tree detection rate of 0.82 for the field collected stems. The addition of a small number of hand-annotated trees improved the performance over the initial self-supervised model. This semi-supervised deep learning approach demonstrates that remote sensing can overcome a lack of labeled training data by generating noisy data for initial training using unsupervised methods and retraining the resulting models with high quality labeled data.&lt;/p&gt;","author":[{"dropping-particle":"","family":"Weinstein","given":"Ben G.","non-dropping-particle":"","parse-names":false,"suffix":""},{"dropping-particle":"","family":"Marconi","given":"Sergio","non-dropping-particle":"","parse-names":false,"suffix":""},{"dropping-particle":"","family":"Bohlman","given":"Stephanie","non-dropping-particle":"","parse-names":false,"suffix":""},{"dropping-particle":"","family":"Zare","given":"Alina","non-dropping-particle":"","parse-names":false,"suffix":""},{"dropping-particle":"","family":"White","given":"Ethan","non-dropping-particle":"","parse-names":false,"suffix":""}],"container-title":"Remote Sensing","id":"ITEM-1","issue":"11","issued":{"date-parts":[["2019","6","1"]]},"page":"1309","publisher":"Multidisciplinary Digital Publishing Institute","title":"Individual Tree-Crown Detection in RGB Imagery Using Semi-Supervised Deep Learning Neural Networks","type":"article-journal","volume":"11"},"uris":["http://www.mendeley.com/documents/?uuid=e4c8133b-b15f-3080-8d7f-29bf9ad7d4d2"]}],"mendeley":{"formattedCitation":"(Weinstein et al., 2019)","manualFormatting":"Weinstein et al. (2019)","plainTextFormattedCitation":"(Weinstein et al., 2019)","previouslyFormattedCitation":"(Weinstein et al., 2019)"},"properties":{"noteIndex":0},"schema":"https://github.com/citation-style-language/schema/raw/master/csl-citation.json"}</w:instrText>
      </w:r>
      <w:r w:rsidRPr="00852292">
        <w:rPr>
          <w:rFonts w:ascii="Times New Roman" w:eastAsia="Calibri" w:hAnsi="Times New Roman"/>
        </w:rPr>
        <w:fldChar w:fldCharType="separate"/>
      </w:r>
      <w:r w:rsidRPr="00852292">
        <w:rPr>
          <w:rFonts w:ascii="Times New Roman" w:eastAsia="Calibri" w:hAnsi="Times New Roman"/>
          <w:noProof/>
        </w:rPr>
        <w:t>Weinstein et al. (2019)</w:t>
      </w:r>
      <w:r w:rsidRPr="00852292">
        <w:rPr>
          <w:rFonts w:ascii="Times New Roman" w:eastAsia="Calibri" w:hAnsi="Times New Roman"/>
        </w:rPr>
        <w:fldChar w:fldCharType="end"/>
      </w:r>
      <w:r w:rsidRPr="00852292">
        <w:rPr>
          <w:rFonts w:ascii="Times New Roman" w:eastAsia="Calibri" w:hAnsi="Times New Roman"/>
        </w:rPr>
        <w:t xml:space="preserve"> for the localization of tree-crowns using Light Detection and Ranging RGB images.  </w:t>
      </w:r>
    </w:p>
    <w:p w14:paraId="69027E3B" w14:textId="77777777" w:rsidR="004D5986" w:rsidRPr="00852292" w:rsidRDefault="004D5986" w:rsidP="004D5986">
      <w:pPr>
        <w:ind w:firstLine="720"/>
        <w:rPr>
          <w:rFonts w:ascii="Times New Roman" w:hAnsi="Times New Roman"/>
        </w:rPr>
      </w:pPr>
      <w:r w:rsidRPr="00852292">
        <w:rPr>
          <w:rFonts w:ascii="Times New Roman" w:hAnsi="Times New Roman"/>
        </w:rPr>
        <w:t>Despite the success of transfer learning in applications in which the secondary task is significantly different from the primary task</w:t>
      </w:r>
      <w:r w:rsidRPr="00852292">
        <w:rPr>
          <w:rFonts w:ascii="Times New Roman" w:hAnsi="Times New Roman"/>
        </w:rPr>
        <w:fldChar w:fldCharType="begin" w:fldLock="1"/>
      </w:r>
      <w:r w:rsidRPr="00852292">
        <w:rPr>
          <w:rFonts w:ascii="Times New Roman" w:hAnsi="Times New Roman"/>
        </w:rPr>
        <w:instrText>ADDIN CSL_CITATION {"citationItems":[{"id":"ITEM-1","itemData":{"DOI":"10.1038/nature21056","ISSN":"0028-0836","abstract":"An artificial intelligence trained to classify images of skin lesions as benign lesions or malignant skin cancers achieves the accuracy of board-certified dermatologists.","author":[{"dropping-particle":"","family":"Esteva","given":"Andre","non-dropping-particle":"","parse-names":false,"suffix":""},{"dropping-particle":"","family":"Kuprel","given":"Brett","non-dropping-particle":"","parse-names":false,"suffix":""},{"dropping-particle":"","family":"Novoa","given":"Roberto A.","non-dropping-particle":"","parse-names":false,"suffix":""},{"dropping-particle":"","family":"Ko","given":"Justin","non-dropping-particle":"","parse-names":false,"suffix":""},{"dropping-particle":"","family":"Swetter","given":"Susan M.","non-dropping-particle":"","parse-names":false,"suffix":""},{"dropping-particle":"","family":"Blau","given":"Helen M.","non-dropping-particle":"","parse-names":false,"suffix":""},{"dropping-particle":"","family":"Thrun","given":"Sebastian","non-dropping-particle":"","parse-names":false,"suffix":""}],"container-title":"Nature","id":"ITEM-1","issue":"7639","issued":{"date-parts":[["2017","2","25"]]},"page":"115-118","publisher":"Nature Publishing Group","title":"Dermatologist-level classification of skin cancer with deep neural networks","type":"article-journal","volume":"542"},"uris":["http://www.mendeley.com/documents/?uuid=a4209ae8-b4b6-3e70-aa81-a3ee3381d82a"]},{"id":"ITEM-2","itemData":{"DOI":"10.1190/segam2018-2998567.1","author":[{"dropping-particle":"","family":"Huot","given":"Fantine","non-dropping-particle":"","parse-names":false,"suffix":""},{"dropping-particle":"","family":"Biondi","given":"Biondo","non-dropping-particle":"","parse-names":false,"suffix":""},{"dropping-particle":"","family":"Beroza","given":"Gregory","non-dropping-particle":"","parse-names":false,"suffix":""}],"container-title":"SEG Technical Program Expanded Abstracts 2018","id":"ITEM-2","issued":{"date-parts":[["2018","8","27"]]},"page":"2191-2195","publisher":"Society of Exploration Geophysicists","title":"Jump-starting neural network training for seismic problems","type":"paper-conference"},"uris":["http://www.mendeley.com/documents/?uuid=21f62b10-ec1a-3eb4-8da8-da72566019e7"]},{"id":"ITEM-3","itemData":{"DOI":"10.1190/segam2019-3215401.1","author":[{"dropping-particle":"","family":"Pires de Lima","given":"Rafael","non-dropping-particle":"","parse-names":false,"suffix":""},{"dropping-particle":"","family":"Lin","given":"Youzuo","non-dropping-particle":"","parse-names":false,"suffix":""},{"dropping-particle":"","family":"Marfurt","given":"Kurt J.","non-dropping-particle":"","parse-names":false,"suffix":""}],"container-title":"SEG Technical Program Expanded Abstracts 2019","id":"ITEM-3","issued":{"date-parts":[["2019","8"]]},"page":"2368-2372","publisher":"Society of Exploration Geophysicists","title":"Transforming seismic data into pseudo-RGB images to predict CO2 leakage using pre-learned convolutional neural networks weights","type":"paper-conference"},"uris":["http://www.mendeley.com/documents/?uuid=56e91531-f1c6-35c4-8611-6a9bd800c9e3"]}],"mendeley":{"formattedCitation":"(Esteva et al., 2017; Huot et al., 2018; Pires de Lima et al., 2019b)","manualFormatting":"(e.g. Esteva et al., 2017; Huot et al., 2018; Pires de Lima et al., 2019b)","plainTextFormattedCitation":"(Esteva et al., 2017; Huot et al., 2018; Pires de Lima et al., 2019b)","previouslyFormattedCitation":"(Esteva et al., 2017; Huot et al., 2018; Pires de Lima et al., 2019b)"},"properties":{"noteIndex":0},"schema":"https://github.com/citation-style-language/schema/raw/master/csl-citation.json"}</w:instrText>
      </w:r>
      <w:r w:rsidRPr="00852292">
        <w:rPr>
          <w:rFonts w:ascii="Times New Roman" w:hAnsi="Times New Roman"/>
        </w:rPr>
        <w:fldChar w:fldCharType="separate"/>
      </w:r>
      <w:r w:rsidRPr="00852292">
        <w:rPr>
          <w:rFonts w:ascii="Times New Roman" w:hAnsi="Times New Roman"/>
          <w:noProof/>
        </w:rPr>
        <w:t>(e.g. Esteva et al., 2017; Huot et al., 2018; Pires de Lima et al., 2019b)</w:t>
      </w:r>
      <w:r w:rsidRPr="00852292">
        <w:rPr>
          <w:rFonts w:ascii="Times New Roman" w:hAnsi="Times New Roman"/>
        </w:rPr>
        <w:fldChar w:fldCharType="end"/>
      </w:r>
      <w:r w:rsidRPr="00852292">
        <w:rPr>
          <w:rFonts w:ascii="Times New Roman" w:hAnsi="Times New Roman"/>
        </w:rPr>
        <w:t xml:space="preserve">, the remark that the effectiveness of transfer learning is expected to decline as the primary and secondary tasks become less similar </w:t>
      </w:r>
      <w:r w:rsidRPr="00852292">
        <w:rPr>
          <w:rFonts w:ascii="Times New Roman" w:hAnsi="Times New Roman"/>
        </w:rPr>
        <w:fldChar w:fldCharType="begin" w:fldLock="1"/>
      </w:r>
      <w:r w:rsidRPr="00852292">
        <w:rPr>
          <w:rFonts w:ascii="Times New Roman" w:hAnsi="Times New Roman"/>
        </w:rPr>
        <w:instrText>ADDIN CSL_CITATION {"citationItems":[{"id":"ITEM-1","itemData":{"abstract":"Many deep neural networks trained on natural images exhibit a curious phenomenon in common: on the first layer they learn features similar to Gabor filters and color blobs. Such first-layer features appear not to be specific to a particular dataset or task, but general in that they are applicable to many datasets and tasks. Features must eventually transition from general to specific by the last layer of the network, but this transition has not been studied extensively. In this paper we experimentally quantify the generality versus specificity of neurons in each layer of a deep convolutional neural network and report a few surprising results. Transferability is negatively affected by two distinct issues: (1) the specialization of higher layer neurons to their original task at the expense of performance on the target task, which was expected, and (2) optimization difficulties related to splitting networks between co-adapted neurons, which was not expected. In an example network trained on ImageNet, we demonstrate that either of these two issues may dominate, depending on whether features are transferred from the bottom, middle, or top of the network. We also document that the transferability of features decreases as the distance between the base task and target task increases, but that transferring features even from distant tasks can be better than using random features. A final surprising result is that initializing a network with transferred features from almost any number of layers can produce a boost to generalization that lingers even after fine-tuning to the target dataset.","author":[{"dropping-particle":"","family":"Yosinski","given":"Jason","non-dropping-particle":"","parse-names":false,"suffix":""},{"dropping-particle":"","family":"Clune","given":"Jeff","non-dropping-particle":"","parse-names":false,"suffix":""},{"dropping-particle":"","family":"Bengio","given":"Yoshua","non-dropping-particle":"","parse-names":false,"suffix":""},{"dropping-particle":"","family":"Lipson","given":"Hod","non-dropping-particle":"","parse-names":false,"suffix":""}],"container-title":"Advances in Neural Information Processing Systems","id":"ITEM-1","issued":{"date-parts":[["2014","11","6"]]},"page":"3320-3328","title":"How transferable are features in deep neural networks?","type":"article-journal","volume":"27"},"uris":["http://www.mendeley.com/documents/?uuid=803012bc-b88d-392a-8cbd-4f098fe2c123"]}],"mendeley":{"formattedCitation":"(Yosinski et al., 2014)","plainTextFormattedCitation":"(Yosinski et al., 2014)","previouslyFormattedCitation":"(Yosinski et al., 2014)"},"properties":{"noteIndex":0},"schema":"https://github.com/citation-style-language/schema/raw/master/csl-citation.json"}</w:instrText>
      </w:r>
      <w:r w:rsidRPr="00852292">
        <w:rPr>
          <w:rFonts w:ascii="Times New Roman" w:hAnsi="Times New Roman"/>
        </w:rPr>
        <w:fldChar w:fldCharType="separate"/>
      </w:r>
      <w:r w:rsidRPr="00852292">
        <w:rPr>
          <w:rFonts w:ascii="Times New Roman" w:hAnsi="Times New Roman"/>
          <w:noProof/>
        </w:rPr>
        <w:t>(Yosinski et al., 2014)</w:t>
      </w:r>
      <w:r w:rsidRPr="00852292">
        <w:rPr>
          <w:rFonts w:ascii="Times New Roman" w:hAnsi="Times New Roman"/>
        </w:rPr>
        <w:fldChar w:fldCharType="end"/>
      </w:r>
      <w:r w:rsidRPr="00852292">
        <w:rPr>
          <w:rFonts w:ascii="Times New Roman" w:hAnsi="Times New Roman"/>
        </w:rPr>
        <w:t xml:space="preserve"> is a question commonly raised and still very present in many research fields. Although Yosinski et al. (2014) concluded that using transfer learning from distant tasks perform better than training CNN models from scratch (with randomly initialized weights), it remains unclear how the amount of data or the model used can influence the models’ performance. </w:t>
      </w:r>
    </w:p>
    <w:p w14:paraId="1FB18BCE" w14:textId="77777777" w:rsidR="004D5986" w:rsidRPr="00852292" w:rsidRDefault="004D5986" w:rsidP="004D5986">
      <w:pPr>
        <w:ind w:firstLine="720"/>
        <w:rPr>
          <w:rFonts w:ascii="Times New Roman" w:hAnsi="Times New Roman"/>
        </w:rPr>
      </w:pPr>
      <w:r w:rsidRPr="00852292">
        <w:rPr>
          <w:rFonts w:ascii="Times New Roman" w:hAnsi="Times New Roman"/>
        </w:rPr>
        <w:t xml:space="preserve">Here we investigate the performance of transfer learning from CNNs pre-trained on natural images for remote sensing scene classification versus CNNs trained from scratch only on the remote sensing scene classification dataset themselves. We evaluate different depths of two popular CNN models –VGG 19 </w:t>
      </w:r>
      <w:r w:rsidRPr="00852292">
        <w:rPr>
          <w:rFonts w:ascii="Times New Roman" w:hAnsi="Times New Roman"/>
        </w:rPr>
        <w:fldChar w:fldCharType="begin" w:fldLock="1"/>
      </w:r>
      <w:r w:rsidRPr="00852292">
        <w:rPr>
          <w:rFonts w:ascii="Times New Roman" w:hAnsi="Times New Roman"/>
        </w:rPr>
        <w:instrText>ADDIN CSL_CITATION {"citationItems":[{"id":"ITEM-1","itemData":{"abstract":"In this work we investigate the effect of the convolutional network depth on its accuracy in the large-scale image recognition setting. Our main contribution is a thorough evaluation of networks of increasing depth using an architecture with very small (3x3) convolution filters, which shows that a significant improvement on the prior-art configurations can be achieved by pushing the depth to 16-19 weight layers. These findings were the basis of our ImageNet Challenge 2014 submission, where our team secured the first and the second places in the localisation and classification tracks respectively. We also show that our representations generalise well to other datasets, where they achieve state-of-the-art results. We have made our two best-performing ConvNet models publicly available to facilitate further research on the use of deep visual representations in computer vision.","author":[{"dropping-particle":"","family":"Simonyan","given":"Karen","non-dropping-particle":"","parse-names":false,"suffix":""},{"dropping-particle":"","family":"Zisserman","given":"Andrew","non-dropping-particle":"","parse-names":false,"suffix":""}],"container-title":"ArXiv e–prints","id":"ITEM-1","issued":{"date-parts":[["2014","9","4"]]},"title":"Very Deep Convolutional Networks for Large-Scale Image Recognition","type":"article-journal"},"uris":["http://www.mendeley.com/documents/?uuid=e8192c43-95e0-3fe8-8025-a4d202a93436"]}],"mendeley":{"formattedCitation":"(Simonyan and Zisserman, 2014)","plainTextFormattedCitation":"(Simonyan and Zisserman, 2014)","previouslyFormattedCitation":"(Simonyan and Zisserman, 2014)"},"properties":{"noteIndex":0},"schema":"https://github.com/citation-style-language/schema/raw/master/csl-citation.json"}</w:instrText>
      </w:r>
      <w:r w:rsidRPr="00852292">
        <w:rPr>
          <w:rFonts w:ascii="Times New Roman" w:hAnsi="Times New Roman"/>
        </w:rPr>
        <w:fldChar w:fldCharType="separate"/>
      </w:r>
      <w:r w:rsidRPr="00852292">
        <w:rPr>
          <w:rFonts w:ascii="Times New Roman" w:hAnsi="Times New Roman"/>
          <w:noProof/>
        </w:rPr>
        <w:t>(Simonyan and Zisserman, 2014)</w:t>
      </w:r>
      <w:r w:rsidRPr="00852292">
        <w:rPr>
          <w:rFonts w:ascii="Times New Roman" w:hAnsi="Times New Roman"/>
        </w:rPr>
        <w:fldChar w:fldCharType="end"/>
      </w:r>
      <w:r w:rsidRPr="00852292">
        <w:rPr>
          <w:rFonts w:ascii="Times New Roman" w:hAnsi="Times New Roman"/>
        </w:rPr>
        <w:t xml:space="preserve">, and Inception V3 </w:t>
      </w:r>
      <w:r w:rsidRPr="00852292">
        <w:rPr>
          <w:rFonts w:ascii="Times New Roman" w:hAnsi="Times New Roman"/>
        </w:rPr>
        <w:fldChar w:fldCharType="begin" w:fldLock="1"/>
      </w:r>
      <w:r w:rsidRPr="00852292">
        <w:rPr>
          <w:rFonts w:ascii="Times New Roman" w:hAnsi="Times New Roman"/>
        </w:rPr>
        <w:instrText>ADDIN CSL_CITATION {"citationItems":[{"id":"ITEM-1","itemData":{"abstract":"Convolutional networks are at the core of most state-of-the-art computer vision solutions for a wide variety of tasks. Since 2014 very deep convolutional networks started to become mainstream, yielding substantial gains in various benchmarks. Although increased model size and computational cost tend to translate to immediate quality gains for most tasks (as long as enough labeled data is provided for training), computational efficiency and low parameter count are still enabling factors for various use cases such as mobile vision and big-data scenarios. Here we explore ways to scale up networks in ways that aim at utilizing the added computation as efficiently as possible by suitably factorized convolutions and aggressive regularization. We benchmark our methods on the ILSVRC 2012 classification challenge validation set demonstrate substantial gains over the state of the art: 21.2% top-1 and 5.6% top-5 error for single frame evaluation using a network with a computational cost of 5 billion multiply-adds per inference and with using less than 25 million parameters. With an ensemble of 4 models and multi-crop evaluation, we report 3.5% top-5 error on the validation set (3.6% error on the test set) and 17.3% top-1 error on the validation set.","author":[{"dropping-particle":"","family":"Szegedy","given":"Christian","non-dropping-particle":"","parse-names":false,"suffix":""},{"dropping-particle":"","family":"Vanhoucke","given":"Vincent","non-dropping-particle":"","parse-names":false,"suffix":""},{"dropping-particle":"","family":"Ioffe","given":"Sergey","non-dropping-particle":"","parse-names":false,"suffix":""},{"dropping-particle":"","family":"Shlens","given":"Jonathon","non-dropping-particle":"","parse-names":false,"suffix":""},{"dropping-particle":"","family":"Wojna","given":"Zbigniew","non-dropping-particle":"","parse-names":false,"suffix":""}],"container-title":"CoRR","id":"ITEM-1","issued":{"date-parts":[["2015","12","1"]]},"title":"Rethinking the Inception Architecture for Computer Vision","type":"article-journal","volume":"abs/1512.0"},"uris":["http://www.mendeley.com/documents/?uuid=25784f6b-8556-3850-b942-4b92eefba7a6"]}],"mendeley":{"formattedCitation":"(Szegedy et al., 2015)","plainTextFormattedCitation":"(Szegedy et al., 2015)","previouslyFormattedCitation":"(Szegedy et al., 2015)"},"properties":{"noteIndex":0},"schema":"https://github.com/citation-style-language/schema/raw/master/csl-citation.json"}</w:instrText>
      </w:r>
      <w:r w:rsidRPr="00852292">
        <w:rPr>
          <w:rFonts w:ascii="Times New Roman" w:hAnsi="Times New Roman"/>
        </w:rPr>
        <w:fldChar w:fldCharType="separate"/>
      </w:r>
      <w:r w:rsidRPr="00852292">
        <w:rPr>
          <w:rFonts w:ascii="Times New Roman" w:hAnsi="Times New Roman"/>
          <w:noProof/>
        </w:rPr>
        <w:t>(Szegedy et al., 2015)</w:t>
      </w:r>
      <w:r w:rsidRPr="00852292">
        <w:rPr>
          <w:rFonts w:ascii="Times New Roman" w:hAnsi="Times New Roman"/>
        </w:rPr>
        <w:fldChar w:fldCharType="end"/>
      </w:r>
      <w:r w:rsidRPr="00852292">
        <w:rPr>
          <w:rFonts w:ascii="Times New Roman" w:hAnsi="Times New Roman"/>
        </w:rPr>
        <w:t xml:space="preserve"> – using three different sized remote sensing datasets. Section </w:t>
      </w:r>
      <w:r w:rsidR="00FE43A9">
        <w:rPr>
          <w:rFonts w:ascii="Times New Roman" w:hAnsi="Times New Roman"/>
        </w:rPr>
        <w:t>2</w:t>
      </w:r>
      <w:r w:rsidRPr="00852292">
        <w:rPr>
          <w:rFonts w:ascii="Times New Roman" w:hAnsi="Times New Roman"/>
        </w:rPr>
        <w:t xml:space="preserve"> describes the datasets, </w:t>
      </w:r>
      <w:r w:rsidRPr="00852292">
        <w:rPr>
          <w:rFonts w:ascii="Times New Roman" w:hAnsi="Times New Roman"/>
        </w:rPr>
        <w:lastRenderedPageBreak/>
        <w:t xml:space="preserve">section </w:t>
      </w:r>
      <w:r w:rsidR="00FE43A9">
        <w:rPr>
          <w:rFonts w:ascii="Times New Roman" w:hAnsi="Times New Roman"/>
        </w:rPr>
        <w:t>3</w:t>
      </w:r>
      <w:r w:rsidRPr="00852292">
        <w:rPr>
          <w:rFonts w:ascii="Times New Roman" w:hAnsi="Times New Roman"/>
        </w:rPr>
        <w:t xml:space="preserve"> provides details on the methods we apply for analysis. Section </w:t>
      </w:r>
      <w:r w:rsidR="00FE43A9">
        <w:rPr>
          <w:rFonts w:ascii="Times New Roman" w:hAnsi="Times New Roman"/>
        </w:rPr>
        <w:t>4</w:t>
      </w:r>
      <w:r w:rsidRPr="00852292">
        <w:rPr>
          <w:rFonts w:ascii="Times New Roman" w:hAnsi="Times New Roman"/>
        </w:rPr>
        <w:t xml:space="preserve"> shows the results followed by a discussion in section </w:t>
      </w:r>
      <w:r w:rsidR="00FE43A9">
        <w:rPr>
          <w:rFonts w:ascii="Times New Roman" w:hAnsi="Times New Roman"/>
        </w:rPr>
        <w:t>5</w:t>
      </w:r>
      <w:r w:rsidRPr="00852292">
        <w:rPr>
          <w:rFonts w:ascii="Times New Roman" w:hAnsi="Times New Roman"/>
        </w:rPr>
        <w:t xml:space="preserve">. We summarize our findings in section </w:t>
      </w:r>
      <w:r w:rsidR="00FE43A9">
        <w:rPr>
          <w:rFonts w:ascii="Times New Roman" w:hAnsi="Times New Roman"/>
        </w:rPr>
        <w:t>6</w:t>
      </w:r>
      <w:r w:rsidRPr="00852292">
        <w:rPr>
          <w:rFonts w:ascii="Times New Roman" w:hAnsi="Times New Roman"/>
        </w:rPr>
        <w:t>.</w:t>
      </w:r>
    </w:p>
    <w:p w14:paraId="794D26AA" w14:textId="77777777" w:rsidR="00AD2F03" w:rsidRDefault="00AD2F03" w:rsidP="004D5986">
      <w:pPr>
        <w:ind w:firstLine="720"/>
        <w:rPr>
          <w:rFonts w:eastAsia="Calibri"/>
        </w:rPr>
      </w:pPr>
    </w:p>
    <w:p w14:paraId="1FD136E1" w14:textId="77777777" w:rsidR="00AD2F03" w:rsidRPr="00751EDD" w:rsidRDefault="0011424B" w:rsidP="0011424B">
      <w:pPr>
        <w:pStyle w:val="Heading2"/>
      </w:pPr>
      <w:bookmarkStart w:id="226" w:name="_Ref20648964"/>
      <w:bookmarkStart w:id="227" w:name="_Toc26534630"/>
      <w:r>
        <w:t>2</w:t>
      </w:r>
      <w:r w:rsidR="00FE43A9">
        <w:t>.</w:t>
      </w:r>
      <w:r>
        <w:t xml:space="preserve"> </w:t>
      </w:r>
      <w:r w:rsidR="00AD2F03" w:rsidRPr="00751EDD">
        <w:t>Data</w:t>
      </w:r>
      <w:bookmarkEnd w:id="226"/>
      <w:bookmarkEnd w:id="227"/>
    </w:p>
    <w:p w14:paraId="3833179A" w14:textId="77777777" w:rsidR="00AD2F03" w:rsidRDefault="00AD2F03" w:rsidP="00AD2F03">
      <w:pPr>
        <w:ind w:firstLine="720"/>
      </w:pPr>
      <w:r>
        <w:t xml:space="preserve">This section provides some details about the datasets we use in our experiments as well as the number of samples for each one of the datasets. We use a 70%-10%-20% split between training, validation, and test sets. </w:t>
      </w:r>
    </w:p>
    <w:p w14:paraId="1B1D3BD3" w14:textId="77777777" w:rsidR="00AD2F03" w:rsidRDefault="0011424B" w:rsidP="0011424B">
      <w:pPr>
        <w:pStyle w:val="Heading3"/>
      </w:pPr>
      <w:bookmarkStart w:id="228" w:name="_Toc26534631"/>
      <w:r>
        <w:t xml:space="preserve">2.1 </w:t>
      </w:r>
      <w:r w:rsidR="00AD2F03">
        <w:t>UCMerced: UC Merced dataset</w:t>
      </w:r>
      <w:bookmarkEnd w:id="228"/>
    </w:p>
    <w:p w14:paraId="4B8CCF10" w14:textId="77777777" w:rsidR="00AD2F03" w:rsidRDefault="00AD2F03" w:rsidP="00AD2F03">
      <w:pPr>
        <w:ind w:firstLine="720"/>
      </w:pPr>
      <w:r>
        <w:t xml:space="preserve">Introduced by </w:t>
      </w:r>
      <w:r>
        <w:fldChar w:fldCharType="begin" w:fldLock="1"/>
      </w:r>
      <w:r>
        <w:instrText>ADDIN CSL_CITATION {"citationItems":[{"id":"ITEM-1","itemData":{"DOI":"10.1145/1869790.1869829","ISBN":"9781450304283","abstract":"UC Merced Land Use Dataset","author":[{"dropping-particle":"","family":"Yang","given":"Yi","non-dropping-particle":"","parse-names":false,"suffix":""},{"dropping-particle":"","family":"Newsam","given":"Shawn","non-dropping-particle":"","parse-names":false,"suffix":""}],"container-title":"Proceedings of the 18th SIGSPATIAL International Conference on Advances in Geographic Information Systems - GIS '10","id":"ITEM-1","issued":{"date-parts":[["2010"]]},"page":"270","publisher":"ACM Press","publisher-place":"San Jose, California, USA","title":"Bag-of-visual-words and spatial extensions for land-use classification","type":"paper-conference"},"uris":["http://www.mendeley.com/documents/?uuid=6c2b907f-8a6a-3975-b4ca-91778b55c505"]}],"mendeley":{"formattedCitation":"(Yang and Newsam, 2010)","manualFormatting":"Yang and Newsam (2010)","plainTextFormattedCitation":"(Yang and Newsam, 2010)","previouslyFormattedCitation":"(Yang and Newsam, 2010)"},"properties":{"noteIndex":0},"schema":"https://github.com/citation-style-language/schema/raw/master/csl-citation.json"}</w:instrText>
      </w:r>
      <w:r>
        <w:fldChar w:fldCharType="separate"/>
      </w:r>
      <w:r w:rsidRPr="00C4293A">
        <w:rPr>
          <w:noProof/>
        </w:rPr>
        <w:t xml:space="preserve">Yang and Newsam </w:t>
      </w:r>
      <w:r>
        <w:rPr>
          <w:noProof/>
        </w:rPr>
        <w:t>(</w:t>
      </w:r>
      <w:r w:rsidRPr="00C4293A">
        <w:rPr>
          <w:noProof/>
        </w:rPr>
        <w:t>2010)</w:t>
      </w:r>
      <w:r>
        <w:fldChar w:fldCharType="end"/>
      </w:r>
      <w:r>
        <w:t xml:space="preserve">, the UC Merced dataset (UCMD) is a land use image dataset containing 21 classes, each class with 100 samples. The images are 256 × 256 pixels, with a spatial resolution of 0.3 m per pixel. The images were manually cropped from the publicly available images </w:t>
      </w:r>
      <w:r w:rsidRPr="00CA2A30">
        <w:t xml:space="preserve">USGS National Map Urban Area Imagery collection for various urban areas around </w:t>
      </w:r>
      <w:r>
        <w:t xml:space="preserve">the United States. </w:t>
      </w:r>
      <w:r>
        <w:fldChar w:fldCharType="begin" w:fldLock="1"/>
      </w:r>
      <w:r>
        <w:instrText>ADDIN CSL_CITATION {"citationItems":[{"id":"ITEM-1","itemData":{"DOI":"10.1016/J.ISPRSJPRS.2018.01.004","ISSN":"0924-2716","abstract":"Benchmark datasets are critical for developing, evaluating, and comparing remote sensing image retrieval (RSIR) approaches. However, current benchmark datasets are deficient in that (1) they were originally collected for land use/land cover classification instead of RSIR; (2) they are relatively small in terms of the number of classes as well as the number of images per class which makes them unsuitable for developing deep learning based approaches; and (3) they are not appropriate for RSIR due to the large amount of background present in the images. These limitations restrict the development of novel approaches for RSIR, particularly those based on deep learning which require large amounts of training data. We therefore present a new large-scale remote sensing dataset termed “PatternNet” that was collected specifically for RSIR. PatternNet was collected from high-resolution imagery and contains 38 classes with 800 images per class. Significantly, PatternNet’s large scale makes it suitable for developing novel, deep learning based approaches for RSIR. We use PatternNet to evaluate the performance of over 35 RSIR methods ranging from traditional handcrafted feature based methods to recent, deep learning based ones. These results serve as a baseline for future research on RSIR.","author":[{"dropping-particle":"","family":"Zhou","given":"Weixun","non-dropping-particle":"","parse-names":false,"suffix":""},{"dropping-particle":"","family":"Newsam","given":"Shawn","non-dropping-particle":"","parse-names":false,"suffix":""},{"dropping-particle":"","family":"Li","given":"Congmin","non-dropping-particle":"","parse-names":false,"suffix":""},{"dropping-particle":"","family":"Shao","given":"Zhenfeng","non-dropping-particle":"","parse-names":false,"suffix":""}],"container-title":"ISPRS Journal of Photogrammetry and Remote Sensing","id":"ITEM-1","issued":{"date-parts":[["2018","11","1"]]},"page":"197-209","publisher":"Elsevier","title":"PatternNet: A benchmark dataset for performance evaluation of remote sensing image retrieval","type":"article-journal","volume":"145"},"uris":["http://www.mendeley.com/documents/?uuid=23191249-82a7-3cb5-a1dc-c59daf905021"]}],"mendeley":{"formattedCitation":"(Zhou et al., 2018b)","manualFormatting":"Zhou et al. (2018)","plainTextFormattedCitation":"(Zhou et al., 2018b)","previouslyFormattedCitation":"(Zhou et al., 2018b)"},"properties":{"noteIndex":0},"schema":"https://github.com/citation-style-language/schema/raw/master/csl-citation.json"}</w:instrText>
      </w:r>
      <w:r>
        <w:fldChar w:fldCharType="separate"/>
      </w:r>
      <w:r w:rsidRPr="00CA2A30">
        <w:rPr>
          <w:noProof/>
        </w:rPr>
        <w:t xml:space="preserve">Zhou et al. </w:t>
      </w:r>
      <w:r>
        <w:rPr>
          <w:noProof/>
        </w:rPr>
        <w:t>(</w:t>
      </w:r>
      <w:r w:rsidRPr="00CA2A30">
        <w:rPr>
          <w:noProof/>
        </w:rPr>
        <w:t>2018)</w:t>
      </w:r>
      <w:r>
        <w:fldChar w:fldCharType="end"/>
      </w:r>
      <w:r>
        <w:t xml:space="preserve"> observed that the UCMD dataset has many similar or overlapping classes, e.g. sparse residential, medium residential, and dense residential. This similarity combined with the small number of samples per class makes the UCMD a challenging dataset for machine learning classification. </w:t>
      </w:r>
      <w:r>
        <w:fldChar w:fldCharType="begin"/>
      </w:r>
      <w:r>
        <w:instrText xml:space="preserve"> REF _Ref15324519 \h </w:instrText>
      </w:r>
      <w:r>
        <w:fldChar w:fldCharType="separate"/>
      </w:r>
      <w:r w:rsidR="001C535D">
        <w:t xml:space="preserve">Table </w:t>
      </w:r>
      <w:r w:rsidR="001C535D">
        <w:rPr>
          <w:noProof/>
        </w:rPr>
        <w:t>8</w:t>
      </w:r>
      <w:r>
        <w:fldChar w:fldCharType="end"/>
      </w:r>
      <w:r>
        <w:t xml:space="preserve"> shows the data split between training, validation, and test set</w:t>
      </w:r>
      <w:r w:rsidR="00D065D4">
        <w:t>s</w:t>
      </w:r>
      <w:r>
        <w:t xml:space="preserve">, as well as the total number of samples for all classes in the UCMD dataset. The dataset is available for download at </w:t>
      </w:r>
      <w:hyperlink r:id="rId59" w:history="1">
        <w:r w:rsidRPr="009C75A6">
          <w:rPr>
            <w:rStyle w:val="Hyperlink"/>
          </w:rPr>
          <w:t>http://weegee.vision.ucmerced.edu/datasets/landuse.html</w:t>
        </w:r>
      </w:hyperlink>
    </w:p>
    <w:p w14:paraId="73F0889A" w14:textId="77777777" w:rsidR="00AD2F03" w:rsidRDefault="00AD2F03" w:rsidP="00AD2F03">
      <w:pPr>
        <w:ind w:firstLine="720"/>
      </w:pPr>
    </w:p>
    <w:p w14:paraId="2E47ACE0" w14:textId="77777777" w:rsidR="002F1077" w:rsidRDefault="002F1077">
      <w:pPr>
        <w:spacing w:line="240" w:lineRule="auto"/>
        <w:rPr>
          <w:rFonts w:ascii="Times New Roman" w:hAnsi="Times New Roman"/>
          <w:bCs/>
          <w:iCs/>
        </w:rPr>
      </w:pPr>
      <w:bookmarkStart w:id="229" w:name="_Ref15324519"/>
      <w:r>
        <w:br w:type="page"/>
      </w:r>
    </w:p>
    <w:p w14:paraId="6DB57C72" w14:textId="2AA24542" w:rsidR="00AD2F03" w:rsidRDefault="00AD2F03" w:rsidP="00607DF1">
      <w:pPr>
        <w:pStyle w:val="Caption"/>
      </w:pPr>
      <w:bookmarkStart w:id="230" w:name="_Toc26534545"/>
      <w:r>
        <w:lastRenderedPageBreak/>
        <w:t xml:space="preserve">Table </w:t>
      </w:r>
      <w:r w:rsidR="00CE1F3C">
        <w:fldChar w:fldCharType="begin"/>
      </w:r>
      <w:r w:rsidR="00CE1F3C">
        <w:instrText xml:space="preserve"> SEQ Table \* ARABIC </w:instrText>
      </w:r>
      <w:r w:rsidR="00CE1F3C">
        <w:fldChar w:fldCharType="separate"/>
      </w:r>
      <w:r w:rsidR="001C535D">
        <w:rPr>
          <w:noProof/>
        </w:rPr>
        <w:t>8</w:t>
      </w:r>
      <w:r w:rsidR="00CE1F3C">
        <w:rPr>
          <w:noProof/>
        </w:rPr>
        <w:fldChar w:fldCharType="end"/>
      </w:r>
      <w:bookmarkEnd w:id="229"/>
      <w:r>
        <w:t>: number of samples for training, validation, and test used for the UCMD dataset.</w:t>
      </w:r>
      <w:bookmarkEnd w:id="230"/>
    </w:p>
    <w:tbl>
      <w:tblPr>
        <w:tblStyle w:val="PlainTable5"/>
        <w:tblW w:w="6489" w:type="dxa"/>
        <w:tblLook w:val="04A0" w:firstRow="1" w:lastRow="0" w:firstColumn="1" w:lastColumn="0" w:noHBand="0" w:noVBand="1"/>
      </w:tblPr>
      <w:tblGrid>
        <w:gridCol w:w="2185"/>
        <w:gridCol w:w="1086"/>
        <w:gridCol w:w="1298"/>
        <w:gridCol w:w="960"/>
        <w:gridCol w:w="960"/>
      </w:tblGrid>
      <w:tr w:rsidR="00AD2F03" w:rsidRPr="004D4B7A" w14:paraId="5A8322D9" w14:textId="77777777" w:rsidTr="00E65C03">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2185" w:type="dxa"/>
            <w:noWrap/>
            <w:hideMark/>
          </w:tcPr>
          <w:p w14:paraId="66740F08" w14:textId="77777777" w:rsidR="00AD2F03" w:rsidRPr="004D4B7A" w:rsidRDefault="00AD2F03" w:rsidP="00E65C03">
            <w:pPr>
              <w:spacing w:line="240" w:lineRule="auto"/>
              <w:rPr>
                <w:rFonts w:ascii="Calibri" w:eastAsia="Times New Roman" w:hAnsi="Calibri" w:cs="Calibri"/>
                <w:color w:val="000000"/>
              </w:rPr>
            </w:pPr>
            <w:r w:rsidRPr="004D4B7A">
              <w:rPr>
                <w:rFonts w:ascii="Calibri" w:eastAsia="Times New Roman" w:hAnsi="Calibri" w:cs="Calibri"/>
                <w:color w:val="000000"/>
              </w:rPr>
              <w:t>Class</w:t>
            </w:r>
          </w:p>
        </w:tc>
        <w:tc>
          <w:tcPr>
            <w:tcW w:w="1086" w:type="dxa"/>
            <w:noWrap/>
            <w:hideMark/>
          </w:tcPr>
          <w:p w14:paraId="0D719C39" w14:textId="77777777" w:rsidR="00AD2F03" w:rsidRPr="004D4B7A" w:rsidRDefault="00AD2F03" w:rsidP="00E65C03">
            <w:pPr>
              <w:spacing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Training</w:t>
            </w:r>
          </w:p>
        </w:tc>
        <w:tc>
          <w:tcPr>
            <w:tcW w:w="1298" w:type="dxa"/>
            <w:noWrap/>
            <w:hideMark/>
          </w:tcPr>
          <w:p w14:paraId="5A82E2EA" w14:textId="77777777" w:rsidR="00AD2F03" w:rsidRPr="004D4B7A" w:rsidRDefault="00AD2F03" w:rsidP="00E65C03">
            <w:pPr>
              <w:spacing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Validation</w:t>
            </w:r>
          </w:p>
        </w:tc>
        <w:tc>
          <w:tcPr>
            <w:tcW w:w="960" w:type="dxa"/>
            <w:noWrap/>
            <w:hideMark/>
          </w:tcPr>
          <w:p w14:paraId="6A480B4A" w14:textId="77777777" w:rsidR="00AD2F03" w:rsidRPr="004D4B7A" w:rsidRDefault="00AD2F03" w:rsidP="00E65C03">
            <w:pPr>
              <w:spacing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Test</w:t>
            </w:r>
          </w:p>
        </w:tc>
        <w:tc>
          <w:tcPr>
            <w:tcW w:w="960" w:type="dxa"/>
            <w:noWrap/>
            <w:hideMark/>
          </w:tcPr>
          <w:p w14:paraId="68E5FF61" w14:textId="77777777" w:rsidR="00AD2F03" w:rsidRPr="004D4B7A" w:rsidRDefault="00AD2F03" w:rsidP="00E65C03">
            <w:pPr>
              <w:spacing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Total</w:t>
            </w:r>
          </w:p>
        </w:tc>
      </w:tr>
      <w:tr w:rsidR="00AD2F03" w:rsidRPr="004D4B7A" w14:paraId="20A5D59B" w14:textId="77777777" w:rsidTr="00E65C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85" w:type="dxa"/>
            <w:noWrap/>
            <w:hideMark/>
          </w:tcPr>
          <w:p w14:paraId="73DCCD46" w14:textId="77777777" w:rsidR="00AD2F03" w:rsidRPr="004D4B7A" w:rsidRDefault="00AD2F03" w:rsidP="00E65C03">
            <w:pPr>
              <w:spacing w:line="240" w:lineRule="auto"/>
              <w:rPr>
                <w:rFonts w:ascii="Calibri" w:eastAsia="Times New Roman" w:hAnsi="Calibri" w:cs="Calibri"/>
                <w:color w:val="000000"/>
              </w:rPr>
            </w:pPr>
            <w:r>
              <w:rPr>
                <w:rFonts w:ascii="Calibri" w:hAnsi="Calibri" w:cs="Calibri"/>
                <w:color w:val="000000"/>
                <w:sz w:val="22"/>
              </w:rPr>
              <w:t>Agricultural</w:t>
            </w:r>
          </w:p>
        </w:tc>
        <w:tc>
          <w:tcPr>
            <w:tcW w:w="1086" w:type="dxa"/>
            <w:noWrap/>
            <w:hideMark/>
          </w:tcPr>
          <w:p w14:paraId="78BBEC97" w14:textId="77777777" w:rsidR="00AD2F03" w:rsidRPr="004D4B7A"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70</w:t>
            </w:r>
          </w:p>
        </w:tc>
        <w:tc>
          <w:tcPr>
            <w:tcW w:w="1298" w:type="dxa"/>
            <w:noWrap/>
            <w:hideMark/>
          </w:tcPr>
          <w:p w14:paraId="5C7047ED" w14:textId="77777777" w:rsidR="00AD2F03" w:rsidRPr="004D4B7A"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10</w:t>
            </w:r>
          </w:p>
        </w:tc>
        <w:tc>
          <w:tcPr>
            <w:tcW w:w="960" w:type="dxa"/>
            <w:noWrap/>
            <w:hideMark/>
          </w:tcPr>
          <w:p w14:paraId="5A843EAA" w14:textId="77777777" w:rsidR="00AD2F03" w:rsidRPr="004D4B7A"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20</w:t>
            </w:r>
          </w:p>
        </w:tc>
        <w:tc>
          <w:tcPr>
            <w:tcW w:w="960" w:type="dxa"/>
            <w:noWrap/>
            <w:hideMark/>
          </w:tcPr>
          <w:p w14:paraId="1E64EB5B" w14:textId="77777777" w:rsidR="00AD2F03" w:rsidRPr="004D4B7A"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100</w:t>
            </w:r>
          </w:p>
        </w:tc>
      </w:tr>
      <w:tr w:rsidR="00AD2F03" w:rsidRPr="004D4B7A" w14:paraId="4262349A" w14:textId="77777777" w:rsidTr="00E65C03">
        <w:trPr>
          <w:trHeight w:val="288"/>
        </w:trPr>
        <w:tc>
          <w:tcPr>
            <w:cnfStyle w:val="001000000000" w:firstRow="0" w:lastRow="0" w:firstColumn="1" w:lastColumn="0" w:oddVBand="0" w:evenVBand="0" w:oddHBand="0" w:evenHBand="0" w:firstRowFirstColumn="0" w:firstRowLastColumn="0" w:lastRowFirstColumn="0" w:lastRowLastColumn="0"/>
            <w:tcW w:w="2185" w:type="dxa"/>
            <w:noWrap/>
            <w:hideMark/>
          </w:tcPr>
          <w:p w14:paraId="15006318" w14:textId="77777777" w:rsidR="00AD2F03" w:rsidRPr="004D4B7A" w:rsidRDefault="00AD2F03" w:rsidP="00E65C03">
            <w:pPr>
              <w:spacing w:line="240" w:lineRule="auto"/>
              <w:rPr>
                <w:rFonts w:ascii="Calibri" w:eastAsia="Times New Roman" w:hAnsi="Calibri" w:cs="Calibri"/>
                <w:color w:val="000000"/>
              </w:rPr>
            </w:pPr>
            <w:r>
              <w:rPr>
                <w:rFonts w:ascii="Calibri" w:hAnsi="Calibri" w:cs="Calibri"/>
                <w:color w:val="000000"/>
                <w:sz w:val="22"/>
              </w:rPr>
              <w:t>Airplane</w:t>
            </w:r>
          </w:p>
        </w:tc>
        <w:tc>
          <w:tcPr>
            <w:tcW w:w="1086" w:type="dxa"/>
            <w:noWrap/>
            <w:hideMark/>
          </w:tcPr>
          <w:p w14:paraId="4AE643A5" w14:textId="77777777" w:rsidR="00AD2F03" w:rsidRPr="004D4B7A"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70</w:t>
            </w:r>
          </w:p>
        </w:tc>
        <w:tc>
          <w:tcPr>
            <w:tcW w:w="1298" w:type="dxa"/>
            <w:noWrap/>
            <w:hideMark/>
          </w:tcPr>
          <w:p w14:paraId="7EBDE60E" w14:textId="77777777" w:rsidR="00AD2F03" w:rsidRPr="004D4B7A"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10</w:t>
            </w:r>
          </w:p>
        </w:tc>
        <w:tc>
          <w:tcPr>
            <w:tcW w:w="960" w:type="dxa"/>
            <w:noWrap/>
            <w:hideMark/>
          </w:tcPr>
          <w:p w14:paraId="562FB479" w14:textId="77777777" w:rsidR="00AD2F03" w:rsidRPr="004D4B7A"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20</w:t>
            </w:r>
          </w:p>
        </w:tc>
        <w:tc>
          <w:tcPr>
            <w:tcW w:w="960" w:type="dxa"/>
            <w:noWrap/>
            <w:hideMark/>
          </w:tcPr>
          <w:p w14:paraId="7F2B7CDD" w14:textId="77777777" w:rsidR="00AD2F03" w:rsidRPr="004D4B7A"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100</w:t>
            </w:r>
          </w:p>
        </w:tc>
      </w:tr>
      <w:tr w:rsidR="00AD2F03" w:rsidRPr="004D4B7A" w14:paraId="119D991F" w14:textId="77777777" w:rsidTr="00E65C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85" w:type="dxa"/>
            <w:noWrap/>
            <w:hideMark/>
          </w:tcPr>
          <w:p w14:paraId="4C88DDC6" w14:textId="77777777" w:rsidR="00AD2F03" w:rsidRPr="004D4B7A" w:rsidRDefault="00AD2F03" w:rsidP="00E65C03">
            <w:pPr>
              <w:spacing w:line="240" w:lineRule="auto"/>
              <w:rPr>
                <w:rFonts w:ascii="Calibri" w:eastAsia="Times New Roman" w:hAnsi="Calibri" w:cs="Calibri"/>
                <w:color w:val="000000"/>
              </w:rPr>
            </w:pPr>
            <w:r>
              <w:rPr>
                <w:rFonts w:ascii="Calibri" w:hAnsi="Calibri" w:cs="Calibri"/>
                <w:color w:val="000000"/>
                <w:sz w:val="22"/>
              </w:rPr>
              <w:t>Baseball diamond</w:t>
            </w:r>
          </w:p>
        </w:tc>
        <w:tc>
          <w:tcPr>
            <w:tcW w:w="1086" w:type="dxa"/>
            <w:noWrap/>
            <w:hideMark/>
          </w:tcPr>
          <w:p w14:paraId="39B0C900" w14:textId="77777777" w:rsidR="00AD2F03" w:rsidRPr="004D4B7A"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70</w:t>
            </w:r>
          </w:p>
        </w:tc>
        <w:tc>
          <w:tcPr>
            <w:tcW w:w="1298" w:type="dxa"/>
            <w:noWrap/>
            <w:hideMark/>
          </w:tcPr>
          <w:p w14:paraId="4E1BD732" w14:textId="77777777" w:rsidR="00AD2F03" w:rsidRPr="004D4B7A"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10</w:t>
            </w:r>
          </w:p>
        </w:tc>
        <w:tc>
          <w:tcPr>
            <w:tcW w:w="960" w:type="dxa"/>
            <w:noWrap/>
            <w:hideMark/>
          </w:tcPr>
          <w:p w14:paraId="1D1B7CF9" w14:textId="77777777" w:rsidR="00AD2F03" w:rsidRPr="004D4B7A"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20</w:t>
            </w:r>
          </w:p>
        </w:tc>
        <w:tc>
          <w:tcPr>
            <w:tcW w:w="960" w:type="dxa"/>
            <w:noWrap/>
            <w:hideMark/>
          </w:tcPr>
          <w:p w14:paraId="42960DD6" w14:textId="77777777" w:rsidR="00AD2F03" w:rsidRPr="004D4B7A"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100</w:t>
            </w:r>
          </w:p>
        </w:tc>
      </w:tr>
      <w:tr w:rsidR="00AD2F03" w:rsidRPr="004D4B7A" w14:paraId="27F35EA1" w14:textId="77777777" w:rsidTr="00E65C03">
        <w:trPr>
          <w:trHeight w:val="288"/>
        </w:trPr>
        <w:tc>
          <w:tcPr>
            <w:cnfStyle w:val="001000000000" w:firstRow="0" w:lastRow="0" w:firstColumn="1" w:lastColumn="0" w:oddVBand="0" w:evenVBand="0" w:oddHBand="0" w:evenHBand="0" w:firstRowFirstColumn="0" w:firstRowLastColumn="0" w:lastRowFirstColumn="0" w:lastRowLastColumn="0"/>
            <w:tcW w:w="2185" w:type="dxa"/>
            <w:noWrap/>
            <w:hideMark/>
          </w:tcPr>
          <w:p w14:paraId="6607ED96" w14:textId="77777777" w:rsidR="00AD2F03" w:rsidRPr="004D4B7A" w:rsidRDefault="00AD2F03" w:rsidP="00E65C03">
            <w:pPr>
              <w:spacing w:line="240" w:lineRule="auto"/>
              <w:rPr>
                <w:rFonts w:ascii="Calibri" w:eastAsia="Times New Roman" w:hAnsi="Calibri" w:cs="Calibri"/>
                <w:color w:val="000000"/>
              </w:rPr>
            </w:pPr>
            <w:r>
              <w:rPr>
                <w:rFonts w:ascii="Calibri" w:hAnsi="Calibri" w:cs="Calibri"/>
                <w:color w:val="000000"/>
                <w:sz w:val="22"/>
              </w:rPr>
              <w:t>Beach</w:t>
            </w:r>
          </w:p>
        </w:tc>
        <w:tc>
          <w:tcPr>
            <w:tcW w:w="1086" w:type="dxa"/>
            <w:noWrap/>
            <w:hideMark/>
          </w:tcPr>
          <w:p w14:paraId="59327D97" w14:textId="77777777" w:rsidR="00AD2F03" w:rsidRPr="004D4B7A"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70</w:t>
            </w:r>
          </w:p>
        </w:tc>
        <w:tc>
          <w:tcPr>
            <w:tcW w:w="1298" w:type="dxa"/>
            <w:noWrap/>
            <w:hideMark/>
          </w:tcPr>
          <w:p w14:paraId="0108EB7E" w14:textId="77777777" w:rsidR="00AD2F03" w:rsidRPr="004D4B7A"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10</w:t>
            </w:r>
          </w:p>
        </w:tc>
        <w:tc>
          <w:tcPr>
            <w:tcW w:w="960" w:type="dxa"/>
            <w:noWrap/>
            <w:hideMark/>
          </w:tcPr>
          <w:p w14:paraId="4E3EE7E3" w14:textId="77777777" w:rsidR="00AD2F03" w:rsidRPr="004D4B7A"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20</w:t>
            </w:r>
          </w:p>
        </w:tc>
        <w:tc>
          <w:tcPr>
            <w:tcW w:w="960" w:type="dxa"/>
            <w:noWrap/>
            <w:hideMark/>
          </w:tcPr>
          <w:p w14:paraId="5E52C243" w14:textId="77777777" w:rsidR="00AD2F03" w:rsidRPr="004D4B7A"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100</w:t>
            </w:r>
          </w:p>
        </w:tc>
      </w:tr>
      <w:tr w:rsidR="00AD2F03" w:rsidRPr="004D4B7A" w14:paraId="477F1BAA" w14:textId="77777777" w:rsidTr="00E65C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85" w:type="dxa"/>
            <w:noWrap/>
            <w:hideMark/>
          </w:tcPr>
          <w:p w14:paraId="3E821B9B" w14:textId="77777777" w:rsidR="00AD2F03" w:rsidRPr="004D4B7A" w:rsidRDefault="00AD2F03" w:rsidP="00E65C03">
            <w:pPr>
              <w:spacing w:line="240" w:lineRule="auto"/>
              <w:rPr>
                <w:rFonts w:ascii="Calibri" w:eastAsia="Times New Roman" w:hAnsi="Calibri" w:cs="Calibri"/>
                <w:color w:val="000000"/>
              </w:rPr>
            </w:pPr>
            <w:r>
              <w:rPr>
                <w:rFonts w:ascii="Calibri" w:hAnsi="Calibri" w:cs="Calibri"/>
                <w:color w:val="000000"/>
                <w:sz w:val="22"/>
              </w:rPr>
              <w:t>Buildings</w:t>
            </w:r>
          </w:p>
        </w:tc>
        <w:tc>
          <w:tcPr>
            <w:tcW w:w="1086" w:type="dxa"/>
            <w:noWrap/>
            <w:hideMark/>
          </w:tcPr>
          <w:p w14:paraId="2069F056" w14:textId="77777777" w:rsidR="00AD2F03" w:rsidRPr="004D4B7A"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70</w:t>
            </w:r>
          </w:p>
        </w:tc>
        <w:tc>
          <w:tcPr>
            <w:tcW w:w="1298" w:type="dxa"/>
            <w:noWrap/>
            <w:hideMark/>
          </w:tcPr>
          <w:p w14:paraId="1B35E3B8" w14:textId="77777777" w:rsidR="00AD2F03" w:rsidRPr="004D4B7A"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10</w:t>
            </w:r>
          </w:p>
        </w:tc>
        <w:tc>
          <w:tcPr>
            <w:tcW w:w="960" w:type="dxa"/>
            <w:noWrap/>
            <w:hideMark/>
          </w:tcPr>
          <w:p w14:paraId="7D6DC077" w14:textId="77777777" w:rsidR="00AD2F03" w:rsidRPr="004D4B7A"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20</w:t>
            </w:r>
          </w:p>
        </w:tc>
        <w:tc>
          <w:tcPr>
            <w:tcW w:w="960" w:type="dxa"/>
            <w:noWrap/>
            <w:hideMark/>
          </w:tcPr>
          <w:p w14:paraId="767D7F07" w14:textId="77777777" w:rsidR="00AD2F03" w:rsidRPr="004D4B7A"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100</w:t>
            </w:r>
          </w:p>
        </w:tc>
      </w:tr>
      <w:tr w:rsidR="00AD2F03" w:rsidRPr="004D4B7A" w14:paraId="758A9BE3" w14:textId="77777777" w:rsidTr="00E65C03">
        <w:trPr>
          <w:trHeight w:val="288"/>
        </w:trPr>
        <w:tc>
          <w:tcPr>
            <w:cnfStyle w:val="001000000000" w:firstRow="0" w:lastRow="0" w:firstColumn="1" w:lastColumn="0" w:oddVBand="0" w:evenVBand="0" w:oddHBand="0" w:evenHBand="0" w:firstRowFirstColumn="0" w:firstRowLastColumn="0" w:lastRowFirstColumn="0" w:lastRowLastColumn="0"/>
            <w:tcW w:w="2185" w:type="dxa"/>
            <w:noWrap/>
            <w:hideMark/>
          </w:tcPr>
          <w:p w14:paraId="725526CA" w14:textId="77777777" w:rsidR="00AD2F03" w:rsidRPr="004D4B7A" w:rsidRDefault="00AD2F03" w:rsidP="00E65C03">
            <w:pPr>
              <w:spacing w:line="240" w:lineRule="auto"/>
              <w:rPr>
                <w:rFonts w:ascii="Calibri" w:eastAsia="Times New Roman" w:hAnsi="Calibri" w:cs="Calibri"/>
                <w:color w:val="000000"/>
              </w:rPr>
            </w:pPr>
            <w:r>
              <w:rPr>
                <w:rFonts w:ascii="Calibri" w:hAnsi="Calibri" w:cs="Calibri"/>
                <w:color w:val="000000"/>
                <w:sz w:val="22"/>
              </w:rPr>
              <w:t>Chaparral</w:t>
            </w:r>
          </w:p>
        </w:tc>
        <w:tc>
          <w:tcPr>
            <w:tcW w:w="1086" w:type="dxa"/>
            <w:noWrap/>
            <w:hideMark/>
          </w:tcPr>
          <w:p w14:paraId="47BE1203" w14:textId="77777777" w:rsidR="00AD2F03" w:rsidRPr="004D4B7A"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70</w:t>
            </w:r>
          </w:p>
        </w:tc>
        <w:tc>
          <w:tcPr>
            <w:tcW w:w="1298" w:type="dxa"/>
            <w:noWrap/>
            <w:hideMark/>
          </w:tcPr>
          <w:p w14:paraId="61C5D607" w14:textId="77777777" w:rsidR="00AD2F03" w:rsidRPr="004D4B7A"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10</w:t>
            </w:r>
          </w:p>
        </w:tc>
        <w:tc>
          <w:tcPr>
            <w:tcW w:w="960" w:type="dxa"/>
            <w:noWrap/>
            <w:hideMark/>
          </w:tcPr>
          <w:p w14:paraId="7DB0BBAE" w14:textId="77777777" w:rsidR="00AD2F03" w:rsidRPr="004D4B7A"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20</w:t>
            </w:r>
          </w:p>
        </w:tc>
        <w:tc>
          <w:tcPr>
            <w:tcW w:w="960" w:type="dxa"/>
            <w:noWrap/>
            <w:hideMark/>
          </w:tcPr>
          <w:p w14:paraId="001D0D0F" w14:textId="77777777" w:rsidR="00AD2F03" w:rsidRPr="004D4B7A"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100</w:t>
            </w:r>
          </w:p>
        </w:tc>
      </w:tr>
      <w:tr w:rsidR="00AD2F03" w:rsidRPr="004D4B7A" w14:paraId="15784830" w14:textId="77777777" w:rsidTr="00E65C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85" w:type="dxa"/>
            <w:noWrap/>
            <w:hideMark/>
          </w:tcPr>
          <w:p w14:paraId="618B5072" w14:textId="77777777" w:rsidR="00AD2F03" w:rsidRPr="004D4B7A" w:rsidRDefault="00AD2F03" w:rsidP="00E65C03">
            <w:pPr>
              <w:spacing w:line="240" w:lineRule="auto"/>
              <w:rPr>
                <w:rFonts w:ascii="Calibri" w:eastAsia="Times New Roman" w:hAnsi="Calibri" w:cs="Calibri"/>
                <w:color w:val="000000"/>
              </w:rPr>
            </w:pPr>
            <w:r>
              <w:rPr>
                <w:rFonts w:ascii="Calibri" w:hAnsi="Calibri" w:cs="Calibri"/>
                <w:color w:val="000000"/>
                <w:sz w:val="22"/>
              </w:rPr>
              <w:t>Dense residential</w:t>
            </w:r>
          </w:p>
        </w:tc>
        <w:tc>
          <w:tcPr>
            <w:tcW w:w="1086" w:type="dxa"/>
            <w:noWrap/>
            <w:hideMark/>
          </w:tcPr>
          <w:p w14:paraId="389A0CBE" w14:textId="77777777" w:rsidR="00AD2F03" w:rsidRPr="004D4B7A"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70</w:t>
            </w:r>
          </w:p>
        </w:tc>
        <w:tc>
          <w:tcPr>
            <w:tcW w:w="1298" w:type="dxa"/>
            <w:noWrap/>
            <w:hideMark/>
          </w:tcPr>
          <w:p w14:paraId="08E79B03" w14:textId="77777777" w:rsidR="00AD2F03" w:rsidRPr="004D4B7A"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10</w:t>
            </w:r>
          </w:p>
        </w:tc>
        <w:tc>
          <w:tcPr>
            <w:tcW w:w="960" w:type="dxa"/>
            <w:noWrap/>
            <w:hideMark/>
          </w:tcPr>
          <w:p w14:paraId="3832683B" w14:textId="77777777" w:rsidR="00AD2F03" w:rsidRPr="004D4B7A"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20</w:t>
            </w:r>
          </w:p>
        </w:tc>
        <w:tc>
          <w:tcPr>
            <w:tcW w:w="960" w:type="dxa"/>
            <w:noWrap/>
            <w:hideMark/>
          </w:tcPr>
          <w:p w14:paraId="00D5645F" w14:textId="77777777" w:rsidR="00AD2F03" w:rsidRPr="004D4B7A"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100</w:t>
            </w:r>
          </w:p>
        </w:tc>
      </w:tr>
      <w:tr w:rsidR="00AD2F03" w:rsidRPr="004D4B7A" w14:paraId="11E18FD9" w14:textId="77777777" w:rsidTr="00E65C03">
        <w:trPr>
          <w:trHeight w:val="288"/>
        </w:trPr>
        <w:tc>
          <w:tcPr>
            <w:cnfStyle w:val="001000000000" w:firstRow="0" w:lastRow="0" w:firstColumn="1" w:lastColumn="0" w:oddVBand="0" w:evenVBand="0" w:oddHBand="0" w:evenHBand="0" w:firstRowFirstColumn="0" w:firstRowLastColumn="0" w:lastRowFirstColumn="0" w:lastRowLastColumn="0"/>
            <w:tcW w:w="2185" w:type="dxa"/>
            <w:noWrap/>
            <w:hideMark/>
          </w:tcPr>
          <w:p w14:paraId="42760B57" w14:textId="77777777" w:rsidR="00AD2F03" w:rsidRPr="004D4B7A" w:rsidRDefault="00AD2F03" w:rsidP="00E65C03">
            <w:pPr>
              <w:spacing w:line="240" w:lineRule="auto"/>
              <w:rPr>
                <w:rFonts w:ascii="Calibri" w:eastAsia="Times New Roman" w:hAnsi="Calibri" w:cs="Calibri"/>
                <w:color w:val="000000"/>
              </w:rPr>
            </w:pPr>
            <w:r>
              <w:rPr>
                <w:rFonts w:ascii="Calibri" w:hAnsi="Calibri" w:cs="Calibri"/>
                <w:color w:val="000000"/>
                <w:sz w:val="22"/>
              </w:rPr>
              <w:t>Forest</w:t>
            </w:r>
          </w:p>
        </w:tc>
        <w:tc>
          <w:tcPr>
            <w:tcW w:w="1086" w:type="dxa"/>
            <w:noWrap/>
            <w:hideMark/>
          </w:tcPr>
          <w:p w14:paraId="459DECE6" w14:textId="77777777" w:rsidR="00AD2F03" w:rsidRPr="004D4B7A"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70</w:t>
            </w:r>
          </w:p>
        </w:tc>
        <w:tc>
          <w:tcPr>
            <w:tcW w:w="1298" w:type="dxa"/>
            <w:noWrap/>
            <w:hideMark/>
          </w:tcPr>
          <w:p w14:paraId="5695FF15" w14:textId="77777777" w:rsidR="00AD2F03" w:rsidRPr="004D4B7A"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10</w:t>
            </w:r>
          </w:p>
        </w:tc>
        <w:tc>
          <w:tcPr>
            <w:tcW w:w="960" w:type="dxa"/>
            <w:noWrap/>
            <w:hideMark/>
          </w:tcPr>
          <w:p w14:paraId="5367A610" w14:textId="77777777" w:rsidR="00AD2F03" w:rsidRPr="004D4B7A"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20</w:t>
            </w:r>
          </w:p>
        </w:tc>
        <w:tc>
          <w:tcPr>
            <w:tcW w:w="960" w:type="dxa"/>
            <w:noWrap/>
            <w:hideMark/>
          </w:tcPr>
          <w:p w14:paraId="4A5AA10F" w14:textId="77777777" w:rsidR="00AD2F03" w:rsidRPr="004D4B7A"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100</w:t>
            </w:r>
          </w:p>
        </w:tc>
      </w:tr>
      <w:tr w:rsidR="00AD2F03" w:rsidRPr="004D4B7A" w14:paraId="44FD1BF8" w14:textId="77777777" w:rsidTr="00E65C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85" w:type="dxa"/>
            <w:noWrap/>
            <w:hideMark/>
          </w:tcPr>
          <w:p w14:paraId="155831AE" w14:textId="77777777" w:rsidR="00AD2F03" w:rsidRPr="004D4B7A" w:rsidRDefault="00AD2F03" w:rsidP="00E65C03">
            <w:pPr>
              <w:spacing w:line="240" w:lineRule="auto"/>
              <w:rPr>
                <w:rFonts w:ascii="Calibri" w:eastAsia="Times New Roman" w:hAnsi="Calibri" w:cs="Calibri"/>
                <w:color w:val="000000"/>
              </w:rPr>
            </w:pPr>
            <w:r>
              <w:rPr>
                <w:rFonts w:ascii="Calibri" w:hAnsi="Calibri" w:cs="Calibri"/>
                <w:color w:val="000000"/>
                <w:sz w:val="22"/>
              </w:rPr>
              <w:t>Freeway</w:t>
            </w:r>
          </w:p>
        </w:tc>
        <w:tc>
          <w:tcPr>
            <w:tcW w:w="1086" w:type="dxa"/>
            <w:noWrap/>
            <w:hideMark/>
          </w:tcPr>
          <w:p w14:paraId="73769C60" w14:textId="77777777" w:rsidR="00AD2F03" w:rsidRPr="004D4B7A"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70</w:t>
            </w:r>
          </w:p>
        </w:tc>
        <w:tc>
          <w:tcPr>
            <w:tcW w:w="1298" w:type="dxa"/>
            <w:noWrap/>
            <w:hideMark/>
          </w:tcPr>
          <w:p w14:paraId="285A099C" w14:textId="77777777" w:rsidR="00AD2F03" w:rsidRPr="004D4B7A"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10</w:t>
            </w:r>
          </w:p>
        </w:tc>
        <w:tc>
          <w:tcPr>
            <w:tcW w:w="960" w:type="dxa"/>
            <w:noWrap/>
            <w:hideMark/>
          </w:tcPr>
          <w:p w14:paraId="212F6D88" w14:textId="77777777" w:rsidR="00AD2F03" w:rsidRPr="004D4B7A"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20</w:t>
            </w:r>
          </w:p>
        </w:tc>
        <w:tc>
          <w:tcPr>
            <w:tcW w:w="960" w:type="dxa"/>
            <w:noWrap/>
            <w:hideMark/>
          </w:tcPr>
          <w:p w14:paraId="3389B54D" w14:textId="77777777" w:rsidR="00AD2F03" w:rsidRPr="004D4B7A"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100</w:t>
            </w:r>
          </w:p>
        </w:tc>
      </w:tr>
      <w:tr w:rsidR="00AD2F03" w:rsidRPr="004D4B7A" w14:paraId="3AF40E55" w14:textId="77777777" w:rsidTr="00E65C03">
        <w:trPr>
          <w:trHeight w:val="288"/>
        </w:trPr>
        <w:tc>
          <w:tcPr>
            <w:cnfStyle w:val="001000000000" w:firstRow="0" w:lastRow="0" w:firstColumn="1" w:lastColumn="0" w:oddVBand="0" w:evenVBand="0" w:oddHBand="0" w:evenHBand="0" w:firstRowFirstColumn="0" w:firstRowLastColumn="0" w:lastRowFirstColumn="0" w:lastRowLastColumn="0"/>
            <w:tcW w:w="2185" w:type="dxa"/>
            <w:noWrap/>
            <w:hideMark/>
          </w:tcPr>
          <w:p w14:paraId="3D26E07F" w14:textId="77777777" w:rsidR="00AD2F03" w:rsidRPr="004D4B7A" w:rsidRDefault="00AD2F03" w:rsidP="00E65C03">
            <w:pPr>
              <w:spacing w:line="240" w:lineRule="auto"/>
              <w:rPr>
                <w:rFonts w:ascii="Calibri" w:eastAsia="Times New Roman" w:hAnsi="Calibri" w:cs="Calibri"/>
                <w:color w:val="000000"/>
              </w:rPr>
            </w:pPr>
            <w:r>
              <w:rPr>
                <w:rFonts w:ascii="Calibri" w:hAnsi="Calibri" w:cs="Calibri"/>
                <w:color w:val="000000"/>
                <w:sz w:val="22"/>
              </w:rPr>
              <w:t>Golf course</w:t>
            </w:r>
          </w:p>
        </w:tc>
        <w:tc>
          <w:tcPr>
            <w:tcW w:w="1086" w:type="dxa"/>
            <w:noWrap/>
            <w:hideMark/>
          </w:tcPr>
          <w:p w14:paraId="177F3517" w14:textId="77777777" w:rsidR="00AD2F03" w:rsidRPr="004D4B7A"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70</w:t>
            </w:r>
          </w:p>
        </w:tc>
        <w:tc>
          <w:tcPr>
            <w:tcW w:w="1298" w:type="dxa"/>
            <w:noWrap/>
            <w:hideMark/>
          </w:tcPr>
          <w:p w14:paraId="06247BBD" w14:textId="77777777" w:rsidR="00AD2F03" w:rsidRPr="004D4B7A"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10</w:t>
            </w:r>
          </w:p>
        </w:tc>
        <w:tc>
          <w:tcPr>
            <w:tcW w:w="960" w:type="dxa"/>
            <w:noWrap/>
            <w:hideMark/>
          </w:tcPr>
          <w:p w14:paraId="40ABC6F8" w14:textId="77777777" w:rsidR="00AD2F03" w:rsidRPr="004D4B7A"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20</w:t>
            </w:r>
          </w:p>
        </w:tc>
        <w:tc>
          <w:tcPr>
            <w:tcW w:w="960" w:type="dxa"/>
            <w:noWrap/>
            <w:hideMark/>
          </w:tcPr>
          <w:p w14:paraId="18FCF29C" w14:textId="77777777" w:rsidR="00AD2F03" w:rsidRPr="004D4B7A"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100</w:t>
            </w:r>
          </w:p>
        </w:tc>
      </w:tr>
      <w:tr w:rsidR="00AD2F03" w:rsidRPr="004D4B7A" w14:paraId="5765DB78" w14:textId="77777777" w:rsidTr="00E65C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85" w:type="dxa"/>
            <w:noWrap/>
            <w:hideMark/>
          </w:tcPr>
          <w:p w14:paraId="3FD6AD8B" w14:textId="77777777" w:rsidR="00AD2F03" w:rsidRPr="004D4B7A" w:rsidRDefault="00AD2F03" w:rsidP="00E65C03">
            <w:pPr>
              <w:spacing w:line="240" w:lineRule="auto"/>
              <w:rPr>
                <w:rFonts w:ascii="Calibri" w:eastAsia="Times New Roman" w:hAnsi="Calibri" w:cs="Calibri"/>
                <w:color w:val="000000"/>
              </w:rPr>
            </w:pPr>
            <w:r>
              <w:rPr>
                <w:rFonts w:ascii="Calibri" w:hAnsi="Calibri" w:cs="Calibri"/>
                <w:color w:val="000000"/>
                <w:sz w:val="22"/>
              </w:rPr>
              <w:t>Harbor</w:t>
            </w:r>
          </w:p>
        </w:tc>
        <w:tc>
          <w:tcPr>
            <w:tcW w:w="1086" w:type="dxa"/>
            <w:noWrap/>
            <w:hideMark/>
          </w:tcPr>
          <w:p w14:paraId="29CC7F18" w14:textId="77777777" w:rsidR="00AD2F03" w:rsidRPr="004D4B7A"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70</w:t>
            </w:r>
          </w:p>
        </w:tc>
        <w:tc>
          <w:tcPr>
            <w:tcW w:w="1298" w:type="dxa"/>
            <w:noWrap/>
            <w:hideMark/>
          </w:tcPr>
          <w:p w14:paraId="25348E24" w14:textId="77777777" w:rsidR="00AD2F03" w:rsidRPr="004D4B7A"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10</w:t>
            </w:r>
          </w:p>
        </w:tc>
        <w:tc>
          <w:tcPr>
            <w:tcW w:w="960" w:type="dxa"/>
            <w:noWrap/>
            <w:hideMark/>
          </w:tcPr>
          <w:p w14:paraId="6C3DCD6C" w14:textId="77777777" w:rsidR="00AD2F03" w:rsidRPr="004D4B7A"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20</w:t>
            </w:r>
          </w:p>
        </w:tc>
        <w:tc>
          <w:tcPr>
            <w:tcW w:w="960" w:type="dxa"/>
            <w:noWrap/>
            <w:hideMark/>
          </w:tcPr>
          <w:p w14:paraId="19FE99FA" w14:textId="77777777" w:rsidR="00AD2F03" w:rsidRPr="004D4B7A"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100</w:t>
            </w:r>
          </w:p>
        </w:tc>
      </w:tr>
      <w:tr w:rsidR="00AD2F03" w:rsidRPr="004D4B7A" w14:paraId="1C7300F3" w14:textId="77777777" w:rsidTr="00E65C03">
        <w:trPr>
          <w:trHeight w:val="288"/>
        </w:trPr>
        <w:tc>
          <w:tcPr>
            <w:cnfStyle w:val="001000000000" w:firstRow="0" w:lastRow="0" w:firstColumn="1" w:lastColumn="0" w:oddVBand="0" w:evenVBand="0" w:oddHBand="0" w:evenHBand="0" w:firstRowFirstColumn="0" w:firstRowLastColumn="0" w:lastRowFirstColumn="0" w:lastRowLastColumn="0"/>
            <w:tcW w:w="2185" w:type="dxa"/>
            <w:noWrap/>
            <w:hideMark/>
          </w:tcPr>
          <w:p w14:paraId="79A167A7" w14:textId="77777777" w:rsidR="00AD2F03" w:rsidRPr="004D4B7A" w:rsidRDefault="00AD2F03" w:rsidP="00E65C03">
            <w:pPr>
              <w:spacing w:line="240" w:lineRule="auto"/>
              <w:rPr>
                <w:rFonts w:ascii="Calibri" w:eastAsia="Times New Roman" w:hAnsi="Calibri" w:cs="Calibri"/>
                <w:color w:val="000000"/>
              </w:rPr>
            </w:pPr>
            <w:r>
              <w:rPr>
                <w:rFonts w:ascii="Calibri" w:hAnsi="Calibri" w:cs="Calibri"/>
                <w:color w:val="000000"/>
                <w:sz w:val="22"/>
              </w:rPr>
              <w:t>Intersection</w:t>
            </w:r>
          </w:p>
        </w:tc>
        <w:tc>
          <w:tcPr>
            <w:tcW w:w="1086" w:type="dxa"/>
            <w:noWrap/>
            <w:hideMark/>
          </w:tcPr>
          <w:p w14:paraId="4012626F" w14:textId="77777777" w:rsidR="00AD2F03" w:rsidRPr="004D4B7A"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70</w:t>
            </w:r>
          </w:p>
        </w:tc>
        <w:tc>
          <w:tcPr>
            <w:tcW w:w="1298" w:type="dxa"/>
            <w:noWrap/>
            <w:hideMark/>
          </w:tcPr>
          <w:p w14:paraId="1C572467" w14:textId="77777777" w:rsidR="00AD2F03" w:rsidRPr="004D4B7A"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10</w:t>
            </w:r>
          </w:p>
        </w:tc>
        <w:tc>
          <w:tcPr>
            <w:tcW w:w="960" w:type="dxa"/>
            <w:noWrap/>
            <w:hideMark/>
          </w:tcPr>
          <w:p w14:paraId="561C425B" w14:textId="77777777" w:rsidR="00AD2F03" w:rsidRPr="004D4B7A"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20</w:t>
            </w:r>
          </w:p>
        </w:tc>
        <w:tc>
          <w:tcPr>
            <w:tcW w:w="960" w:type="dxa"/>
            <w:noWrap/>
            <w:hideMark/>
          </w:tcPr>
          <w:p w14:paraId="152A8D14" w14:textId="77777777" w:rsidR="00AD2F03" w:rsidRPr="004D4B7A"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100</w:t>
            </w:r>
          </w:p>
        </w:tc>
      </w:tr>
      <w:tr w:rsidR="00AD2F03" w:rsidRPr="004D4B7A" w14:paraId="74E508B7" w14:textId="77777777" w:rsidTr="00E65C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85" w:type="dxa"/>
            <w:noWrap/>
            <w:hideMark/>
          </w:tcPr>
          <w:p w14:paraId="02F8251A" w14:textId="77777777" w:rsidR="00AD2F03" w:rsidRPr="004D4B7A" w:rsidRDefault="00AD2F03" w:rsidP="00E65C03">
            <w:pPr>
              <w:spacing w:line="240" w:lineRule="auto"/>
              <w:rPr>
                <w:rFonts w:ascii="Calibri" w:eastAsia="Times New Roman" w:hAnsi="Calibri" w:cs="Calibri"/>
                <w:color w:val="000000"/>
              </w:rPr>
            </w:pPr>
            <w:r>
              <w:rPr>
                <w:rFonts w:ascii="Calibri" w:hAnsi="Calibri" w:cs="Calibri"/>
                <w:color w:val="000000"/>
                <w:sz w:val="22"/>
              </w:rPr>
              <w:t>Medium residential</w:t>
            </w:r>
          </w:p>
        </w:tc>
        <w:tc>
          <w:tcPr>
            <w:tcW w:w="1086" w:type="dxa"/>
            <w:noWrap/>
            <w:hideMark/>
          </w:tcPr>
          <w:p w14:paraId="04B3FA1D" w14:textId="77777777" w:rsidR="00AD2F03" w:rsidRPr="004D4B7A"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70</w:t>
            </w:r>
          </w:p>
        </w:tc>
        <w:tc>
          <w:tcPr>
            <w:tcW w:w="1298" w:type="dxa"/>
            <w:noWrap/>
            <w:hideMark/>
          </w:tcPr>
          <w:p w14:paraId="078EEFB3" w14:textId="77777777" w:rsidR="00AD2F03" w:rsidRPr="004D4B7A"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10</w:t>
            </w:r>
          </w:p>
        </w:tc>
        <w:tc>
          <w:tcPr>
            <w:tcW w:w="960" w:type="dxa"/>
            <w:noWrap/>
            <w:hideMark/>
          </w:tcPr>
          <w:p w14:paraId="118E633D" w14:textId="77777777" w:rsidR="00AD2F03" w:rsidRPr="004D4B7A"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20</w:t>
            </w:r>
          </w:p>
        </w:tc>
        <w:tc>
          <w:tcPr>
            <w:tcW w:w="960" w:type="dxa"/>
            <w:noWrap/>
            <w:hideMark/>
          </w:tcPr>
          <w:p w14:paraId="1E81CEBE" w14:textId="77777777" w:rsidR="00AD2F03" w:rsidRPr="004D4B7A"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100</w:t>
            </w:r>
          </w:p>
        </w:tc>
      </w:tr>
      <w:tr w:rsidR="00AD2F03" w:rsidRPr="004D4B7A" w14:paraId="63136AEF" w14:textId="77777777" w:rsidTr="00E65C03">
        <w:trPr>
          <w:trHeight w:val="288"/>
        </w:trPr>
        <w:tc>
          <w:tcPr>
            <w:cnfStyle w:val="001000000000" w:firstRow="0" w:lastRow="0" w:firstColumn="1" w:lastColumn="0" w:oddVBand="0" w:evenVBand="0" w:oddHBand="0" w:evenHBand="0" w:firstRowFirstColumn="0" w:firstRowLastColumn="0" w:lastRowFirstColumn="0" w:lastRowLastColumn="0"/>
            <w:tcW w:w="2185" w:type="dxa"/>
            <w:noWrap/>
            <w:hideMark/>
          </w:tcPr>
          <w:p w14:paraId="118C4F71" w14:textId="77777777" w:rsidR="00AD2F03" w:rsidRPr="004D4B7A" w:rsidRDefault="00AD2F03" w:rsidP="00E65C03">
            <w:pPr>
              <w:spacing w:line="240" w:lineRule="auto"/>
              <w:rPr>
                <w:rFonts w:ascii="Calibri" w:eastAsia="Times New Roman" w:hAnsi="Calibri" w:cs="Calibri"/>
                <w:color w:val="000000"/>
              </w:rPr>
            </w:pPr>
            <w:r>
              <w:rPr>
                <w:rFonts w:ascii="Calibri" w:hAnsi="Calibri" w:cs="Calibri"/>
                <w:color w:val="000000"/>
                <w:sz w:val="22"/>
              </w:rPr>
              <w:t>Mobile home park</w:t>
            </w:r>
          </w:p>
        </w:tc>
        <w:tc>
          <w:tcPr>
            <w:tcW w:w="1086" w:type="dxa"/>
            <w:noWrap/>
            <w:hideMark/>
          </w:tcPr>
          <w:p w14:paraId="4ED05860" w14:textId="77777777" w:rsidR="00AD2F03" w:rsidRPr="004D4B7A"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70</w:t>
            </w:r>
          </w:p>
        </w:tc>
        <w:tc>
          <w:tcPr>
            <w:tcW w:w="1298" w:type="dxa"/>
            <w:noWrap/>
            <w:hideMark/>
          </w:tcPr>
          <w:p w14:paraId="29DB28CD" w14:textId="77777777" w:rsidR="00AD2F03" w:rsidRPr="004D4B7A"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10</w:t>
            </w:r>
          </w:p>
        </w:tc>
        <w:tc>
          <w:tcPr>
            <w:tcW w:w="960" w:type="dxa"/>
            <w:noWrap/>
            <w:hideMark/>
          </w:tcPr>
          <w:p w14:paraId="57B916B7" w14:textId="77777777" w:rsidR="00AD2F03" w:rsidRPr="004D4B7A"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20</w:t>
            </w:r>
          </w:p>
        </w:tc>
        <w:tc>
          <w:tcPr>
            <w:tcW w:w="960" w:type="dxa"/>
            <w:noWrap/>
            <w:hideMark/>
          </w:tcPr>
          <w:p w14:paraId="72A946F0" w14:textId="77777777" w:rsidR="00AD2F03" w:rsidRPr="004D4B7A"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100</w:t>
            </w:r>
          </w:p>
        </w:tc>
      </w:tr>
      <w:tr w:rsidR="00AD2F03" w:rsidRPr="004D4B7A" w14:paraId="42B96763" w14:textId="77777777" w:rsidTr="00E65C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85" w:type="dxa"/>
            <w:noWrap/>
            <w:hideMark/>
          </w:tcPr>
          <w:p w14:paraId="7AFA3580" w14:textId="77777777" w:rsidR="00AD2F03" w:rsidRPr="004D4B7A" w:rsidRDefault="00AD2F03" w:rsidP="00E65C03">
            <w:pPr>
              <w:spacing w:line="240" w:lineRule="auto"/>
              <w:rPr>
                <w:rFonts w:ascii="Calibri" w:eastAsia="Times New Roman" w:hAnsi="Calibri" w:cs="Calibri"/>
                <w:color w:val="000000"/>
              </w:rPr>
            </w:pPr>
            <w:r>
              <w:rPr>
                <w:rFonts w:ascii="Calibri" w:hAnsi="Calibri" w:cs="Calibri"/>
                <w:color w:val="000000"/>
                <w:sz w:val="22"/>
              </w:rPr>
              <w:t>Overpass</w:t>
            </w:r>
          </w:p>
        </w:tc>
        <w:tc>
          <w:tcPr>
            <w:tcW w:w="1086" w:type="dxa"/>
            <w:noWrap/>
            <w:hideMark/>
          </w:tcPr>
          <w:p w14:paraId="6BE3782B" w14:textId="77777777" w:rsidR="00AD2F03" w:rsidRPr="004D4B7A"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70</w:t>
            </w:r>
          </w:p>
        </w:tc>
        <w:tc>
          <w:tcPr>
            <w:tcW w:w="1298" w:type="dxa"/>
            <w:noWrap/>
            <w:hideMark/>
          </w:tcPr>
          <w:p w14:paraId="1085EF74" w14:textId="77777777" w:rsidR="00AD2F03" w:rsidRPr="004D4B7A"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10</w:t>
            </w:r>
          </w:p>
        </w:tc>
        <w:tc>
          <w:tcPr>
            <w:tcW w:w="960" w:type="dxa"/>
            <w:noWrap/>
            <w:hideMark/>
          </w:tcPr>
          <w:p w14:paraId="7D3FE2EB" w14:textId="77777777" w:rsidR="00AD2F03" w:rsidRPr="004D4B7A"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20</w:t>
            </w:r>
          </w:p>
        </w:tc>
        <w:tc>
          <w:tcPr>
            <w:tcW w:w="960" w:type="dxa"/>
            <w:noWrap/>
            <w:hideMark/>
          </w:tcPr>
          <w:p w14:paraId="16F150E7" w14:textId="77777777" w:rsidR="00AD2F03" w:rsidRPr="004D4B7A"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100</w:t>
            </w:r>
          </w:p>
        </w:tc>
      </w:tr>
      <w:tr w:rsidR="00AD2F03" w:rsidRPr="004D4B7A" w14:paraId="5B04BE78" w14:textId="77777777" w:rsidTr="00E65C03">
        <w:trPr>
          <w:trHeight w:val="288"/>
        </w:trPr>
        <w:tc>
          <w:tcPr>
            <w:cnfStyle w:val="001000000000" w:firstRow="0" w:lastRow="0" w:firstColumn="1" w:lastColumn="0" w:oddVBand="0" w:evenVBand="0" w:oddHBand="0" w:evenHBand="0" w:firstRowFirstColumn="0" w:firstRowLastColumn="0" w:lastRowFirstColumn="0" w:lastRowLastColumn="0"/>
            <w:tcW w:w="2185" w:type="dxa"/>
            <w:noWrap/>
            <w:hideMark/>
          </w:tcPr>
          <w:p w14:paraId="5DC02704" w14:textId="77777777" w:rsidR="00AD2F03" w:rsidRPr="004D4B7A" w:rsidRDefault="00AD2F03" w:rsidP="00E65C03">
            <w:pPr>
              <w:spacing w:line="240" w:lineRule="auto"/>
              <w:rPr>
                <w:rFonts w:ascii="Calibri" w:eastAsia="Times New Roman" w:hAnsi="Calibri" w:cs="Calibri"/>
                <w:color w:val="000000"/>
              </w:rPr>
            </w:pPr>
            <w:r>
              <w:rPr>
                <w:rFonts w:ascii="Calibri" w:hAnsi="Calibri" w:cs="Calibri"/>
                <w:color w:val="000000"/>
                <w:sz w:val="22"/>
              </w:rPr>
              <w:t>Parking lot</w:t>
            </w:r>
          </w:p>
        </w:tc>
        <w:tc>
          <w:tcPr>
            <w:tcW w:w="1086" w:type="dxa"/>
            <w:noWrap/>
            <w:hideMark/>
          </w:tcPr>
          <w:p w14:paraId="2FA5AD6E" w14:textId="77777777" w:rsidR="00AD2F03" w:rsidRPr="004D4B7A"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70</w:t>
            </w:r>
          </w:p>
        </w:tc>
        <w:tc>
          <w:tcPr>
            <w:tcW w:w="1298" w:type="dxa"/>
            <w:noWrap/>
            <w:hideMark/>
          </w:tcPr>
          <w:p w14:paraId="01FB1ACC" w14:textId="77777777" w:rsidR="00AD2F03" w:rsidRPr="004D4B7A"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10</w:t>
            </w:r>
          </w:p>
        </w:tc>
        <w:tc>
          <w:tcPr>
            <w:tcW w:w="960" w:type="dxa"/>
            <w:noWrap/>
            <w:hideMark/>
          </w:tcPr>
          <w:p w14:paraId="193FC2AD" w14:textId="77777777" w:rsidR="00AD2F03" w:rsidRPr="004D4B7A"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20</w:t>
            </w:r>
          </w:p>
        </w:tc>
        <w:tc>
          <w:tcPr>
            <w:tcW w:w="960" w:type="dxa"/>
            <w:noWrap/>
            <w:hideMark/>
          </w:tcPr>
          <w:p w14:paraId="3E1C3407" w14:textId="77777777" w:rsidR="00AD2F03" w:rsidRPr="004D4B7A"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100</w:t>
            </w:r>
          </w:p>
        </w:tc>
      </w:tr>
      <w:tr w:rsidR="00AD2F03" w:rsidRPr="004D4B7A" w14:paraId="3EC11355" w14:textId="77777777" w:rsidTr="00E65C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85" w:type="dxa"/>
            <w:noWrap/>
            <w:hideMark/>
          </w:tcPr>
          <w:p w14:paraId="600BD7D6" w14:textId="77777777" w:rsidR="00AD2F03" w:rsidRPr="004D4B7A" w:rsidRDefault="00AD2F03" w:rsidP="00E65C03">
            <w:pPr>
              <w:spacing w:line="240" w:lineRule="auto"/>
              <w:rPr>
                <w:rFonts w:ascii="Calibri" w:eastAsia="Times New Roman" w:hAnsi="Calibri" w:cs="Calibri"/>
                <w:color w:val="000000"/>
              </w:rPr>
            </w:pPr>
            <w:r>
              <w:rPr>
                <w:rFonts w:ascii="Calibri" w:hAnsi="Calibri" w:cs="Calibri"/>
                <w:color w:val="000000"/>
                <w:sz w:val="22"/>
              </w:rPr>
              <w:t>River</w:t>
            </w:r>
          </w:p>
        </w:tc>
        <w:tc>
          <w:tcPr>
            <w:tcW w:w="1086" w:type="dxa"/>
            <w:noWrap/>
            <w:hideMark/>
          </w:tcPr>
          <w:p w14:paraId="41640934" w14:textId="77777777" w:rsidR="00AD2F03" w:rsidRPr="004D4B7A"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70</w:t>
            </w:r>
          </w:p>
        </w:tc>
        <w:tc>
          <w:tcPr>
            <w:tcW w:w="1298" w:type="dxa"/>
            <w:noWrap/>
            <w:hideMark/>
          </w:tcPr>
          <w:p w14:paraId="35C1EF46" w14:textId="77777777" w:rsidR="00AD2F03" w:rsidRPr="004D4B7A"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10</w:t>
            </w:r>
          </w:p>
        </w:tc>
        <w:tc>
          <w:tcPr>
            <w:tcW w:w="960" w:type="dxa"/>
            <w:noWrap/>
            <w:hideMark/>
          </w:tcPr>
          <w:p w14:paraId="6C053308" w14:textId="77777777" w:rsidR="00AD2F03" w:rsidRPr="004D4B7A"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20</w:t>
            </w:r>
          </w:p>
        </w:tc>
        <w:tc>
          <w:tcPr>
            <w:tcW w:w="960" w:type="dxa"/>
            <w:noWrap/>
            <w:hideMark/>
          </w:tcPr>
          <w:p w14:paraId="1E83BB9C" w14:textId="77777777" w:rsidR="00AD2F03" w:rsidRPr="004D4B7A"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100</w:t>
            </w:r>
          </w:p>
        </w:tc>
      </w:tr>
      <w:tr w:rsidR="00AD2F03" w:rsidRPr="004D4B7A" w14:paraId="637B6F52" w14:textId="77777777" w:rsidTr="00E65C03">
        <w:trPr>
          <w:trHeight w:val="288"/>
        </w:trPr>
        <w:tc>
          <w:tcPr>
            <w:cnfStyle w:val="001000000000" w:firstRow="0" w:lastRow="0" w:firstColumn="1" w:lastColumn="0" w:oddVBand="0" w:evenVBand="0" w:oddHBand="0" w:evenHBand="0" w:firstRowFirstColumn="0" w:firstRowLastColumn="0" w:lastRowFirstColumn="0" w:lastRowLastColumn="0"/>
            <w:tcW w:w="2185" w:type="dxa"/>
            <w:noWrap/>
            <w:hideMark/>
          </w:tcPr>
          <w:p w14:paraId="100F7E8C" w14:textId="77777777" w:rsidR="00AD2F03" w:rsidRPr="004D4B7A" w:rsidRDefault="00AD2F03" w:rsidP="00E65C03">
            <w:pPr>
              <w:spacing w:line="240" w:lineRule="auto"/>
              <w:rPr>
                <w:rFonts w:ascii="Calibri" w:eastAsia="Times New Roman" w:hAnsi="Calibri" w:cs="Calibri"/>
                <w:color w:val="000000"/>
              </w:rPr>
            </w:pPr>
            <w:r>
              <w:rPr>
                <w:rFonts w:ascii="Calibri" w:hAnsi="Calibri" w:cs="Calibri"/>
                <w:color w:val="000000"/>
                <w:sz w:val="22"/>
              </w:rPr>
              <w:t>Runway</w:t>
            </w:r>
          </w:p>
        </w:tc>
        <w:tc>
          <w:tcPr>
            <w:tcW w:w="1086" w:type="dxa"/>
            <w:noWrap/>
            <w:hideMark/>
          </w:tcPr>
          <w:p w14:paraId="3D766C18" w14:textId="77777777" w:rsidR="00AD2F03" w:rsidRPr="004D4B7A"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70</w:t>
            </w:r>
          </w:p>
        </w:tc>
        <w:tc>
          <w:tcPr>
            <w:tcW w:w="1298" w:type="dxa"/>
            <w:noWrap/>
            <w:hideMark/>
          </w:tcPr>
          <w:p w14:paraId="031DA725" w14:textId="77777777" w:rsidR="00AD2F03" w:rsidRPr="004D4B7A"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10</w:t>
            </w:r>
          </w:p>
        </w:tc>
        <w:tc>
          <w:tcPr>
            <w:tcW w:w="960" w:type="dxa"/>
            <w:noWrap/>
            <w:hideMark/>
          </w:tcPr>
          <w:p w14:paraId="23A1E26D" w14:textId="77777777" w:rsidR="00AD2F03" w:rsidRPr="004D4B7A"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20</w:t>
            </w:r>
          </w:p>
        </w:tc>
        <w:tc>
          <w:tcPr>
            <w:tcW w:w="960" w:type="dxa"/>
            <w:noWrap/>
            <w:hideMark/>
          </w:tcPr>
          <w:p w14:paraId="14783AFB" w14:textId="77777777" w:rsidR="00AD2F03" w:rsidRPr="004D4B7A"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100</w:t>
            </w:r>
          </w:p>
        </w:tc>
      </w:tr>
      <w:tr w:rsidR="00AD2F03" w:rsidRPr="004D4B7A" w14:paraId="5188D4DA" w14:textId="77777777" w:rsidTr="00E65C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85" w:type="dxa"/>
            <w:noWrap/>
            <w:hideMark/>
          </w:tcPr>
          <w:p w14:paraId="116A8937" w14:textId="77777777" w:rsidR="00AD2F03" w:rsidRPr="004D4B7A" w:rsidRDefault="00AD2F03" w:rsidP="00E65C03">
            <w:pPr>
              <w:spacing w:line="240" w:lineRule="auto"/>
              <w:rPr>
                <w:rFonts w:ascii="Calibri" w:eastAsia="Times New Roman" w:hAnsi="Calibri" w:cs="Calibri"/>
                <w:color w:val="000000"/>
              </w:rPr>
            </w:pPr>
            <w:r>
              <w:rPr>
                <w:rFonts w:ascii="Calibri" w:hAnsi="Calibri" w:cs="Calibri"/>
                <w:color w:val="000000"/>
                <w:sz w:val="22"/>
              </w:rPr>
              <w:t>Sparse residential</w:t>
            </w:r>
          </w:p>
        </w:tc>
        <w:tc>
          <w:tcPr>
            <w:tcW w:w="1086" w:type="dxa"/>
            <w:noWrap/>
            <w:hideMark/>
          </w:tcPr>
          <w:p w14:paraId="3F1EB016" w14:textId="77777777" w:rsidR="00AD2F03" w:rsidRPr="004D4B7A"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70</w:t>
            </w:r>
          </w:p>
        </w:tc>
        <w:tc>
          <w:tcPr>
            <w:tcW w:w="1298" w:type="dxa"/>
            <w:noWrap/>
            <w:hideMark/>
          </w:tcPr>
          <w:p w14:paraId="1756232C" w14:textId="77777777" w:rsidR="00AD2F03" w:rsidRPr="004D4B7A"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10</w:t>
            </w:r>
          </w:p>
        </w:tc>
        <w:tc>
          <w:tcPr>
            <w:tcW w:w="960" w:type="dxa"/>
            <w:noWrap/>
            <w:hideMark/>
          </w:tcPr>
          <w:p w14:paraId="5E900707" w14:textId="77777777" w:rsidR="00AD2F03" w:rsidRPr="004D4B7A"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20</w:t>
            </w:r>
          </w:p>
        </w:tc>
        <w:tc>
          <w:tcPr>
            <w:tcW w:w="960" w:type="dxa"/>
            <w:noWrap/>
            <w:hideMark/>
          </w:tcPr>
          <w:p w14:paraId="566A92A6" w14:textId="77777777" w:rsidR="00AD2F03" w:rsidRPr="004D4B7A"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100</w:t>
            </w:r>
          </w:p>
        </w:tc>
      </w:tr>
      <w:tr w:rsidR="00AD2F03" w:rsidRPr="004D4B7A" w14:paraId="4A1F0C31" w14:textId="77777777" w:rsidTr="00E65C03">
        <w:trPr>
          <w:trHeight w:val="288"/>
        </w:trPr>
        <w:tc>
          <w:tcPr>
            <w:cnfStyle w:val="001000000000" w:firstRow="0" w:lastRow="0" w:firstColumn="1" w:lastColumn="0" w:oddVBand="0" w:evenVBand="0" w:oddHBand="0" w:evenHBand="0" w:firstRowFirstColumn="0" w:firstRowLastColumn="0" w:lastRowFirstColumn="0" w:lastRowLastColumn="0"/>
            <w:tcW w:w="2185" w:type="dxa"/>
            <w:noWrap/>
            <w:hideMark/>
          </w:tcPr>
          <w:p w14:paraId="095A9447" w14:textId="77777777" w:rsidR="00AD2F03" w:rsidRPr="004D4B7A" w:rsidRDefault="00AD2F03" w:rsidP="00E65C03">
            <w:pPr>
              <w:spacing w:line="240" w:lineRule="auto"/>
              <w:rPr>
                <w:rFonts w:ascii="Calibri" w:eastAsia="Times New Roman" w:hAnsi="Calibri" w:cs="Calibri"/>
                <w:color w:val="000000"/>
              </w:rPr>
            </w:pPr>
            <w:r>
              <w:rPr>
                <w:rFonts w:ascii="Calibri" w:hAnsi="Calibri" w:cs="Calibri"/>
                <w:color w:val="000000"/>
                <w:sz w:val="22"/>
              </w:rPr>
              <w:t>Storage tanks</w:t>
            </w:r>
          </w:p>
        </w:tc>
        <w:tc>
          <w:tcPr>
            <w:tcW w:w="1086" w:type="dxa"/>
            <w:noWrap/>
            <w:hideMark/>
          </w:tcPr>
          <w:p w14:paraId="72F71C8A" w14:textId="77777777" w:rsidR="00AD2F03" w:rsidRPr="004D4B7A"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70</w:t>
            </w:r>
          </w:p>
        </w:tc>
        <w:tc>
          <w:tcPr>
            <w:tcW w:w="1298" w:type="dxa"/>
            <w:noWrap/>
            <w:hideMark/>
          </w:tcPr>
          <w:p w14:paraId="0D0ED58B" w14:textId="77777777" w:rsidR="00AD2F03" w:rsidRPr="004D4B7A"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10</w:t>
            </w:r>
          </w:p>
        </w:tc>
        <w:tc>
          <w:tcPr>
            <w:tcW w:w="960" w:type="dxa"/>
            <w:noWrap/>
            <w:hideMark/>
          </w:tcPr>
          <w:p w14:paraId="0D22EF45" w14:textId="77777777" w:rsidR="00AD2F03" w:rsidRPr="004D4B7A"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20</w:t>
            </w:r>
          </w:p>
        </w:tc>
        <w:tc>
          <w:tcPr>
            <w:tcW w:w="960" w:type="dxa"/>
            <w:noWrap/>
            <w:hideMark/>
          </w:tcPr>
          <w:p w14:paraId="1041DF45" w14:textId="77777777" w:rsidR="00AD2F03" w:rsidRPr="004D4B7A"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100</w:t>
            </w:r>
          </w:p>
        </w:tc>
      </w:tr>
      <w:tr w:rsidR="00AD2F03" w:rsidRPr="004D4B7A" w14:paraId="49A0A7E9" w14:textId="77777777" w:rsidTr="00E65C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85" w:type="dxa"/>
            <w:noWrap/>
            <w:hideMark/>
          </w:tcPr>
          <w:p w14:paraId="2423A17F" w14:textId="77777777" w:rsidR="00AD2F03" w:rsidRPr="004D4B7A" w:rsidRDefault="00AD2F03" w:rsidP="00E65C03">
            <w:pPr>
              <w:spacing w:line="240" w:lineRule="auto"/>
              <w:rPr>
                <w:rFonts w:ascii="Calibri" w:eastAsia="Times New Roman" w:hAnsi="Calibri" w:cs="Calibri"/>
                <w:color w:val="000000"/>
              </w:rPr>
            </w:pPr>
            <w:r>
              <w:rPr>
                <w:rFonts w:ascii="Calibri" w:hAnsi="Calibri" w:cs="Calibri"/>
                <w:color w:val="000000"/>
                <w:sz w:val="22"/>
              </w:rPr>
              <w:t>Tennis court</w:t>
            </w:r>
          </w:p>
        </w:tc>
        <w:tc>
          <w:tcPr>
            <w:tcW w:w="1086" w:type="dxa"/>
            <w:noWrap/>
            <w:hideMark/>
          </w:tcPr>
          <w:p w14:paraId="05F75BFC" w14:textId="77777777" w:rsidR="00AD2F03" w:rsidRPr="004D4B7A"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70</w:t>
            </w:r>
          </w:p>
        </w:tc>
        <w:tc>
          <w:tcPr>
            <w:tcW w:w="1298" w:type="dxa"/>
            <w:noWrap/>
            <w:hideMark/>
          </w:tcPr>
          <w:p w14:paraId="7D9073A9" w14:textId="77777777" w:rsidR="00AD2F03" w:rsidRPr="004D4B7A"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10</w:t>
            </w:r>
          </w:p>
        </w:tc>
        <w:tc>
          <w:tcPr>
            <w:tcW w:w="960" w:type="dxa"/>
            <w:noWrap/>
            <w:hideMark/>
          </w:tcPr>
          <w:p w14:paraId="29B2258A" w14:textId="77777777" w:rsidR="00AD2F03" w:rsidRPr="004D4B7A"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20</w:t>
            </w:r>
          </w:p>
        </w:tc>
        <w:tc>
          <w:tcPr>
            <w:tcW w:w="960" w:type="dxa"/>
            <w:noWrap/>
            <w:hideMark/>
          </w:tcPr>
          <w:p w14:paraId="3256DE73" w14:textId="77777777" w:rsidR="00AD2F03" w:rsidRPr="004D4B7A"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4D4B7A">
              <w:rPr>
                <w:rFonts w:ascii="Calibri" w:eastAsia="Times New Roman" w:hAnsi="Calibri" w:cs="Calibri"/>
                <w:color w:val="000000"/>
              </w:rPr>
              <w:t>100</w:t>
            </w:r>
          </w:p>
        </w:tc>
      </w:tr>
    </w:tbl>
    <w:p w14:paraId="33567016" w14:textId="77777777" w:rsidR="00AD2F03" w:rsidRDefault="00AD2F03" w:rsidP="00AD2F03">
      <w:pPr>
        <w:ind w:firstLine="720"/>
      </w:pPr>
    </w:p>
    <w:p w14:paraId="1616B8B0" w14:textId="77777777" w:rsidR="00AD2F03" w:rsidRDefault="0011424B" w:rsidP="0011424B">
      <w:pPr>
        <w:pStyle w:val="Heading3"/>
      </w:pPr>
      <w:bookmarkStart w:id="231" w:name="_Toc26534632"/>
      <w:r>
        <w:t xml:space="preserve">2.2 </w:t>
      </w:r>
      <w:r w:rsidR="00AD2F03">
        <w:t>AID: Aerial Image Dataset</w:t>
      </w:r>
      <w:bookmarkEnd w:id="231"/>
      <w:r w:rsidR="00AD2F03">
        <w:t xml:space="preserve"> </w:t>
      </w:r>
    </w:p>
    <w:p w14:paraId="00B7F05D" w14:textId="77777777" w:rsidR="00AD2F03" w:rsidRDefault="00AD2F03" w:rsidP="00AD2F03">
      <w:pPr>
        <w:ind w:firstLine="720"/>
      </w:pPr>
      <w:r>
        <w:fldChar w:fldCharType="begin" w:fldLock="1"/>
      </w:r>
      <w:r>
        <w:instrText>ADDIN CSL_CITATION {"citationItems":[{"id":"ITEM-1","itemData":{"DOI":"10.1109/TGRS.2017.2685945","ISSN":"0196-2892","author":[{"dropping-particle":"","family":"Xia","given":"Gui-Song","non-dropping-particle":"","parse-names":false,"suffix":""},{"dropping-particle":"","family":"Hu","given":"Jingwen","non-dropping-particle":"","parse-names":false,"suffix":""},{"dropping-particle":"","family":"Hu","given":"Fan","non-dropping-particle":"","parse-names":false,"suffix":""},{"dropping-particle":"","family":"Shi","given":"Baoguang","non-dropping-particle":"","parse-names":false,"suffix":""},{"dropping-particle":"","family":"Bai","given":"Xiang","non-dropping-particle":"","parse-names":false,"suffix":""},{"dropping-particle":"","family":"Zhong","given":"Yanfei","non-dropping-particle":"","parse-names":false,"suffix":""},{"dropping-particle":"","family":"Zhang","given":"Liangpei","non-dropping-particle":"","parse-names":false,"suffix":""},{"dropping-particle":"","family":"Lu","given":"Xiaoqiang","non-dropping-particle":"","parse-names":false,"suffix":""}],"container-title":"IEEE Transactions on Geoscience and Remote Sensing","id":"ITEM-1","issue":"7","issued":{"date-parts":[["2017","7"]]},"page":"3965-3981","title":"AID: A Benchmark Data Set for Performance Evaluation of Aerial Scene Classification","type":"article-journal","volume":"55"},"uris":["http://www.mendeley.com/documents/?uuid=765a5d26-b8aa-3b0b-93cd-725163faeba0"]}],"mendeley":{"formattedCitation":"(Xia et al., 2017)","manualFormatting":"Xia et al. (2017)","plainTextFormattedCitation":"(Xia et al., 2017)","previouslyFormattedCitation":"(Xia et al., 2017)"},"properties":{"noteIndex":0},"schema":"https://github.com/citation-style-language/schema/raw/master/csl-citation.json"}</w:instrText>
      </w:r>
      <w:r>
        <w:fldChar w:fldCharType="separate"/>
      </w:r>
      <w:r w:rsidRPr="00FF3411">
        <w:rPr>
          <w:noProof/>
        </w:rPr>
        <w:t xml:space="preserve">Xia et al. </w:t>
      </w:r>
      <w:r>
        <w:rPr>
          <w:noProof/>
        </w:rPr>
        <w:t>(</w:t>
      </w:r>
      <w:r w:rsidRPr="00FF3411">
        <w:rPr>
          <w:noProof/>
        </w:rPr>
        <w:t>2017)</w:t>
      </w:r>
      <w:r>
        <w:fldChar w:fldCharType="end"/>
      </w:r>
      <w:r>
        <w:t xml:space="preserve"> presented the Aerial Image Dataset (AID), a remote sensing dataset with 10,000 images. The dataset comprises 30 classes, the number of samples of each range from 220 to 420. The images are 600 x 600 pixels, with a spatial resolution varying from 0.5 to 8 m per pixel.  </w:t>
      </w:r>
      <w:r w:rsidRPr="00FF3411">
        <w:t xml:space="preserve">The images in AID </w:t>
      </w:r>
      <w:r>
        <w:t xml:space="preserve">were extracted from </w:t>
      </w:r>
      <w:r w:rsidRPr="00FF3411">
        <w:t xml:space="preserve">Google Earth </w:t>
      </w:r>
      <w:r>
        <w:t xml:space="preserve">imagery, coming </w:t>
      </w:r>
      <w:r w:rsidRPr="00FF3411">
        <w:t>from different remote imaging sensors</w:t>
      </w:r>
      <w:r>
        <w:t xml:space="preserve">. Unlike the UCMD, the images from AID are chosen from different countries and regions around the world, </w:t>
      </w:r>
      <w:r w:rsidRPr="00FF3411">
        <w:t xml:space="preserve">mainly in China, the United States, England, France, Italy, Japan, </w:t>
      </w:r>
      <w:r>
        <w:t xml:space="preserve">and </w:t>
      </w:r>
      <w:r w:rsidRPr="00FF3411">
        <w:t>Germany</w:t>
      </w:r>
      <w:r>
        <w:t xml:space="preserve">. </w:t>
      </w:r>
      <w:r>
        <w:fldChar w:fldCharType="begin"/>
      </w:r>
      <w:r>
        <w:instrText xml:space="preserve"> REF _Ref15324104 \h </w:instrText>
      </w:r>
      <w:r>
        <w:fldChar w:fldCharType="separate"/>
      </w:r>
      <w:r w:rsidR="001C535D">
        <w:t xml:space="preserve">Table </w:t>
      </w:r>
      <w:r w:rsidR="001C535D">
        <w:rPr>
          <w:noProof/>
        </w:rPr>
        <w:t>9</w:t>
      </w:r>
      <w:r>
        <w:fldChar w:fldCharType="end"/>
      </w:r>
      <w:r>
        <w:t xml:space="preserve"> shows the data split between training, validation, and test set</w:t>
      </w:r>
      <w:r w:rsidR="00D065D4">
        <w:t>s</w:t>
      </w:r>
      <w:r>
        <w:t xml:space="preserve">, as well as the total number of samples for all classes in the AID dataset. The dataset is available for download at </w:t>
      </w:r>
      <w:hyperlink r:id="rId60" w:history="1">
        <w:r>
          <w:rPr>
            <w:rStyle w:val="Hyperlink"/>
          </w:rPr>
          <w:t>http://captain.whu.edu.cn/WUDA-RSImg/aid.html</w:t>
        </w:r>
      </w:hyperlink>
      <w:r>
        <w:t>.</w:t>
      </w:r>
    </w:p>
    <w:p w14:paraId="2B8CCAA5" w14:textId="77777777" w:rsidR="00AD2F03" w:rsidRDefault="00AD2F03" w:rsidP="00607DF1">
      <w:pPr>
        <w:pStyle w:val="Caption"/>
      </w:pPr>
      <w:bookmarkStart w:id="232" w:name="_Ref15324104"/>
      <w:bookmarkStart w:id="233" w:name="_Toc26534546"/>
      <w:r>
        <w:lastRenderedPageBreak/>
        <w:t xml:space="preserve">Table </w:t>
      </w:r>
      <w:r w:rsidR="00CE1F3C">
        <w:fldChar w:fldCharType="begin"/>
      </w:r>
      <w:r w:rsidR="00CE1F3C">
        <w:instrText xml:space="preserve"> SEQ Table \* ARABIC </w:instrText>
      </w:r>
      <w:r w:rsidR="00CE1F3C">
        <w:fldChar w:fldCharType="separate"/>
      </w:r>
      <w:r w:rsidR="001C535D">
        <w:rPr>
          <w:noProof/>
        </w:rPr>
        <w:t>9</w:t>
      </w:r>
      <w:r w:rsidR="00CE1F3C">
        <w:rPr>
          <w:noProof/>
        </w:rPr>
        <w:fldChar w:fldCharType="end"/>
      </w:r>
      <w:bookmarkEnd w:id="232"/>
      <w:r>
        <w:t>: number of samples for training, validation, and test used for the AID dataset.</w:t>
      </w:r>
      <w:bookmarkEnd w:id="233"/>
    </w:p>
    <w:tbl>
      <w:tblPr>
        <w:tblStyle w:val="PlainTable5"/>
        <w:tblW w:w="6557" w:type="dxa"/>
        <w:tblLook w:val="04A0" w:firstRow="1" w:lastRow="0" w:firstColumn="1" w:lastColumn="0" w:noHBand="0" w:noVBand="1"/>
      </w:tblPr>
      <w:tblGrid>
        <w:gridCol w:w="2253"/>
        <w:gridCol w:w="1086"/>
        <w:gridCol w:w="1298"/>
        <w:gridCol w:w="960"/>
        <w:gridCol w:w="960"/>
      </w:tblGrid>
      <w:tr w:rsidR="00AD2F03" w:rsidRPr="00A448F6" w14:paraId="6B84A2EF" w14:textId="77777777" w:rsidTr="00E65C03">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2253" w:type="dxa"/>
            <w:noWrap/>
            <w:hideMark/>
          </w:tcPr>
          <w:p w14:paraId="5346F1E2" w14:textId="77777777" w:rsidR="00AD2F03" w:rsidRPr="00A448F6" w:rsidRDefault="00AD2F03" w:rsidP="00E65C03">
            <w:pPr>
              <w:spacing w:line="240" w:lineRule="auto"/>
              <w:rPr>
                <w:rFonts w:ascii="Calibri" w:eastAsia="Times New Roman" w:hAnsi="Calibri" w:cs="Calibri"/>
                <w:color w:val="000000"/>
              </w:rPr>
            </w:pPr>
            <w:r w:rsidRPr="00A448F6">
              <w:rPr>
                <w:rFonts w:ascii="Calibri" w:eastAsia="Times New Roman" w:hAnsi="Calibri" w:cs="Calibri"/>
                <w:color w:val="000000"/>
              </w:rPr>
              <w:t>Class</w:t>
            </w:r>
          </w:p>
        </w:tc>
        <w:tc>
          <w:tcPr>
            <w:tcW w:w="1086" w:type="dxa"/>
            <w:noWrap/>
            <w:hideMark/>
          </w:tcPr>
          <w:p w14:paraId="63BA5D8D" w14:textId="77777777" w:rsidR="00AD2F03" w:rsidRPr="00A448F6" w:rsidRDefault="00AD2F03" w:rsidP="00E65C03">
            <w:pPr>
              <w:spacing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Training</w:t>
            </w:r>
          </w:p>
        </w:tc>
        <w:tc>
          <w:tcPr>
            <w:tcW w:w="1298" w:type="dxa"/>
            <w:noWrap/>
            <w:hideMark/>
          </w:tcPr>
          <w:p w14:paraId="7FA3E8B3" w14:textId="77777777" w:rsidR="00AD2F03" w:rsidRPr="00A448F6" w:rsidRDefault="00AD2F03" w:rsidP="00E65C03">
            <w:pPr>
              <w:spacing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Validation</w:t>
            </w:r>
          </w:p>
        </w:tc>
        <w:tc>
          <w:tcPr>
            <w:tcW w:w="960" w:type="dxa"/>
            <w:noWrap/>
            <w:hideMark/>
          </w:tcPr>
          <w:p w14:paraId="4E230C3E" w14:textId="77777777" w:rsidR="00AD2F03" w:rsidRPr="00A448F6" w:rsidRDefault="00AD2F03" w:rsidP="00E65C03">
            <w:pPr>
              <w:spacing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Test</w:t>
            </w:r>
          </w:p>
        </w:tc>
        <w:tc>
          <w:tcPr>
            <w:tcW w:w="960" w:type="dxa"/>
            <w:noWrap/>
            <w:hideMark/>
          </w:tcPr>
          <w:p w14:paraId="3199920C" w14:textId="77777777" w:rsidR="00AD2F03" w:rsidRPr="00A448F6" w:rsidRDefault="00AD2F03" w:rsidP="00E65C03">
            <w:pPr>
              <w:spacing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Total</w:t>
            </w:r>
          </w:p>
        </w:tc>
      </w:tr>
      <w:tr w:rsidR="00AD2F03" w:rsidRPr="00A448F6" w14:paraId="16BB8921" w14:textId="77777777" w:rsidTr="00E65C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3" w:type="dxa"/>
            <w:noWrap/>
            <w:vAlign w:val="bottom"/>
            <w:hideMark/>
          </w:tcPr>
          <w:p w14:paraId="5A6B9D17" w14:textId="77777777" w:rsidR="00AD2F03" w:rsidRPr="00A448F6" w:rsidRDefault="00AD2F03" w:rsidP="00E65C03">
            <w:pPr>
              <w:spacing w:line="240" w:lineRule="auto"/>
              <w:rPr>
                <w:rFonts w:ascii="Calibri" w:eastAsia="Times New Roman" w:hAnsi="Calibri" w:cs="Calibri"/>
                <w:color w:val="000000"/>
              </w:rPr>
            </w:pPr>
            <w:r>
              <w:rPr>
                <w:rFonts w:ascii="Calibri" w:hAnsi="Calibri" w:cs="Calibri"/>
                <w:color w:val="000000"/>
                <w:sz w:val="22"/>
              </w:rPr>
              <w:t>Airport</w:t>
            </w:r>
          </w:p>
        </w:tc>
        <w:tc>
          <w:tcPr>
            <w:tcW w:w="1086" w:type="dxa"/>
            <w:noWrap/>
            <w:hideMark/>
          </w:tcPr>
          <w:p w14:paraId="6D765558"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252</w:t>
            </w:r>
          </w:p>
        </w:tc>
        <w:tc>
          <w:tcPr>
            <w:tcW w:w="1298" w:type="dxa"/>
            <w:noWrap/>
            <w:hideMark/>
          </w:tcPr>
          <w:p w14:paraId="6FB4F093"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36</w:t>
            </w:r>
          </w:p>
        </w:tc>
        <w:tc>
          <w:tcPr>
            <w:tcW w:w="960" w:type="dxa"/>
            <w:noWrap/>
            <w:hideMark/>
          </w:tcPr>
          <w:p w14:paraId="0B7E2EEB"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72</w:t>
            </w:r>
          </w:p>
        </w:tc>
        <w:tc>
          <w:tcPr>
            <w:tcW w:w="960" w:type="dxa"/>
            <w:noWrap/>
            <w:hideMark/>
          </w:tcPr>
          <w:p w14:paraId="02DA9610"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360</w:t>
            </w:r>
          </w:p>
        </w:tc>
      </w:tr>
      <w:tr w:rsidR="00AD2F03" w:rsidRPr="00A448F6" w14:paraId="7513578F" w14:textId="77777777" w:rsidTr="00E65C03">
        <w:trPr>
          <w:trHeight w:val="288"/>
        </w:trPr>
        <w:tc>
          <w:tcPr>
            <w:cnfStyle w:val="001000000000" w:firstRow="0" w:lastRow="0" w:firstColumn="1" w:lastColumn="0" w:oddVBand="0" w:evenVBand="0" w:oddHBand="0" w:evenHBand="0" w:firstRowFirstColumn="0" w:firstRowLastColumn="0" w:lastRowFirstColumn="0" w:lastRowLastColumn="0"/>
            <w:tcW w:w="2253" w:type="dxa"/>
            <w:noWrap/>
            <w:vAlign w:val="bottom"/>
            <w:hideMark/>
          </w:tcPr>
          <w:p w14:paraId="33887C00" w14:textId="77777777" w:rsidR="00AD2F03" w:rsidRPr="00A448F6" w:rsidRDefault="00AD2F03" w:rsidP="00E65C03">
            <w:pPr>
              <w:spacing w:line="240" w:lineRule="auto"/>
              <w:rPr>
                <w:rFonts w:ascii="Calibri" w:eastAsia="Times New Roman" w:hAnsi="Calibri" w:cs="Calibri"/>
                <w:color w:val="000000"/>
              </w:rPr>
            </w:pPr>
            <w:r>
              <w:rPr>
                <w:rFonts w:ascii="Calibri" w:hAnsi="Calibri" w:cs="Calibri"/>
                <w:color w:val="000000"/>
                <w:sz w:val="22"/>
              </w:rPr>
              <w:t>Bare land</w:t>
            </w:r>
          </w:p>
        </w:tc>
        <w:tc>
          <w:tcPr>
            <w:tcW w:w="1086" w:type="dxa"/>
            <w:noWrap/>
            <w:hideMark/>
          </w:tcPr>
          <w:p w14:paraId="1609E1A5"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217</w:t>
            </w:r>
          </w:p>
        </w:tc>
        <w:tc>
          <w:tcPr>
            <w:tcW w:w="1298" w:type="dxa"/>
            <w:noWrap/>
            <w:hideMark/>
          </w:tcPr>
          <w:p w14:paraId="14224206"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31</w:t>
            </w:r>
          </w:p>
        </w:tc>
        <w:tc>
          <w:tcPr>
            <w:tcW w:w="960" w:type="dxa"/>
            <w:noWrap/>
            <w:hideMark/>
          </w:tcPr>
          <w:p w14:paraId="014B93CF"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62</w:t>
            </w:r>
          </w:p>
        </w:tc>
        <w:tc>
          <w:tcPr>
            <w:tcW w:w="960" w:type="dxa"/>
            <w:noWrap/>
            <w:hideMark/>
          </w:tcPr>
          <w:p w14:paraId="4B722572"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310</w:t>
            </w:r>
          </w:p>
        </w:tc>
      </w:tr>
      <w:tr w:rsidR="00AD2F03" w:rsidRPr="00A448F6" w14:paraId="6B79FD29" w14:textId="77777777" w:rsidTr="00E65C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3" w:type="dxa"/>
            <w:noWrap/>
            <w:vAlign w:val="bottom"/>
            <w:hideMark/>
          </w:tcPr>
          <w:p w14:paraId="021309C1" w14:textId="77777777" w:rsidR="00AD2F03" w:rsidRPr="00A448F6" w:rsidRDefault="00AD2F03" w:rsidP="00E65C03">
            <w:pPr>
              <w:spacing w:line="240" w:lineRule="auto"/>
              <w:rPr>
                <w:rFonts w:ascii="Calibri" w:eastAsia="Times New Roman" w:hAnsi="Calibri" w:cs="Calibri"/>
                <w:color w:val="000000"/>
              </w:rPr>
            </w:pPr>
            <w:r>
              <w:rPr>
                <w:rFonts w:ascii="Calibri" w:hAnsi="Calibri" w:cs="Calibri"/>
                <w:color w:val="000000"/>
                <w:sz w:val="22"/>
              </w:rPr>
              <w:t>Baseball field</w:t>
            </w:r>
          </w:p>
        </w:tc>
        <w:tc>
          <w:tcPr>
            <w:tcW w:w="1086" w:type="dxa"/>
            <w:noWrap/>
            <w:hideMark/>
          </w:tcPr>
          <w:p w14:paraId="2F69EDE2"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154</w:t>
            </w:r>
          </w:p>
        </w:tc>
        <w:tc>
          <w:tcPr>
            <w:tcW w:w="1298" w:type="dxa"/>
            <w:noWrap/>
            <w:hideMark/>
          </w:tcPr>
          <w:p w14:paraId="0DD7B67F"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22</w:t>
            </w:r>
          </w:p>
        </w:tc>
        <w:tc>
          <w:tcPr>
            <w:tcW w:w="960" w:type="dxa"/>
            <w:noWrap/>
            <w:hideMark/>
          </w:tcPr>
          <w:p w14:paraId="2780E3E1"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44</w:t>
            </w:r>
          </w:p>
        </w:tc>
        <w:tc>
          <w:tcPr>
            <w:tcW w:w="960" w:type="dxa"/>
            <w:noWrap/>
            <w:hideMark/>
          </w:tcPr>
          <w:p w14:paraId="16B2FBFE"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220</w:t>
            </w:r>
          </w:p>
        </w:tc>
      </w:tr>
      <w:tr w:rsidR="00AD2F03" w:rsidRPr="00A448F6" w14:paraId="389CE9D6" w14:textId="77777777" w:rsidTr="00E65C03">
        <w:trPr>
          <w:trHeight w:val="288"/>
        </w:trPr>
        <w:tc>
          <w:tcPr>
            <w:cnfStyle w:val="001000000000" w:firstRow="0" w:lastRow="0" w:firstColumn="1" w:lastColumn="0" w:oddVBand="0" w:evenVBand="0" w:oddHBand="0" w:evenHBand="0" w:firstRowFirstColumn="0" w:firstRowLastColumn="0" w:lastRowFirstColumn="0" w:lastRowLastColumn="0"/>
            <w:tcW w:w="2253" w:type="dxa"/>
            <w:noWrap/>
            <w:vAlign w:val="bottom"/>
            <w:hideMark/>
          </w:tcPr>
          <w:p w14:paraId="41F20F72" w14:textId="77777777" w:rsidR="00AD2F03" w:rsidRPr="00A448F6" w:rsidRDefault="00AD2F03" w:rsidP="00E65C03">
            <w:pPr>
              <w:spacing w:line="240" w:lineRule="auto"/>
              <w:rPr>
                <w:rFonts w:ascii="Calibri" w:eastAsia="Times New Roman" w:hAnsi="Calibri" w:cs="Calibri"/>
                <w:color w:val="000000"/>
              </w:rPr>
            </w:pPr>
            <w:r>
              <w:rPr>
                <w:rFonts w:ascii="Calibri" w:hAnsi="Calibri" w:cs="Calibri"/>
                <w:color w:val="000000"/>
                <w:sz w:val="22"/>
              </w:rPr>
              <w:t>Beach</w:t>
            </w:r>
          </w:p>
        </w:tc>
        <w:tc>
          <w:tcPr>
            <w:tcW w:w="1086" w:type="dxa"/>
            <w:noWrap/>
            <w:hideMark/>
          </w:tcPr>
          <w:p w14:paraId="7E47647F"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280</w:t>
            </w:r>
          </w:p>
        </w:tc>
        <w:tc>
          <w:tcPr>
            <w:tcW w:w="1298" w:type="dxa"/>
            <w:noWrap/>
            <w:hideMark/>
          </w:tcPr>
          <w:p w14:paraId="13E76569"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40</w:t>
            </w:r>
          </w:p>
        </w:tc>
        <w:tc>
          <w:tcPr>
            <w:tcW w:w="960" w:type="dxa"/>
            <w:noWrap/>
            <w:hideMark/>
          </w:tcPr>
          <w:p w14:paraId="2F2A17A1"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80</w:t>
            </w:r>
          </w:p>
        </w:tc>
        <w:tc>
          <w:tcPr>
            <w:tcW w:w="960" w:type="dxa"/>
            <w:noWrap/>
            <w:hideMark/>
          </w:tcPr>
          <w:p w14:paraId="7CD954F3"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400</w:t>
            </w:r>
          </w:p>
        </w:tc>
      </w:tr>
      <w:tr w:rsidR="00AD2F03" w:rsidRPr="00A448F6" w14:paraId="18310734" w14:textId="77777777" w:rsidTr="00E65C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3" w:type="dxa"/>
            <w:noWrap/>
            <w:vAlign w:val="bottom"/>
            <w:hideMark/>
          </w:tcPr>
          <w:p w14:paraId="76C37E72" w14:textId="77777777" w:rsidR="00AD2F03" w:rsidRPr="00A448F6" w:rsidRDefault="00AD2F03" w:rsidP="00E65C03">
            <w:pPr>
              <w:spacing w:line="240" w:lineRule="auto"/>
              <w:rPr>
                <w:rFonts w:ascii="Calibri" w:eastAsia="Times New Roman" w:hAnsi="Calibri" w:cs="Calibri"/>
                <w:color w:val="000000"/>
              </w:rPr>
            </w:pPr>
            <w:r>
              <w:rPr>
                <w:rFonts w:ascii="Calibri" w:hAnsi="Calibri" w:cs="Calibri"/>
                <w:color w:val="000000"/>
                <w:sz w:val="22"/>
              </w:rPr>
              <w:t>Bridge</w:t>
            </w:r>
          </w:p>
        </w:tc>
        <w:tc>
          <w:tcPr>
            <w:tcW w:w="1086" w:type="dxa"/>
            <w:noWrap/>
            <w:hideMark/>
          </w:tcPr>
          <w:p w14:paraId="44D6D519"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252</w:t>
            </w:r>
          </w:p>
        </w:tc>
        <w:tc>
          <w:tcPr>
            <w:tcW w:w="1298" w:type="dxa"/>
            <w:noWrap/>
            <w:hideMark/>
          </w:tcPr>
          <w:p w14:paraId="00B9F953"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36</w:t>
            </w:r>
          </w:p>
        </w:tc>
        <w:tc>
          <w:tcPr>
            <w:tcW w:w="960" w:type="dxa"/>
            <w:noWrap/>
            <w:hideMark/>
          </w:tcPr>
          <w:p w14:paraId="799EA570"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72</w:t>
            </w:r>
          </w:p>
        </w:tc>
        <w:tc>
          <w:tcPr>
            <w:tcW w:w="960" w:type="dxa"/>
            <w:noWrap/>
            <w:hideMark/>
          </w:tcPr>
          <w:p w14:paraId="563DB40C"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360</w:t>
            </w:r>
          </w:p>
        </w:tc>
      </w:tr>
      <w:tr w:rsidR="00AD2F03" w:rsidRPr="00A448F6" w14:paraId="1627710D" w14:textId="77777777" w:rsidTr="00E65C03">
        <w:trPr>
          <w:trHeight w:val="288"/>
        </w:trPr>
        <w:tc>
          <w:tcPr>
            <w:cnfStyle w:val="001000000000" w:firstRow="0" w:lastRow="0" w:firstColumn="1" w:lastColumn="0" w:oddVBand="0" w:evenVBand="0" w:oddHBand="0" w:evenHBand="0" w:firstRowFirstColumn="0" w:firstRowLastColumn="0" w:lastRowFirstColumn="0" w:lastRowLastColumn="0"/>
            <w:tcW w:w="2253" w:type="dxa"/>
            <w:noWrap/>
            <w:vAlign w:val="bottom"/>
            <w:hideMark/>
          </w:tcPr>
          <w:p w14:paraId="2BEE1D60" w14:textId="77777777" w:rsidR="00AD2F03" w:rsidRPr="00A448F6" w:rsidRDefault="00AD2F03" w:rsidP="00E65C03">
            <w:pPr>
              <w:spacing w:line="240" w:lineRule="auto"/>
              <w:rPr>
                <w:rFonts w:ascii="Calibri" w:eastAsia="Times New Roman" w:hAnsi="Calibri" w:cs="Calibri"/>
                <w:color w:val="000000"/>
              </w:rPr>
            </w:pPr>
            <w:r>
              <w:rPr>
                <w:rFonts w:ascii="Calibri" w:hAnsi="Calibri" w:cs="Calibri"/>
                <w:color w:val="000000"/>
                <w:sz w:val="22"/>
              </w:rPr>
              <w:t>Center</w:t>
            </w:r>
          </w:p>
        </w:tc>
        <w:tc>
          <w:tcPr>
            <w:tcW w:w="1086" w:type="dxa"/>
            <w:noWrap/>
            <w:hideMark/>
          </w:tcPr>
          <w:p w14:paraId="68E9AA4A"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182</w:t>
            </w:r>
          </w:p>
        </w:tc>
        <w:tc>
          <w:tcPr>
            <w:tcW w:w="1298" w:type="dxa"/>
            <w:noWrap/>
            <w:hideMark/>
          </w:tcPr>
          <w:p w14:paraId="6736BE7C"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26</w:t>
            </w:r>
          </w:p>
        </w:tc>
        <w:tc>
          <w:tcPr>
            <w:tcW w:w="960" w:type="dxa"/>
            <w:noWrap/>
            <w:hideMark/>
          </w:tcPr>
          <w:p w14:paraId="3A368093"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52</w:t>
            </w:r>
          </w:p>
        </w:tc>
        <w:tc>
          <w:tcPr>
            <w:tcW w:w="960" w:type="dxa"/>
            <w:noWrap/>
            <w:hideMark/>
          </w:tcPr>
          <w:p w14:paraId="57EF65F6"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260</w:t>
            </w:r>
          </w:p>
        </w:tc>
      </w:tr>
      <w:tr w:rsidR="00AD2F03" w:rsidRPr="00A448F6" w14:paraId="222B1DD8" w14:textId="77777777" w:rsidTr="00E65C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3" w:type="dxa"/>
            <w:noWrap/>
            <w:vAlign w:val="bottom"/>
            <w:hideMark/>
          </w:tcPr>
          <w:p w14:paraId="0228BBAB" w14:textId="77777777" w:rsidR="00AD2F03" w:rsidRPr="00A448F6" w:rsidRDefault="00AD2F03" w:rsidP="00E65C03">
            <w:pPr>
              <w:spacing w:line="240" w:lineRule="auto"/>
              <w:rPr>
                <w:rFonts w:ascii="Calibri" w:eastAsia="Times New Roman" w:hAnsi="Calibri" w:cs="Calibri"/>
                <w:color w:val="000000"/>
              </w:rPr>
            </w:pPr>
            <w:r>
              <w:rPr>
                <w:rFonts w:ascii="Calibri" w:hAnsi="Calibri" w:cs="Calibri"/>
                <w:color w:val="000000"/>
                <w:sz w:val="22"/>
              </w:rPr>
              <w:t>Church</w:t>
            </w:r>
          </w:p>
        </w:tc>
        <w:tc>
          <w:tcPr>
            <w:tcW w:w="1086" w:type="dxa"/>
            <w:noWrap/>
            <w:hideMark/>
          </w:tcPr>
          <w:p w14:paraId="6FB44E95"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168</w:t>
            </w:r>
          </w:p>
        </w:tc>
        <w:tc>
          <w:tcPr>
            <w:tcW w:w="1298" w:type="dxa"/>
            <w:noWrap/>
            <w:hideMark/>
          </w:tcPr>
          <w:p w14:paraId="7337A490"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24</w:t>
            </w:r>
          </w:p>
        </w:tc>
        <w:tc>
          <w:tcPr>
            <w:tcW w:w="960" w:type="dxa"/>
            <w:noWrap/>
            <w:hideMark/>
          </w:tcPr>
          <w:p w14:paraId="38B11196"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48</w:t>
            </w:r>
          </w:p>
        </w:tc>
        <w:tc>
          <w:tcPr>
            <w:tcW w:w="960" w:type="dxa"/>
            <w:noWrap/>
            <w:hideMark/>
          </w:tcPr>
          <w:p w14:paraId="7BFC8945"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240</w:t>
            </w:r>
          </w:p>
        </w:tc>
      </w:tr>
      <w:tr w:rsidR="00AD2F03" w:rsidRPr="00A448F6" w14:paraId="426F8865" w14:textId="77777777" w:rsidTr="00E65C03">
        <w:trPr>
          <w:trHeight w:val="288"/>
        </w:trPr>
        <w:tc>
          <w:tcPr>
            <w:cnfStyle w:val="001000000000" w:firstRow="0" w:lastRow="0" w:firstColumn="1" w:lastColumn="0" w:oddVBand="0" w:evenVBand="0" w:oddHBand="0" w:evenHBand="0" w:firstRowFirstColumn="0" w:firstRowLastColumn="0" w:lastRowFirstColumn="0" w:lastRowLastColumn="0"/>
            <w:tcW w:w="2253" w:type="dxa"/>
            <w:noWrap/>
            <w:vAlign w:val="bottom"/>
            <w:hideMark/>
          </w:tcPr>
          <w:p w14:paraId="6B24B205" w14:textId="77777777" w:rsidR="00AD2F03" w:rsidRPr="00A448F6" w:rsidRDefault="00AD2F03" w:rsidP="00E65C03">
            <w:pPr>
              <w:spacing w:line="240" w:lineRule="auto"/>
              <w:rPr>
                <w:rFonts w:ascii="Calibri" w:eastAsia="Times New Roman" w:hAnsi="Calibri" w:cs="Calibri"/>
                <w:color w:val="000000"/>
              </w:rPr>
            </w:pPr>
            <w:r>
              <w:rPr>
                <w:rFonts w:ascii="Calibri" w:hAnsi="Calibri" w:cs="Calibri"/>
                <w:color w:val="000000"/>
                <w:sz w:val="22"/>
              </w:rPr>
              <w:t>Commercial</w:t>
            </w:r>
          </w:p>
        </w:tc>
        <w:tc>
          <w:tcPr>
            <w:tcW w:w="1086" w:type="dxa"/>
            <w:noWrap/>
            <w:hideMark/>
          </w:tcPr>
          <w:p w14:paraId="79CE5FC0"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245</w:t>
            </w:r>
          </w:p>
        </w:tc>
        <w:tc>
          <w:tcPr>
            <w:tcW w:w="1298" w:type="dxa"/>
            <w:noWrap/>
            <w:hideMark/>
          </w:tcPr>
          <w:p w14:paraId="7D3C455A"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35</w:t>
            </w:r>
          </w:p>
        </w:tc>
        <w:tc>
          <w:tcPr>
            <w:tcW w:w="960" w:type="dxa"/>
            <w:noWrap/>
            <w:hideMark/>
          </w:tcPr>
          <w:p w14:paraId="0C3D9099"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70</w:t>
            </w:r>
          </w:p>
        </w:tc>
        <w:tc>
          <w:tcPr>
            <w:tcW w:w="960" w:type="dxa"/>
            <w:noWrap/>
            <w:hideMark/>
          </w:tcPr>
          <w:p w14:paraId="30E0FDA6"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350</w:t>
            </w:r>
          </w:p>
        </w:tc>
      </w:tr>
      <w:tr w:rsidR="00AD2F03" w:rsidRPr="00A448F6" w14:paraId="7796CF88" w14:textId="77777777" w:rsidTr="00E65C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3" w:type="dxa"/>
            <w:noWrap/>
            <w:vAlign w:val="bottom"/>
            <w:hideMark/>
          </w:tcPr>
          <w:p w14:paraId="4BD06248" w14:textId="77777777" w:rsidR="00AD2F03" w:rsidRPr="00A448F6" w:rsidRDefault="00AD2F03" w:rsidP="00E65C03">
            <w:pPr>
              <w:spacing w:line="240" w:lineRule="auto"/>
              <w:rPr>
                <w:rFonts w:ascii="Calibri" w:eastAsia="Times New Roman" w:hAnsi="Calibri" w:cs="Calibri"/>
                <w:color w:val="000000"/>
              </w:rPr>
            </w:pPr>
            <w:r>
              <w:rPr>
                <w:rFonts w:ascii="Calibri" w:hAnsi="Calibri" w:cs="Calibri"/>
                <w:color w:val="000000"/>
                <w:sz w:val="22"/>
              </w:rPr>
              <w:t>Dense residential</w:t>
            </w:r>
          </w:p>
        </w:tc>
        <w:tc>
          <w:tcPr>
            <w:tcW w:w="1086" w:type="dxa"/>
            <w:noWrap/>
            <w:hideMark/>
          </w:tcPr>
          <w:p w14:paraId="14574AF6"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287</w:t>
            </w:r>
          </w:p>
        </w:tc>
        <w:tc>
          <w:tcPr>
            <w:tcW w:w="1298" w:type="dxa"/>
            <w:noWrap/>
            <w:hideMark/>
          </w:tcPr>
          <w:p w14:paraId="73E37AEF"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41</w:t>
            </w:r>
          </w:p>
        </w:tc>
        <w:tc>
          <w:tcPr>
            <w:tcW w:w="960" w:type="dxa"/>
            <w:noWrap/>
            <w:hideMark/>
          </w:tcPr>
          <w:p w14:paraId="78F00C2C"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82</w:t>
            </w:r>
          </w:p>
        </w:tc>
        <w:tc>
          <w:tcPr>
            <w:tcW w:w="960" w:type="dxa"/>
            <w:noWrap/>
            <w:hideMark/>
          </w:tcPr>
          <w:p w14:paraId="2C0FDCD0"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410</w:t>
            </w:r>
          </w:p>
        </w:tc>
      </w:tr>
      <w:tr w:rsidR="00AD2F03" w:rsidRPr="00A448F6" w14:paraId="3C22046E" w14:textId="77777777" w:rsidTr="00E65C03">
        <w:trPr>
          <w:trHeight w:val="288"/>
        </w:trPr>
        <w:tc>
          <w:tcPr>
            <w:cnfStyle w:val="001000000000" w:firstRow="0" w:lastRow="0" w:firstColumn="1" w:lastColumn="0" w:oddVBand="0" w:evenVBand="0" w:oddHBand="0" w:evenHBand="0" w:firstRowFirstColumn="0" w:firstRowLastColumn="0" w:lastRowFirstColumn="0" w:lastRowLastColumn="0"/>
            <w:tcW w:w="2253" w:type="dxa"/>
            <w:noWrap/>
            <w:vAlign w:val="bottom"/>
            <w:hideMark/>
          </w:tcPr>
          <w:p w14:paraId="6FA4888B" w14:textId="77777777" w:rsidR="00AD2F03" w:rsidRPr="00A448F6" w:rsidRDefault="00AD2F03" w:rsidP="00E65C03">
            <w:pPr>
              <w:spacing w:line="240" w:lineRule="auto"/>
              <w:rPr>
                <w:rFonts w:ascii="Calibri" w:eastAsia="Times New Roman" w:hAnsi="Calibri" w:cs="Calibri"/>
                <w:color w:val="000000"/>
              </w:rPr>
            </w:pPr>
            <w:r>
              <w:rPr>
                <w:rFonts w:ascii="Calibri" w:hAnsi="Calibri" w:cs="Calibri"/>
                <w:color w:val="000000"/>
                <w:sz w:val="22"/>
              </w:rPr>
              <w:t>Desert</w:t>
            </w:r>
          </w:p>
        </w:tc>
        <w:tc>
          <w:tcPr>
            <w:tcW w:w="1086" w:type="dxa"/>
            <w:noWrap/>
            <w:hideMark/>
          </w:tcPr>
          <w:p w14:paraId="16172B51"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210</w:t>
            </w:r>
          </w:p>
        </w:tc>
        <w:tc>
          <w:tcPr>
            <w:tcW w:w="1298" w:type="dxa"/>
            <w:noWrap/>
            <w:hideMark/>
          </w:tcPr>
          <w:p w14:paraId="11E58EC8"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30</w:t>
            </w:r>
          </w:p>
        </w:tc>
        <w:tc>
          <w:tcPr>
            <w:tcW w:w="960" w:type="dxa"/>
            <w:noWrap/>
            <w:hideMark/>
          </w:tcPr>
          <w:p w14:paraId="2EA345A8"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60</w:t>
            </w:r>
          </w:p>
        </w:tc>
        <w:tc>
          <w:tcPr>
            <w:tcW w:w="960" w:type="dxa"/>
            <w:noWrap/>
            <w:hideMark/>
          </w:tcPr>
          <w:p w14:paraId="48B3FDF2"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300</w:t>
            </w:r>
          </w:p>
        </w:tc>
      </w:tr>
      <w:tr w:rsidR="00AD2F03" w:rsidRPr="00A448F6" w14:paraId="7D73847A" w14:textId="77777777" w:rsidTr="00E65C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3" w:type="dxa"/>
            <w:noWrap/>
            <w:vAlign w:val="bottom"/>
            <w:hideMark/>
          </w:tcPr>
          <w:p w14:paraId="0010CFCC" w14:textId="77777777" w:rsidR="00AD2F03" w:rsidRPr="00A448F6" w:rsidRDefault="00AD2F03" w:rsidP="00E65C03">
            <w:pPr>
              <w:spacing w:line="240" w:lineRule="auto"/>
              <w:rPr>
                <w:rFonts w:ascii="Calibri" w:eastAsia="Times New Roman" w:hAnsi="Calibri" w:cs="Calibri"/>
                <w:color w:val="000000"/>
              </w:rPr>
            </w:pPr>
            <w:r>
              <w:rPr>
                <w:rFonts w:ascii="Calibri" w:hAnsi="Calibri" w:cs="Calibri"/>
                <w:color w:val="000000"/>
                <w:sz w:val="22"/>
              </w:rPr>
              <w:t>Farmland</w:t>
            </w:r>
          </w:p>
        </w:tc>
        <w:tc>
          <w:tcPr>
            <w:tcW w:w="1086" w:type="dxa"/>
            <w:noWrap/>
            <w:hideMark/>
          </w:tcPr>
          <w:p w14:paraId="200084CD"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259</w:t>
            </w:r>
          </w:p>
        </w:tc>
        <w:tc>
          <w:tcPr>
            <w:tcW w:w="1298" w:type="dxa"/>
            <w:noWrap/>
            <w:hideMark/>
          </w:tcPr>
          <w:p w14:paraId="4EF36F16"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37</w:t>
            </w:r>
          </w:p>
        </w:tc>
        <w:tc>
          <w:tcPr>
            <w:tcW w:w="960" w:type="dxa"/>
            <w:noWrap/>
            <w:hideMark/>
          </w:tcPr>
          <w:p w14:paraId="6BF97276"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74</w:t>
            </w:r>
          </w:p>
        </w:tc>
        <w:tc>
          <w:tcPr>
            <w:tcW w:w="960" w:type="dxa"/>
            <w:noWrap/>
            <w:hideMark/>
          </w:tcPr>
          <w:p w14:paraId="5BA9000B"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370</w:t>
            </w:r>
          </w:p>
        </w:tc>
      </w:tr>
      <w:tr w:rsidR="00AD2F03" w:rsidRPr="00A448F6" w14:paraId="052CEDB9" w14:textId="77777777" w:rsidTr="00E65C03">
        <w:trPr>
          <w:trHeight w:val="288"/>
        </w:trPr>
        <w:tc>
          <w:tcPr>
            <w:cnfStyle w:val="001000000000" w:firstRow="0" w:lastRow="0" w:firstColumn="1" w:lastColumn="0" w:oddVBand="0" w:evenVBand="0" w:oddHBand="0" w:evenHBand="0" w:firstRowFirstColumn="0" w:firstRowLastColumn="0" w:lastRowFirstColumn="0" w:lastRowLastColumn="0"/>
            <w:tcW w:w="2253" w:type="dxa"/>
            <w:noWrap/>
            <w:vAlign w:val="bottom"/>
            <w:hideMark/>
          </w:tcPr>
          <w:p w14:paraId="53AE3E65" w14:textId="77777777" w:rsidR="00AD2F03" w:rsidRPr="00A448F6" w:rsidRDefault="00AD2F03" w:rsidP="00E65C03">
            <w:pPr>
              <w:spacing w:line="240" w:lineRule="auto"/>
              <w:rPr>
                <w:rFonts w:ascii="Calibri" w:eastAsia="Times New Roman" w:hAnsi="Calibri" w:cs="Calibri"/>
                <w:color w:val="000000"/>
              </w:rPr>
            </w:pPr>
            <w:r>
              <w:rPr>
                <w:rFonts w:ascii="Calibri" w:hAnsi="Calibri" w:cs="Calibri"/>
                <w:color w:val="000000"/>
                <w:sz w:val="22"/>
              </w:rPr>
              <w:t>Forest</w:t>
            </w:r>
          </w:p>
        </w:tc>
        <w:tc>
          <w:tcPr>
            <w:tcW w:w="1086" w:type="dxa"/>
            <w:noWrap/>
            <w:hideMark/>
          </w:tcPr>
          <w:p w14:paraId="5E9C8F1E"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175</w:t>
            </w:r>
          </w:p>
        </w:tc>
        <w:tc>
          <w:tcPr>
            <w:tcW w:w="1298" w:type="dxa"/>
            <w:noWrap/>
            <w:hideMark/>
          </w:tcPr>
          <w:p w14:paraId="372B575A"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25</w:t>
            </w:r>
          </w:p>
        </w:tc>
        <w:tc>
          <w:tcPr>
            <w:tcW w:w="960" w:type="dxa"/>
            <w:noWrap/>
            <w:hideMark/>
          </w:tcPr>
          <w:p w14:paraId="14C2EF4A"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50</w:t>
            </w:r>
          </w:p>
        </w:tc>
        <w:tc>
          <w:tcPr>
            <w:tcW w:w="960" w:type="dxa"/>
            <w:noWrap/>
            <w:hideMark/>
          </w:tcPr>
          <w:p w14:paraId="1562AA53"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250</w:t>
            </w:r>
          </w:p>
        </w:tc>
      </w:tr>
      <w:tr w:rsidR="00AD2F03" w:rsidRPr="00A448F6" w14:paraId="2D2E55A7" w14:textId="77777777" w:rsidTr="00E65C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3" w:type="dxa"/>
            <w:noWrap/>
            <w:vAlign w:val="bottom"/>
            <w:hideMark/>
          </w:tcPr>
          <w:p w14:paraId="27A89532" w14:textId="77777777" w:rsidR="00AD2F03" w:rsidRPr="00A448F6" w:rsidRDefault="00AD2F03" w:rsidP="00E65C03">
            <w:pPr>
              <w:spacing w:line="240" w:lineRule="auto"/>
              <w:rPr>
                <w:rFonts w:ascii="Calibri" w:eastAsia="Times New Roman" w:hAnsi="Calibri" w:cs="Calibri"/>
                <w:color w:val="000000"/>
              </w:rPr>
            </w:pPr>
            <w:r>
              <w:rPr>
                <w:rFonts w:ascii="Calibri" w:hAnsi="Calibri" w:cs="Calibri"/>
                <w:color w:val="000000"/>
                <w:sz w:val="22"/>
              </w:rPr>
              <w:t>Industrial</w:t>
            </w:r>
          </w:p>
        </w:tc>
        <w:tc>
          <w:tcPr>
            <w:tcW w:w="1086" w:type="dxa"/>
            <w:noWrap/>
            <w:hideMark/>
          </w:tcPr>
          <w:p w14:paraId="0970617B"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273</w:t>
            </w:r>
          </w:p>
        </w:tc>
        <w:tc>
          <w:tcPr>
            <w:tcW w:w="1298" w:type="dxa"/>
            <w:noWrap/>
            <w:hideMark/>
          </w:tcPr>
          <w:p w14:paraId="375855A5"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39</w:t>
            </w:r>
          </w:p>
        </w:tc>
        <w:tc>
          <w:tcPr>
            <w:tcW w:w="960" w:type="dxa"/>
            <w:noWrap/>
            <w:hideMark/>
          </w:tcPr>
          <w:p w14:paraId="52DA69FD"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78</w:t>
            </w:r>
          </w:p>
        </w:tc>
        <w:tc>
          <w:tcPr>
            <w:tcW w:w="960" w:type="dxa"/>
            <w:noWrap/>
            <w:hideMark/>
          </w:tcPr>
          <w:p w14:paraId="202100F4"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390</w:t>
            </w:r>
          </w:p>
        </w:tc>
      </w:tr>
      <w:tr w:rsidR="00AD2F03" w:rsidRPr="00A448F6" w14:paraId="79409330" w14:textId="77777777" w:rsidTr="00E65C03">
        <w:trPr>
          <w:trHeight w:val="288"/>
        </w:trPr>
        <w:tc>
          <w:tcPr>
            <w:cnfStyle w:val="001000000000" w:firstRow="0" w:lastRow="0" w:firstColumn="1" w:lastColumn="0" w:oddVBand="0" w:evenVBand="0" w:oddHBand="0" w:evenHBand="0" w:firstRowFirstColumn="0" w:firstRowLastColumn="0" w:lastRowFirstColumn="0" w:lastRowLastColumn="0"/>
            <w:tcW w:w="2253" w:type="dxa"/>
            <w:noWrap/>
            <w:vAlign w:val="bottom"/>
            <w:hideMark/>
          </w:tcPr>
          <w:p w14:paraId="6598A64E" w14:textId="77777777" w:rsidR="00AD2F03" w:rsidRPr="00A448F6" w:rsidRDefault="00AD2F03" w:rsidP="00E65C03">
            <w:pPr>
              <w:spacing w:line="240" w:lineRule="auto"/>
              <w:rPr>
                <w:rFonts w:ascii="Calibri" w:eastAsia="Times New Roman" w:hAnsi="Calibri" w:cs="Calibri"/>
                <w:color w:val="000000"/>
              </w:rPr>
            </w:pPr>
            <w:r>
              <w:rPr>
                <w:rFonts w:ascii="Calibri" w:hAnsi="Calibri" w:cs="Calibri"/>
                <w:color w:val="000000"/>
                <w:sz w:val="22"/>
              </w:rPr>
              <w:t>Meadow</w:t>
            </w:r>
          </w:p>
        </w:tc>
        <w:tc>
          <w:tcPr>
            <w:tcW w:w="1086" w:type="dxa"/>
            <w:noWrap/>
            <w:hideMark/>
          </w:tcPr>
          <w:p w14:paraId="2C30F8D8"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196</w:t>
            </w:r>
          </w:p>
        </w:tc>
        <w:tc>
          <w:tcPr>
            <w:tcW w:w="1298" w:type="dxa"/>
            <w:noWrap/>
            <w:hideMark/>
          </w:tcPr>
          <w:p w14:paraId="6DC74FA2"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28</w:t>
            </w:r>
          </w:p>
        </w:tc>
        <w:tc>
          <w:tcPr>
            <w:tcW w:w="960" w:type="dxa"/>
            <w:noWrap/>
            <w:hideMark/>
          </w:tcPr>
          <w:p w14:paraId="1246D98A"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56</w:t>
            </w:r>
          </w:p>
        </w:tc>
        <w:tc>
          <w:tcPr>
            <w:tcW w:w="960" w:type="dxa"/>
            <w:noWrap/>
            <w:hideMark/>
          </w:tcPr>
          <w:p w14:paraId="431434F6"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280</w:t>
            </w:r>
          </w:p>
        </w:tc>
      </w:tr>
      <w:tr w:rsidR="00AD2F03" w:rsidRPr="00A448F6" w14:paraId="51479B0B" w14:textId="77777777" w:rsidTr="00E65C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3" w:type="dxa"/>
            <w:noWrap/>
            <w:vAlign w:val="bottom"/>
            <w:hideMark/>
          </w:tcPr>
          <w:p w14:paraId="3D5B7FC4" w14:textId="77777777" w:rsidR="00AD2F03" w:rsidRPr="00A448F6" w:rsidRDefault="00AD2F03" w:rsidP="00E65C03">
            <w:pPr>
              <w:spacing w:line="240" w:lineRule="auto"/>
              <w:rPr>
                <w:rFonts w:ascii="Calibri" w:eastAsia="Times New Roman" w:hAnsi="Calibri" w:cs="Calibri"/>
                <w:color w:val="000000"/>
              </w:rPr>
            </w:pPr>
            <w:r>
              <w:rPr>
                <w:rFonts w:ascii="Calibri" w:hAnsi="Calibri" w:cs="Calibri"/>
                <w:color w:val="000000"/>
                <w:sz w:val="22"/>
              </w:rPr>
              <w:t>Medium residential</w:t>
            </w:r>
          </w:p>
        </w:tc>
        <w:tc>
          <w:tcPr>
            <w:tcW w:w="1086" w:type="dxa"/>
            <w:noWrap/>
            <w:hideMark/>
          </w:tcPr>
          <w:p w14:paraId="7A414842"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203</w:t>
            </w:r>
          </w:p>
        </w:tc>
        <w:tc>
          <w:tcPr>
            <w:tcW w:w="1298" w:type="dxa"/>
            <w:noWrap/>
            <w:hideMark/>
          </w:tcPr>
          <w:p w14:paraId="357E05D0"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29</w:t>
            </w:r>
          </w:p>
        </w:tc>
        <w:tc>
          <w:tcPr>
            <w:tcW w:w="960" w:type="dxa"/>
            <w:noWrap/>
            <w:hideMark/>
          </w:tcPr>
          <w:p w14:paraId="3EB1BD87"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58</w:t>
            </w:r>
          </w:p>
        </w:tc>
        <w:tc>
          <w:tcPr>
            <w:tcW w:w="960" w:type="dxa"/>
            <w:noWrap/>
            <w:hideMark/>
          </w:tcPr>
          <w:p w14:paraId="43C0AA07"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290</w:t>
            </w:r>
          </w:p>
        </w:tc>
      </w:tr>
      <w:tr w:rsidR="00AD2F03" w:rsidRPr="00A448F6" w14:paraId="2FAE31FA" w14:textId="77777777" w:rsidTr="00E65C03">
        <w:trPr>
          <w:trHeight w:val="288"/>
        </w:trPr>
        <w:tc>
          <w:tcPr>
            <w:cnfStyle w:val="001000000000" w:firstRow="0" w:lastRow="0" w:firstColumn="1" w:lastColumn="0" w:oddVBand="0" w:evenVBand="0" w:oddHBand="0" w:evenHBand="0" w:firstRowFirstColumn="0" w:firstRowLastColumn="0" w:lastRowFirstColumn="0" w:lastRowLastColumn="0"/>
            <w:tcW w:w="2253" w:type="dxa"/>
            <w:noWrap/>
            <w:vAlign w:val="bottom"/>
            <w:hideMark/>
          </w:tcPr>
          <w:p w14:paraId="4313E04B" w14:textId="77777777" w:rsidR="00AD2F03" w:rsidRPr="00A448F6" w:rsidRDefault="00AD2F03" w:rsidP="00E65C03">
            <w:pPr>
              <w:spacing w:line="240" w:lineRule="auto"/>
              <w:rPr>
                <w:rFonts w:ascii="Calibri" w:eastAsia="Times New Roman" w:hAnsi="Calibri" w:cs="Calibri"/>
                <w:color w:val="000000"/>
              </w:rPr>
            </w:pPr>
            <w:r>
              <w:rPr>
                <w:rFonts w:ascii="Calibri" w:hAnsi="Calibri" w:cs="Calibri"/>
                <w:color w:val="000000"/>
                <w:sz w:val="22"/>
              </w:rPr>
              <w:t>Mountain</w:t>
            </w:r>
          </w:p>
        </w:tc>
        <w:tc>
          <w:tcPr>
            <w:tcW w:w="1086" w:type="dxa"/>
            <w:noWrap/>
            <w:hideMark/>
          </w:tcPr>
          <w:p w14:paraId="6C907B47"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238</w:t>
            </w:r>
          </w:p>
        </w:tc>
        <w:tc>
          <w:tcPr>
            <w:tcW w:w="1298" w:type="dxa"/>
            <w:noWrap/>
            <w:hideMark/>
          </w:tcPr>
          <w:p w14:paraId="7DD6516B"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34</w:t>
            </w:r>
          </w:p>
        </w:tc>
        <w:tc>
          <w:tcPr>
            <w:tcW w:w="960" w:type="dxa"/>
            <w:noWrap/>
            <w:hideMark/>
          </w:tcPr>
          <w:p w14:paraId="21FE752D"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68</w:t>
            </w:r>
          </w:p>
        </w:tc>
        <w:tc>
          <w:tcPr>
            <w:tcW w:w="960" w:type="dxa"/>
            <w:noWrap/>
            <w:hideMark/>
          </w:tcPr>
          <w:p w14:paraId="39E20A34"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340</w:t>
            </w:r>
          </w:p>
        </w:tc>
      </w:tr>
      <w:tr w:rsidR="00AD2F03" w:rsidRPr="00A448F6" w14:paraId="0302F5BA" w14:textId="77777777" w:rsidTr="00E65C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3" w:type="dxa"/>
            <w:noWrap/>
            <w:vAlign w:val="bottom"/>
            <w:hideMark/>
          </w:tcPr>
          <w:p w14:paraId="48C0096E" w14:textId="77777777" w:rsidR="00AD2F03" w:rsidRPr="00A448F6" w:rsidRDefault="00AD2F03" w:rsidP="00E65C03">
            <w:pPr>
              <w:spacing w:line="240" w:lineRule="auto"/>
              <w:rPr>
                <w:rFonts w:ascii="Calibri" w:eastAsia="Times New Roman" w:hAnsi="Calibri" w:cs="Calibri"/>
                <w:color w:val="000000"/>
              </w:rPr>
            </w:pPr>
            <w:r>
              <w:rPr>
                <w:rFonts w:ascii="Calibri" w:hAnsi="Calibri" w:cs="Calibri"/>
                <w:color w:val="000000"/>
                <w:sz w:val="22"/>
              </w:rPr>
              <w:t>Park</w:t>
            </w:r>
          </w:p>
        </w:tc>
        <w:tc>
          <w:tcPr>
            <w:tcW w:w="1086" w:type="dxa"/>
            <w:noWrap/>
            <w:hideMark/>
          </w:tcPr>
          <w:p w14:paraId="0A3690FD"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245</w:t>
            </w:r>
          </w:p>
        </w:tc>
        <w:tc>
          <w:tcPr>
            <w:tcW w:w="1298" w:type="dxa"/>
            <w:noWrap/>
            <w:hideMark/>
          </w:tcPr>
          <w:p w14:paraId="6A64ED15"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35</w:t>
            </w:r>
          </w:p>
        </w:tc>
        <w:tc>
          <w:tcPr>
            <w:tcW w:w="960" w:type="dxa"/>
            <w:noWrap/>
            <w:hideMark/>
          </w:tcPr>
          <w:p w14:paraId="3CE84128"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70</w:t>
            </w:r>
          </w:p>
        </w:tc>
        <w:tc>
          <w:tcPr>
            <w:tcW w:w="960" w:type="dxa"/>
            <w:noWrap/>
            <w:hideMark/>
          </w:tcPr>
          <w:p w14:paraId="35185F0B"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350</w:t>
            </w:r>
          </w:p>
        </w:tc>
      </w:tr>
      <w:tr w:rsidR="00AD2F03" w:rsidRPr="00A448F6" w14:paraId="3BEF025D" w14:textId="77777777" w:rsidTr="00E65C03">
        <w:trPr>
          <w:trHeight w:val="288"/>
        </w:trPr>
        <w:tc>
          <w:tcPr>
            <w:cnfStyle w:val="001000000000" w:firstRow="0" w:lastRow="0" w:firstColumn="1" w:lastColumn="0" w:oddVBand="0" w:evenVBand="0" w:oddHBand="0" w:evenHBand="0" w:firstRowFirstColumn="0" w:firstRowLastColumn="0" w:lastRowFirstColumn="0" w:lastRowLastColumn="0"/>
            <w:tcW w:w="2253" w:type="dxa"/>
            <w:noWrap/>
            <w:vAlign w:val="bottom"/>
            <w:hideMark/>
          </w:tcPr>
          <w:p w14:paraId="2399940C" w14:textId="77777777" w:rsidR="00AD2F03" w:rsidRPr="00A448F6" w:rsidRDefault="00AD2F03" w:rsidP="00E65C03">
            <w:pPr>
              <w:spacing w:line="240" w:lineRule="auto"/>
              <w:rPr>
                <w:rFonts w:ascii="Calibri" w:eastAsia="Times New Roman" w:hAnsi="Calibri" w:cs="Calibri"/>
                <w:color w:val="000000"/>
              </w:rPr>
            </w:pPr>
            <w:r>
              <w:rPr>
                <w:rFonts w:ascii="Calibri" w:hAnsi="Calibri" w:cs="Calibri"/>
                <w:color w:val="000000"/>
                <w:sz w:val="22"/>
              </w:rPr>
              <w:t>Parking</w:t>
            </w:r>
          </w:p>
        </w:tc>
        <w:tc>
          <w:tcPr>
            <w:tcW w:w="1086" w:type="dxa"/>
            <w:noWrap/>
            <w:hideMark/>
          </w:tcPr>
          <w:p w14:paraId="55D16208"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273</w:t>
            </w:r>
          </w:p>
        </w:tc>
        <w:tc>
          <w:tcPr>
            <w:tcW w:w="1298" w:type="dxa"/>
            <w:noWrap/>
            <w:hideMark/>
          </w:tcPr>
          <w:p w14:paraId="5CAABD4C"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39</w:t>
            </w:r>
          </w:p>
        </w:tc>
        <w:tc>
          <w:tcPr>
            <w:tcW w:w="960" w:type="dxa"/>
            <w:noWrap/>
            <w:hideMark/>
          </w:tcPr>
          <w:p w14:paraId="1D2CF822"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78</w:t>
            </w:r>
          </w:p>
        </w:tc>
        <w:tc>
          <w:tcPr>
            <w:tcW w:w="960" w:type="dxa"/>
            <w:noWrap/>
            <w:hideMark/>
          </w:tcPr>
          <w:p w14:paraId="6137FCED"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390</w:t>
            </w:r>
          </w:p>
        </w:tc>
      </w:tr>
      <w:tr w:rsidR="00AD2F03" w:rsidRPr="00A448F6" w14:paraId="06E746B1" w14:textId="77777777" w:rsidTr="00E65C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3" w:type="dxa"/>
            <w:noWrap/>
            <w:vAlign w:val="bottom"/>
            <w:hideMark/>
          </w:tcPr>
          <w:p w14:paraId="5B3A83B3" w14:textId="77777777" w:rsidR="00AD2F03" w:rsidRPr="00A448F6" w:rsidRDefault="00AD2F03" w:rsidP="00E65C03">
            <w:pPr>
              <w:spacing w:line="240" w:lineRule="auto"/>
              <w:rPr>
                <w:rFonts w:ascii="Calibri" w:eastAsia="Times New Roman" w:hAnsi="Calibri" w:cs="Calibri"/>
                <w:color w:val="000000"/>
              </w:rPr>
            </w:pPr>
            <w:r>
              <w:rPr>
                <w:rFonts w:ascii="Calibri" w:hAnsi="Calibri" w:cs="Calibri"/>
                <w:color w:val="000000"/>
                <w:sz w:val="22"/>
              </w:rPr>
              <w:t>Playground</w:t>
            </w:r>
          </w:p>
        </w:tc>
        <w:tc>
          <w:tcPr>
            <w:tcW w:w="1086" w:type="dxa"/>
            <w:noWrap/>
            <w:hideMark/>
          </w:tcPr>
          <w:p w14:paraId="6EDB42AA"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259</w:t>
            </w:r>
          </w:p>
        </w:tc>
        <w:tc>
          <w:tcPr>
            <w:tcW w:w="1298" w:type="dxa"/>
            <w:noWrap/>
            <w:hideMark/>
          </w:tcPr>
          <w:p w14:paraId="6C996F63"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37</w:t>
            </w:r>
          </w:p>
        </w:tc>
        <w:tc>
          <w:tcPr>
            <w:tcW w:w="960" w:type="dxa"/>
            <w:noWrap/>
            <w:hideMark/>
          </w:tcPr>
          <w:p w14:paraId="55531E14"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74</w:t>
            </w:r>
          </w:p>
        </w:tc>
        <w:tc>
          <w:tcPr>
            <w:tcW w:w="960" w:type="dxa"/>
            <w:noWrap/>
            <w:hideMark/>
          </w:tcPr>
          <w:p w14:paraId="70B5BB81"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370</w:t>
            </w:r>
          </w:p>
        </w:tc>
      </w:tr>
      <w:tr w:rsidR="00AD2F03" w:rsidRPr="00A448F6" w14:paraId="13C6E988" w14:textId="77777777" w:rsidTr="00E65C03">
        <w:trPr>
          <w:trHeight w:val="288"/>
        </w:trPr>
        <w:tc>
          <w:tcPr>
            <w:cnfStyle w:val="001000000000" w:firstRow="0" w:lastRow="0" w:firstColumn="1" w:lastColumn="0" w:oddVBand="0" w:evenVBand="0" w:oddHBand="0" w:evenHBand="0" w:firstRowFirstColumn="0" w:firstRowLastColumn="0" w:lastRowFirstColumn="0" w:lastRowLastColumn="0"/>
            <w:tcW w:w="2253" w:type="dxa"/>
            <w:noWrap/>
            <w:vAlign w:val="bottom"/>
            <w:hideMark/>
          </w:tcPr>
          <w:p w14:paraId="718FAD78" w14:textId="77777777" w:rsidR="00AD2F03" w:rsidRPr="00A448F6" w:rsidRDefault="00AD2F03" w:rsidP="00E65C03">
            <w:pPr>
              <w:spacing w:line="240" w:lineRule="auto"/>
              <w:rPr>
                <w:rFonts w:ascii="Calibri" w:eastAsia="Times New Roman" w:hAnsi="Calibri" w:cs="Calibri"/>
                <w:color w:val="000000"/>
              </w:rPr>
            </w:pPr>
            <w:r>
              <w:rPr>
                <w:rFonts w:ascii="Calibri" w:hAnsi="Calibri" w:cs="Calibri"/>
                <w:color w:val="000000"/>
                <w:sz w:val="22"/>
              </w:rPr>
              <w:t>Pond</w:t>
            </w:r>
          </w:p>
        </w:tc>
        <w:tc>
          <w:tcPr>
            <w:tcW w:w="1086" w:type="dxa"/>
            <w:noWrap/>
            <w:hideMark/>
          </w:tcPr>
          <w:p w14:paraId="2FFEC523"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294</w:t>
            </w:r>
          </w:p>
        </w:tc>
        <w:tc>
          <w:tcPr>
            <w:tcW w:w="1298" w:type="dxa"/>
            <w:noWrap/>
            <w:hideMark/>
          </w:tcPr>
          <w:p w14:paraId="5BDDA2F5"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42</w:t>
            </w:r>
          </w:p>
        </w:tc>
        <w:tc>
          <w:tcPr>
            <w:tcW w:w="960" w:type="dxa"/>
            <w:noWrap/>
            <w:hideMark/>
          </w:tcPr>
          <w:p w14:paraId="60C189A3"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84</w:t>
            </w:r>
          </w:p>
        </w:tc>
        <w:tc>
          <w:tcPr>
            <w:tcW w:w="960" w:type="dxa"/>
            <w:noWrap/>
            <w:hideMark/>
          </w:tcPr>
          <w:p w14:paraId="7BCA1CFC"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420</w:t>
            </w:r>
          </w:p>
        </w:tc>
      </w:tr>
      <w:tr w:rsidR="00AD2F03" w:rsidRPr="00A448F6" w14:paraId="6412252D" w14:textId="77777777" w:rsidTr="00E65C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3" w:type="dxa"/>
            <w:noWrap/>
            <w:vAlign w:val="bottom"/>
            <w:hideMark/>
          </w:tcPr>
          <w:p w14:paraId="50F9D528" w14:textId="77777777" w:rsidR="00AD2F03" w:rsidRPr="00A448F6" w:rsidRDefault="00AD2F03" w:rsidP="00E65C03">
            <w:pPr>
              <w:spacing w:line="240" w:lineRule="auto"/>
              <w:rPr>
                <w:rFonts w:ascii="Calibri" w:eastAsia="Times New Roman" w:hAnsi="Calibri" w:cs="Calibri"/>
                <w:color w:val="000000"/>
              </w:rPr>
            </w:pPr>
            <w:r>
              <w:rPr>
                <w:rFonts w:ascii="Calibri" w:hAnsi="Calibri" w:cs="Calibri"/>
                <w:color w:val="000000"/>
                <w:sz w:val="22"/>
              </w:rPr>
              <w:t>Port</w:t>
            </w:r>
          </w:p>
        </w:tc>
        <w:tc>
          <w:tcPr>
            <w:tcW w:w="1086" w:type="dxa"/>
            <w:noWrap/>
            <w:hideMark/>
          </w:tcPr>
          <w:p w14:paraId="1B7335B4"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266</w:t>
            </w:r>
          </w:p>
        </w:tc>
        <w:tc>
          <w:tcPr>
            <w:tcW w:w="1298" w:type="dxa"/>
            <w:noWrap/>
            <w:hideMark/>
          </w:tcPr>
          <w:p w14:paraId="2DDFE986"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38</w:t>
            </w:r>
          </w:p>
        </w:tc>
        <w:tc>
          <w:tcPr>
            <w:tcW w:w="960" w:type="dxa"/>
            <w:noWrap/>
            <w:hideMark/>
          </w:tcPr>
          <w:p w14:paraId="020E76D3"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76</w:t>
            </w:r>
          </w:p>
        </w:tc>
        <w:tc>
          <w:tcPr>
            <w:tcW w:w="960" w:type="dxa"/>
            <w:noWrap/>
            <w:hideMark/>
          </w:tcPr>
          <w:p w14:paraId="7FF13884"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380</w:t>
            </w:r>
          </w:p>
        </w:tc>
      </w:tr>
      <w:tr w:rsidR="00AD2F03" w:rsidRPr="00A448F6" w14:paraId="003DDF94" w14:textId="77777777" w:rsidTr="00E65C03">
        <w:trPr>
          <w:trHeight w:val="288"/>
        </w:trPr>
        <w:tc>
          <w:tcPr>
            <w:cnfStyle w:val="001000000000" w:firstRow="0" w:lastRow="0" w:firstColumn="1" w:lastColumn="0" w:oddVBand="0" w:evenVBand="0" w:oddHBand="0" w:evenHBand="0" w:firstRowFirstColumn="0" w:firstRowLastColumn="0" w:lastRowFirstColumn="0" w:lastRowLastColumn="0"/>
            <w:tcW w:w="2253" w:type="dxa"/>
            <w:noWrap/>
            <w:vAlign w:val="bottom"/>
            <w:hideMark/>
          </w:tcPr>
          <w:p w14:paraId="27291E9E" w14:textId="77777777" w:rsidR="00AD2F03" w:rsidRPr="00A448F6" w:rsidRDefault="00AD2F03" w:rsidP="00E65C03">
            <w:pPr>
              <w:spacing w:line="240" w:lineRule="auto"/>
              <w:rPr>
                <w:rFonts w:ascii="Calibri" w:eastAsia="Times New Roman" w:hAnsi="Calibri" w:cs="Calibri"/>
                <w:color w:val="000000"/>
              </w:rPr>
            </w:pPr>
            <w:r>
              <w:rPr>
                <w:rFonts w:ascii="Calibri" w:hAnsi="Calibri" w:cs="Calibri"/>
                <w:color w:val="000000"/>
                <w:sz w:val="22"/>
              </w:rPr>
              <w:t>Railway station</w:t>
            </w:r>
          </w:p>
        </w:tc>
        <w:tc>
          <w:tcPr>
            <w:tcW w:w="1086" w:type="dxa"/>
            <w:noWrap/>
            <w:hideMark/>
          </w:tcPr>
          <w:p w14:paraId="6F88631F"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182</w:t>
            </w:r>
          </w:p>
        </w:tc>
        <w:tc>
          <w:tcPr>
            <w:tcW w:w="1298" w:type="dxa"/>
            <w:noWrap/>
            <w:hideMark/>
          </w:tcPr>
          <w:p w14:paraId="5E4F804A"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26</w:t>
            </w:r>
          </w:p>
        </w:tc>
        <w:tc>
          <w:tcPr>
            <w:tcW w:w="960" w:type="dxa"/>
            <w:noWrap/>
            <w:hideMark/>
          </w:tcPr>
          <w:p w14:paraId="2AF9839B"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52</w:t>
            </w:r>
          </w:p>
        </w:tc>
        <w:tc>
          <w:tcPr>
            <w:tcW w:w="960" w:type="dxa"/>
            <w:noWrap/>
            <w:hideMark/>
          </w:tcPr>
          <w:p w14:paraId="413A9A4A"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260</w:t>
            </w:r>
          </w:p>
        </w:tc>
      </w:tr>
      <w:tr w:rsidR="00AD2F03" w:rsidRPr="00A448F6" w14:paraId="78061CC1" w14:textId="77777777" w:rsidTr="00E65C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3" w:type="dxa"/>
            <w:noWrap/>
            <w:vAlign w:val="bottom"/>
            <w:hideMark/>
          </w:tcPr>
          <w:p w14:paraId="60B6EA4F" w14:textId="77777777" w:rsidR="00AD2F03" w:rsidRPr="00A448F6" w:rsidRDefault="00AD2F03" w:rsidP="00E65C03">
            <w:pPr>
              <w:spacing w:line="240" w:lineRule="auto"/>
              <w:rPr>
                <w:rFonts w:ascii="Calibri" w:eastAsia="Times New Roman" w:hAnsi="Calibri" w:cs="Calibri"/>
                <w:color w:val="000000"/>
              </w:rPr>
            </w:pPr>
            <w:r>
              <w:rPr>
                <w:rFonts w:ascii="Calibri" w:hAnsi="Calibri" w:cs="Calibri"/>
                <w:color w:val="000000"/>
                <w:sz w:val="22"/>
              </w:rPr>
              <w:t>Resort</w:t>
            </w:r>
          </w:p>
        </w:tc>
        <w:tc>
          <w:tcPr>
            <w:tcW w:w="1086" w:type="dxa"/>
            <w:noWrap/>
            <w:hideMark/>
          </w:tcPr>
          <w:p w14:paraId="6447C5B8"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203</w:t>
            </w:r>
          </w:p>
        </w:tc>
        <w:tc>
          <w:tcPr>
            <w:tcW w:w="1298" w:type="dxa"/>
            <w:noWrap/>
            <w:hideMark/>
          </w:tcPr>
          <w:p w14:paraId="30791716"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29</w:t>
            </w:r>
          </w:p>
        </w:tc>
        <w:tc>
          <w:tcPr>
            <w:tcW w:w="960" w:type="dxa"/>
            <w:noWrap/>
            <w:hideMark/>
          </w:tcPr>
          <w:p w14:paraId="30776868"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58</w:t>
            </w:r>
          </w:p>
        </w:tc>
        <w:tc>
          <w:tcPr>
            <w:tcW w:w="960" w:type="dxa"/>
            <w:noWrap/>
            <w:hideMark/>
          </w:tcPr>
          <w:p w14:paraId="6FED2735"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290</w:t>
            </w:r>
          </w:p>
        </w:tc>
      </w:tr>
      <w:tr w:rsidR="00AD2F03" w:rsidRPr="00A448F6" w14:paraId="1BADFA91" w14:textId="77777777" w:rsidTr="00E65C03">
        <w:trPr>
          <w:trHeight w:val="288"/>
        </w:trPr>
        <w:tc>
          <w:tcPr>
            <w:cnfStyle w:val="001000000000" w:firstRow="0" w:lastRow="0" w:firstColumn="1" w:lastColumn="0" w:oddVBand="0" w:evenVBand="0" w:oddHBand="0" w:evenHBand="0" w:firstRowFirstColumn="0" w:firstRowLastColumn="0" w:lastRowFirstColumn="0" w:lastRowLastColumn="0"/>
            <w:tcW w:w="2253" w:type="dxa"/>
            <w:noWrap/>
            <w:vAlign w:val="bottom"/>
            <w:hideMark/>
          </w:tcPr>
          <w:p w14:paraId="1D8A05BC" w14:textId="77777777" w:rsidR="00AD2F03" w:rsidRPr="00A448F6" w:rsidRDefault="00AD2F03" w:rsidP="00E65C03">
            <w:pPr>
              <w:spacing w:line="240" w:lineRule="auto"/>
              <w:rPr>
                <w:rFonts w:ascii="Calibri" w:eastAsia="Times New Roman" w:hAnsi="Calibri" w:cs="Calibri"/>
                <w:color w:val="000000"/>
              </w:rPr>
            </w:pPr>
            <w:r>
              <w:rPr>
                <w:rFonts w:ascii="Calibri" w:hAnsi="Calibri" w:cs="Calibri"/>
                <w:color w:val="000000"/>
                <w:sz w:val="22"/>
              </w:rPr>
              <w:t>River</w:t>
            </w:r>
          </w:p>
        </w:tc>
        <w:tc>
          <w:tcPr>
            <w:tcW w:w="1086" w:type="dxa"/>
            <w:noWrap/>
            <w:hideMark/>
          </w:tcPr>
          <w:p w14:paraId="530ACD3F"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287</w:t>
            </w:r>
          </w:p>
        </w:tc>
        <w:tc>
          <w:tcPr>
            <w:tcW w:w="1298" w:type="dxa"/>
            <w:noWrap/>
            <w:hideMark/>
          </w:tcPr>
          <w:p w14:paraId="6070BC75"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41</w:t>
            </w:r>
          </w:p>
        </w:tc>
        <w:tc>
          <w:tcPr>
            <w:tcW w:w="960" w:type="dxa"/>
            <w:noWrap/>
            <w:hideMark/>
          </w:tcPr>
          <w:p w14:paraId="5FFAB4C9"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82</w:t>
            </w:r>
          </w:p>
        </w:tc>
        <w:tc>
          <w:tcPr>
            <w:tcW w:w="960" w:type="dxa"/>
            <w:noWrap/>
            <w:hideMark/>
          </w:tcPr>
          <w:p w14:paraId="2FF66C85"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410</w:t>
            </w:r>
          </w:p>
        </w:tc>
      </w:tr>
      <w:tr w:rsidR="00AD2F03" w:rsidRPr="00A448F6" w14:paraId="44E62C96" w14:textId="77777777" w:rsidTr="00E65C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3" w:type="dxa"/>
            <w:noWrap/>
            <w:vAlign w:val="bottom"/>
            <w:hideMark/>
          </w:tcPr>
          <w:p w14:paraId="7C7254C1" w14:textId="77777777" w:rsidR="00AD2F03" w:rsidRPr="00A448F6" w:rsidRDefault="00AD2F03" w:rsidP="00E65C03">
            <w:pPr>
              <w:spacing w:line="240" w:lineRule="auto"/>
              <w:rPr>
                <w:rFonts w:ascii="Calibri" w:eastAsia="Times New Roman" w:hAnsi="Calibri" w:cs="Calibri"/>
                <w:color w:val="000000"/>
              </w:rPr>
            </w:pPr>
            <w:r>
              <w:rPr>
                <w:rFonts w:ascii="Calibri" w:hAnsi="Calibri" w:cs="Calibri"/>
                <w:color w:val="000000"/>
                <w:sz w:val="22"/>
              </w:rPr>
              <w:t>School</w:t>
            </w:r>
          </w:p>
        </w:tc>
        <w:tc>
          <w:tcPr>
            <w:tcW w:w="1086" w:type="dxa"/>
            <w:noWrap/>
            <w:hideMark/>
          </w:tcPr>
          <w:p w14:paraId="492A6646"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210</w:t>
            </w:r>
          </w:p>
        </w:tc>
        <w:tc>
          <w:tcPr>
            <w:tcW w:w="1298" w:type="dxa"/>
            <w:noWrap/>
            <w:hideMark/>
          </w:tcPr>
          <w:p w14:paraId="7AA27680"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30</w:t>
            </w:r>
          </w:p>
        </w:tc>
        <w:tc>
          <w:tcPr>
            <w:tcW w:w="960" w:type="dxa"/>
            <w:noWrap/>
            <w:hideMark/>
          </w:tcPr>
          <w:p w14:paraId="45A8FBFE"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60</w:t>
            </w:r>
          </w:p>
        </w:tc>
        <w:tc>
          <w:tcPr>
            <w:tcW w:w="960" w:type="dxa"/>
            <w:noWrap/>
            <w:hideMark/>
          </w:tcPr>
          <w:p w14:paraId="7ED823E6"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300</w:t>
            </w:r>
          </w:p>
        </w:tc>
      </w:tr>
      <w:tr w:rsidR="00AD2F03" w:rsidRPr="00A448F6" w14:paraId="6E87FA86" w14:textId="77777777" w:rsidTr="00E65C03">
        <w:trPr>
          <w:trHeight w:val="288"/>
        </w:trPr>
        <w:tc>
          <w:tcPr>
            <w:cnfStyle w:val="001000000000" w:firstRow="0" w:lastRow="0" w:firstColumn="1" w:lastColumn="0" w:oddVBand="0" w:evenVBand="0" w:oddHBand="0" w:evenHBand="0" w:firstRowFirstColumn="0" w:firstRowLastColumn="0" w:lastRowFirstColumn="0" w:lastRowLastColumn="0"/>
            <w:tcW w:w="2253" w:type="dxa"/>
            <w:noWrap/>
            <w:vAlign w:val="bottom"/>
            <w:hideMark/>
          </w:tcPr>
          <w:p w14:paraId="4D493E0C" w14:textId="77777777" w:rsidR="00AD2F03" w:rsidRPr="00A448F6" w:rsidRDefault="00AD2F03" w:rsidP="00E65C03">
            <w:pPr>
              <w:spacing w:line="240" w:lineRule="auto"/>
              <w:rPr>
                <w:rFonts w:ascii="Calibri" w:eastAsia="Times New Roman" w:hAnsi="Calibri" w:cs="Calibri"/>
                <w:color w:val="000000"/>
              </w:rPr>
            </w:pPr>
            <w:r>
              <w:rPr>
                <w:rFonts w:ascii="Calibri" w:hAnsi="Calibri" w:cs="Calibri"/>
                <w:color w:val="000000"/>
                <w:sz w:val="22"/>
              </w:rPr>
              <w:t>Sparse residential</w:t>
            </w:r>
          </w:p>
        </w:tc>
        <w:tc>
          <w:tcPr>
            <w:tcW w:w="1086" w:type="dxa"/>
            <w:noWrap/>
            <w:hideMark/>
          </w:tcPr>
          <w:p w14:paraId="0DDE3E1C"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210</w:t>
            </w:r>
          </w:p>
        </w:tc>
        <w:tc>
          <w:tcPr>
            <w:tcW w:w="1298" w:type="dxa"/>
            <w:noWrap/>
            <w:hideMark/>
          </w:tcPr>
          <w:p w14:paraId="2201734B"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30</w:t>
            </w:r>
          </w:p>
        </w:tc>
        <w:tc>
          <w:tcPr>
            <w:tcW w:w="960" w:type="dxa"/>
            <w:noWrap/>
            <w:hideMark/>
          </w:tcPr>
          <w:p w14:paraId="2CB0C3C9"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60</w:t>
            </w:r>
          </w:p>
        </w:tc>
        <w:tc>
          <w:tcPr>
            <w:tcW w:w="960" w:type="dxa"/>
            <w:noWrap/>
            <w:hideMark/>
          </w:tcPr>
          <w:p w14:paraId="1453D10F"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300</w:t>
            </w:r>
          </w:p>
        </w:tc>
      </w:tr>
      <w:tr w:rsidR="00AD2F03" w:rsidRPr="00A448F6" w14:paraId="46DD14CB" w14:textId="77777777" w:rsidTr="00E65C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3" w:type="dxa"/>
            <w:noWrap/>
            <w:vAlign w:val="bottom"/>
            <w:hideMark/>
          </w:tcPr>
          <w:p w14:paraId="71A2CADB" w14:textId="77777777" w:rsidR="00AD2F03" w:rsidRPr="00A448F6" w:rsidRDefault="00AD2F03" w:rsidP="00E65C03">
            <w:pPr>
              <w:spacing w:line="240" w:lineRule="auto"/>
              <w:rPr>
                <w:rFonts w:ascii="Calibri" w:eastAsia="Times New Roman" w:hAnsi="Calibri" w:cs="Calibri"/>
                <w:color w:val="000000"/>
              </w:rPr>
            </w:pPr>
            <w:r>
              <w:rPr>
                <w:rFonts w:ascii="Calibri" w:hAnsi="Calibri" w:cs="Calibri"/>
                <w:color w:val="000000"/>
                <w:sz w:val="22"/>
              </w:rPr>
              <w:t>Square</w:t>
            </w:r>
          </w:p>
        </w:tc>
        <w:tc>
          <w:tcPr>
            <w:tcW w:w="1086" w:type="dxa"/>
            <w:noWrap/>
            <w:hideMark/>
          </w:tcPr>
          <w:p w14:paraId="0D4D2E38"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231</w:t>
            </w:r>
          </w:p>
        </w:tc>
        <w:tc>
          <w:tcPr>
            <w:tcW w:w="1298" w:type="dxa"/>
            <w:noWrap/>
            <w:hideMark/>
          </w:tcPr>
          <w:p w14:paraId="64F2DB28"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33</w:t>
            </w:r>
          </w:p>
        </w:tc>
        <w:tc>
          <w:tcPr>
            <w:tcW w:w="960" w:type="dxa"/>
            <w:noWrap/>
            <w:hideMark/>
          </w:tcPr>
          <w:p w14:paraId="53CE6BF1"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66</w:t>
            </w:r>
          </w:p>
        </w:tc>
        <w:tc>
          <w:tcPr>
            <w:tcW w:w="960" w:type="dxa"/>
            <w:noWrap/>
            <w:hideMark/>
          </w:tcPr>
          <w:p w14:paraId="310FD14C"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330</w:t>
            </w:r>
          </w:p>
        </w:tc>
      </w:tr>
      <w:tr w:rsidR="00AD2F03" w:rsidRPr="00A448F6" w14:paraId="093BB0D7" w14:textId="77777777" w:rsidTr="00E65C03">
        <w:trPr>
          <w:trHeight w:val="288"/>
        </w:trPr>
        <w:tc>
          <w:tcPr>
            <w:cnfStyle w:val="001000000000" w:firstRow="0" w:lastRow="0" w:firstColumn="1" w:lastColumn="0" w:oddVBand="0" w:evenVBand="0" w:oddHBand="0" w:evenHBand="0" w:firstRowFirstColumn="0" w:firstRowLastColumn="0" w:lastRowFirstColumn="0" w:lastRowLastColumn="0"/>
            <w:tcW w:w="2253" w:type="dxa"/>
            <w:noWrap/>
            <w:vAlign w:val="bottom"/>
            <w:hideMark/>
          </w:tcPr>
          <w:p w14:paraId="2A7394D3" w14:textId="77777777" w:rsidR="00AD2F03" w:rsidRPr="00A448F6" w:rsidRDefault="00AD2F03" w:rsidP="00E65C03">
            <w:pPr>
              <w:spacing w:line="240" w:lineRule="auto"/>
              <w:rPr>
                <w:rFonts w:ascii="Calibri" w:eastAsia="Times New Roman" w:hAnsi="Calibri" w:cs="Calibri"/>
                <w:color w:val="000000"/>
              </w:rPr>
            </w:pPr>
            <w:r>
              <w:rPr>
                <w:rFonts w:ascii="Calibri" w:hAnsi="Calibri" w:cs="Calibri"/>
                <w:color w:val="000000"/>
                <w:sz w:val="22"/>
              </w:rPr>
              <w:t>Stadium</w:t>
            </w:r>
          </w:p>
        </w:tc>
        <w:tc>
          <w:tcPr>
            <w:tcW w:w="1086" w:type="dxa"/>
            <w:noWrap/>
            <w:hideMark/>
          </w:tcPr>
          <w:p w14:paraId="2F213DC4"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203</w:t>
            </w:r>
          </w:p>
        </w:tc>
        <w:tc>
          <w:tcPr>
            <w:tcW w:w="1298" w:type="dxa"/>
            <w:noWrap/>
            <w:hideMark/>
          </w:tcPr>
          <w:p w14:paraId="294B5D40"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29</w:t>
            </w:r>
          </w:p>
        </w:tc>
        <w:tc>
          <w:tcPr>
            <w:tcW w:w="960" w:type="dxa"/>
            <w:noWrap/>
            <w:hideMark/>
          </w:tcPr>
          <w:p w14:paraId="4B4519F2"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58</w:t>
            </w:r>
          </w:p>
        </w:tc>
        <w:tc>
          <w:tcPr>
            <w:tcW w:w="960" w:type="dxa"/>
            <w:noWrap/>
            <w:hideMark/>
          </w:tcPr>
          <w:p w14:paraId="35012D82"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290</w:t>
            </w:r>
          </w:p>
        </w:tc>
      </w:tr>
      <w:tr w:rsidR="00AD2F03" w:rsidRPr="00A448F6" w14:paraId="54E99D9F" w14:textId="77777777" w:rsidTr="00E65C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3" w:type="dxa"/>
            <w:noWrap/>
            <w:vAlign w:val="bottom"/>
            <w:hideMark/>
          </w:tcPr>
          <w:p w14:paraId="51FBEF10" w14:textId="77777777" w:rsidR="00AD2F03" w:rsidRPr="00A448F6" w:rsidRDefault="00AD2F03" w:rsidP="00E65C03">
            <w:pPr>
              <w:spacing w:line="240" w:lineRule="auto"/>
              <w:rPr>
                <w:rFonts w:ascii="Calibri" w:eastAsia="Times New Roman" w:hAnsi="Calibri" w:cs="Calibri"/>
                <w:color w:val="000000"/>
              </w:rPr>
            </w:pPr>
            <w:r>
              <w:rPr>
                <w:rFonts w:ascii="Calibri" w:hAnsi="Calibri" w:cs="Calibri"/>
                <w:color w:val="000000"/>
                <w:sz w:val="22"/>
              </w:rPr>
              <w:t>Storage tanks</w:t>
            </w:r>
          </w:p>
        </w:tc>
        <w:tc>
          <w:tcPr>
            <w:tcW w:w="1086" w:type="dxa"/>
            <w:noWrap/>
            <w:hideMark/>
          </w:tcPr>
          <w:p w14:paraId="490F132D"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252</w:t>
            </w:r>
          </w:p>
        </w:tc>
        <w:tc>
          <w:tcPr>
            <w:tcW w:w="1298" w:type="dxa"/>
            <w:noWrap/>
            <w:hideMark/>
          </w:tcPr>
          <w:p w14:paraId="625F816F"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36</w:t>
            </w:r>
          </w:p>
        </w:tc>
        <w:tc>
          <w:tcPr>
            <w:tcW w:w="960" w:type="dxa"/>
            <w:noWrap/>
            <w:hideMark/>
          </w:tcPr>
          <w:p w14:paraId="04F5623C"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72</w:t>
            </w:r>
          </w:p>
        </w:tc>
        <w:tc>
          <w:tcPr>
            <w:tcW w:w="960" w:type="dxa"/>
            <w:noWrap/>
            <w:hideMark/>
          </w:tcPr>
          <w:p w14:paraId="54C64248" w14:textId="77777777" w:rsidR="00AD2F03" w:rsidRPr="00A448F6"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360</w:t>
            </w:r>
          </w:p>
        </w:tc>
      </w:tr>
      <w:tr w:rsidR="00AD2F03" w:rsidRPr="00A448F6" w14:paraId="2915E574" w14:textId="77777777" w:rsidTr="00E65C03">
        <w:trPr>
          <w:trHeight w:val="288"/>
        </w:trPr>
        <w:tc>
          <w:tcPr>
            <w:cnfStyle w:val="001000000000" w:firstRow="0" w:lastRow="0" w:firstColumn="1" w:lastColumn="0" w:oddVBand="0" w:evenVBand="0" w:oddHBand="0" w:evenHBand="0" w:firstRowFirstColumn="0" w:firstRowLastColumn="0" w:lastRowFirstColumn="0" w:lastRowLastColumn="0"/>
            <w:tcW w:w="2253" w:type="dxa"/>
            <w:noWrap/>
            <w:vAlign w:val="bottom"/>
            <w:hideMark/>
          </w:tcPr>
          <w:p w14:paraId="2150B1F5" w14:textId="77777777" w:rsidR="00AD2F03" w:rsidRPr="00A448F6" w:rsidRDefault="00AD2F03" w:rsidP="00E65C03">
            <w:pPr>
              <w:spacing w:line="240" w:lineRule="auto"/>
              <w:rPr>
                <w:rFonts w:ascii="Calibri" w:eastAsia="Times New Roman" w:hAnsi="Calibri" w:cs="Calibri"/>
                <w:color w:val="000000"/>
              </w:rPr>
            </w:pPr>
            <w:r>
              <w:rPr>
                <w:rFonts w:ascii="Calibri" w:hAnsi="Calibri" w:cs="Calibri"/>
                <w:color w:val="000000"/>
                <w:sz w:val="22"/>
              </w:rPr>
              <w:t>Viaduct</w:t>
            </w:r>
          </w:p>
        </w:tc>
        <w:tc>
          <w:tcPr>
            <w:tcW w:w="1086" w:type="dxa"/>
            <w:noWrap/>
            <w:hideMark/>
          </w:tcPr>
          <w:p w14:paraId="2FC7CBA3"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294</w:t>
            </w:r>
          </w:p>
        </w:tc>
        <w:tc>
          <w:tcPr>
            <w:tcW w:w="1298" w:type="dxa"/>
            <w:noWrap/>
            <w:hideMark/>
          </w:tcPr>
          <w:p w14:paraId="1EDBF892"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42</w:t>
            </w:r>
          </w:p>
        </w:tc>
        <w:tc>
          <w:tcPr>
            <w:tcW w:w="960" w:type="dxa"/>
            <w:noWrap/>
            <w:hideMark/>
          </w:tcPr>
          <w:p w14:paraId="77DBB009"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84</w:t>
            </w:r>
          </w:p>
        </w:tc>
        <w:tc>
          <w:tcPr>
            <w:tcW w:w="960" w:type="dxa"/>
            <w:noWrap/>
            <w:hideMark/>
          </w:tcPr>
          <w:p w14:paraId="41FD2F8C" w14:textId="77777777" w:rsidR="00AD2F03" w:rsidRPr="00A448F6"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A448F6">
              <w:rPr>
                <w:rFonts w:ascii="Calibri" w:eastAsia="Times New Roman" w:hAnsi="Calibri" w:cs="Calibri"/>
                <w:color w:val="000000"/>
              </w:rPr>
              <w:t>420</w:t>
            </w:r>
          </w:p>
        </w:tc>
      </w:tr>
    </w:tbl>
    <w:p w14:paraId="48105394" w14:textId="77777777" w:rsidR="00AD2F03" w:rsidRDefault="00AD2F03" w:rsidP="00AD2F03">
      <w:pPr>
        <w:ind w:firstLine="720"/>
      </w:pPr>
    </w:p>
    <w:p w14:paraId="356336B3" w14:textId="77777777" w:rsidR="00AD2F03" w:rsidRDefault="0011424B" w:rsidP="0011424B">
      <w:pPr>
        <w:pStyle w:val="Heading3"/>
      </w:pPr>
      <w:bookmarkStart w:id="234" w:name="_Ref15501494"/>
      <w:bookmarkStart w:id="235" w:name="_Toc26534633"/>
      <w:r>
        <w:t xml:space="preserve">2.3 </w:t>
      </w:r>
      <w:r w:rsidR="00AD2F03">
        <w:t>PatternNet</w:t>
      </w:r>
      <w:bookmarkEnd w:id="234"/>
      <w:bookmarkEnd w:id="235"/>
    </w:p>
    <w:p w14:paraId="3A363404" w14:textId="77777777" w:rsidR="00AD2F03" w:rsidRDefault="00AD2F03" w:rsidP="00AD2F03">
      <w:pPr>
        <w:ind w:firstLine="720"/>
      </w:pPr>
      <w:r>
        <w:t xml:space="preserve">Described by </w:t>
      </w:r>
      <w:r>
        <w:fldChar w:fldCharType="begin" w:fldLock="1"/>
      </w:r>
      <w:r>
        <w:instrText>ADDIN CSL_CITATION {"citationItems":[{"id":"ITEM-1","itemData":{"DOI":"10.1016/J.ISPRSJPRS.2018.01.004","ISSN":"0924-2716","abstract":"Benchmark datasets are critical for developing, evaluating, and comparing remote sensing image retrieval (RSIR) approaches. However, current benchmark datasets are deficient in that (1) they were originally collected for land use/land cover classification instead of RSIR; (2) they are relatively small in terms of the number of classes as well as the number of images per class which makes them unsuitable for developing deep learning based approaches; and (3) they are not appropriate for RSIR due to the large amount of background present in the images. These limitations restrict the development of novel approaches for RSIR, particularly those based on deep learning which require large amounts of training data. We therefore present a new large-scale remote sensing dataset termed “PatternNet” that was collected specifically for RSIR. PatternNet was collected from high-resolution imagery and contains 38 classes with 800 images per class. Significantly, PatternNet’s large scale makes it suitable for developing novel, deep learning based approaches for RSIR. We use PatternNet to evaluate the performance of over 35 RSIR methods ranging from traditional handcrafted feature based methods to recent, deep learning based ones. These results serve as a baseline for future research on RSIR.","author":[{"dropping-particle":"","family":"Zhou","given":"Weixun","non-dropping-particle":"","parse-names":false,"suffix":""},{"dropping-particle":"","family":"Newsam","given":"Shawn","non-dropping-particle":"","parse-names":false,"suffix":""},{"dropping-particle":"","family":"Li","given":"Congmin","non-dropping-particle":"","parse-names":false,"suffix":""},{"dropping-particle":"","family":"Shao","given":"Zhenfeng","non-dropping-particle":"","parse-names":false,"suffix":""}],"container-title":"ISPRS Journal of Photogrammetry and Remote Sensing","id":"ITEM-1","issued":{"date-parts":[["2018","11","1"]]},"page":"197-209","publisher":"Elsevier","title":"PatternNet: A benchmark dataset for performance evaluation of remote sensing image retrieval","type":"article-journal","volume":"145"},"uris":["http://www.mendeley.com/documents/?uuid=23191249-82a7-3cb5-a1dc-c59daf905021"]}],"mendeley":{"formattedCitation":"(Zhou et al., 2018b)","manualFormatting":"Zhou et al. (2018)","plainTextFormattedCitation":"(Zhou et al., 2018b)","previouslyFormattedCitation":"(Zhou et al., 2018b)"},"properties":{"noteIndex":0},"schema":"https://github.com/citation-style-language/schema/raw/master/csl-citation.json"}</w:instrText>
      </w:r>
      <w:r>
        <w:fldChar w:fldCharType="separate"/>
      </w:r>
      <w:r w:rsidRPr="00A448F6">
        <w:rPr>
          <w:noProof/>
        </w:rPr>
        <w:t xml:space="preserve">Zhou et al. </w:t>
      </w:r>
      <w:r>
        <w:rPr>
          <w:noProof/>
        </w:rPr>
        <w:t>(</w:t>
      </w:r>
      <w:r w:rsidRPr="00A448F6">
        <w:rPr>
          <w:noProof/>
        </w:rPr>
        <w:t>2018)</w:t>
      </w:r>
      <w:r>
        <w:fldChar w:fldCharType="end"/>
      </w:r>
      <w:r>
        <w:t xml:space="preserve">, PatternNet is a </w:t>
      </w:r>
      <w:r w:rsidRPr="00A448F6">
        <w:t>large-scale  high-resolution remote sensing dataset</w:t>
      </w:r>
      <w:r>
        <w:t xml:space="preserve">. PatternNet contains 38 classes, each class with 800 samples. The images are 256 x 256 pixels, with a spatial resolution varying from 0.062 to 4.7 m per pixel. </w:t>
      </w:r>
      <w:r w:rsidRPr="00A448F6">
        <w:t xml:space="preserve">The PatternNet </w:t>
      </w:r>
      <w:r>
        <w:t>images wer</w:t>
      </w:r>
      <w:r w:rsidRPr="00A448F6">
        <w:t>e collected from Google Earth imagery or via the Google Map API</w:t>
      </w:r>
      <w:r>
        <w:t xml:space="preserve"> </w:t>
      </w:r>
      <w:r w:rsidRPr="00A448F6">
        <w:t>for US cities</w:t>
      </w:r>
      <w:r>
        <w:t xml:space="preserve">. </w:t>
      </w:r>
      <w:r>
        <w:fldChar w:fldCharType="begin"/>
      </w:r>
      <w:r>
        <w:instrText xml:space="preserve"> REF _Ref15325084 \h </w:instrText>
      </w:r>
      <w:r>
        <w:fldChar w:fldCharType="separate"/>
      </w:r>
      <w:r w:rsidR="001C535D">
        <w:t xml:space="preserve">Table </w:t>
      </w:r>
      <w:r w:rsidR="001C535D">
        <w:rPr>
          <w:noProof/>
        </w:rPr>
        <w:t>10</w:t>
      </w:r>
      <w:r>
        <w:fldChar w:fldCharType="end"/>
      </w:r>
      <w:r>
        <w:t xml:space="preserve"> shows the data split between training, validation, and test set</w:t>
      </w:r>
      <w:r w:rsidR="00D065D4">
        <w:t>s</w:t>
      </w:r>
      <w:r>
        <w:t xml:space="preserve">, as well as the total </w:t>
      </w:r>
      <w:r>
        <w:lastRenderedPageBreak/>
        <w:t xml:space="preserve">number of samples for all classes in the PatternNet dataset. The dataset is available for download at </w:t>
      </w:r>
      <w:hyperlink r:id="rId61" w:history="1">
        <w:r w:rsidRPr="009C75A6">
          <w:rPr>
            <w:rStyle w:val="Hyperlink"/>
          </w:rPr>
          <w:t>https://sites.google.com/view/zhouwx/dataset</w:t>
        </w:r>
      </w:hyperlink>
      <w:r>
        <w:t xml:space="preserve">. </w:t>
      </w:r>
    </w:p>
    <w:p w14:paraId="4C763FC4" w14:textId="77777777" w:rsidR="00AD2F03" w:rsidRDefault="00AD2F03" w:rsidP="00607DF1">
      <w:pPr>
        <w:pStyle w:val="Caption"/>
      </w:pPr>
      <w:bookmarkStart w:id="236" w:name="_Ref15325084"/>
      <w:bookmarkStart w:id="237" w:name="_Toc26534547"/>
      <w:r>
        <w:t xml:space="preserve">Table </w:t>
      </w:r>
      <w:r w:rsidR="00CE1F3C">
        <w:fldChar w:fldCharType="begin"/>
      </w:r>
      <w:r w:rsidR="00CE1F3C">
        <w:instrText xml:space="preserve"> SEQ Table \* ARABIC </w:instrText>
      </w:r>
      <w:r w:rsidR="00CE1F3C">
        <w:fldChar w:fldCharType="separate"/>
      </w:r>
      <w:r w:rsidR="001C535D">
        <w:rPr>
          <w:noProof/>
        </w:rPr>
        <w:t>10</w:t>
      </w:r>
      <w:r w:rsidR="00CE1F3C">
        <w:rPr>
          <w:noProof/>
        </w:rPr>
        <w:fldChar w:fldCharType="end"/>
      </w:r>
      <w:bookmarkEnd w:id="236"/>
      <w:r>
        <w:t xml:space="preserve">: </w:t>
      </w:r>
      <w:r w:rsidRPr="00E46C9F">
        <w:t xml:space="preserve">number of samples for training, validation, and test used for the </w:t>
      </w:r>
      <w:r>
        <w:t xml:space="preserve">PatternNet </w:t>
      </w:r>
      <w:r w:rsidRPr="00E46C9F">
        <w:t>dataset.</w:t>
      </w:r>
      <w:bookmarkEnd w:id="237"/>
    </w:p>
    <w:tbl>
      <w:tblPr>
        <w:tblStyle w:val="PlainTable5"/>
        <w:tblW w:w="7651" w:type="dxa"/>
        <w:tblLook w:val="04A0" w:firstRow="1" w:lastRow="0" w:firstColumn="1" w:lastColumn="0" w:noHBand="0" w:noVBand="1"/>
      </w:tblPr>
      <w:tblGrid>
        <w:gridCol w:w="3347"/>
        <w:gridCol w:w="1086"/>
        <w:gridCol w:w="1298"/>
        <w:gridCol w:w="960"/>
        <w:gridCol w:w="960"/>
      </w:tblGrid>
      <w:tr w:rsidR="00AD2F03" w:rsidRPr="003E6E12" w14:paraId="741E1E45" w14:textId="77777777" w:rsidTr="00E65C03">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3347" w:type="dxa"/>
            <w:noWrap/>
            <w:hideMark/>
          </w:tcPr>
          <w:p w14:paraId="6F791286" w14:textId="77777777" w:rsidR="00AD2F03" w:rsidRPr="003E6E12" w:rsidRDefault="00AD2F03" w:rsidP="00E65C03">
            <w:pPr>
              <w:spacing w:line="240" w:lineRule="auto"/>
              <w:rPr>
                <w:rFonts w:ascii="Calibri" w:eastAsia="Times New Roman" w:hAnsi="Calibri" w:cs="Calibri"/>
                <w:color w:val="000000"/>
              </w:rPr>
            </w:pPr>
            <w:r w:rsidRPr="003E6E12">
              <w:rPr>
                <w:rFonts w:ascii="Calibri" w:eastAsia="Times New Roman" w:hAnsi="Calibri" w:cs="Calibri"/>
                <w:color w:val="000000"/>
              </w:rPr>
              <w:t>Class</w:t>
            </w:r>
          </w:p>
        </w:tc>
        <w:tc>
          <w:tcPr>
            <w:tcW w:w="1086" w:type="dxa"/>
            <w:noWrap/>
            <w:hideMark/>
          </w:tcPr>
          <w:p w14:paraId="12C89418" w14:textId="77777777" w:rsidR="00AD2F03" w:rsidRPr="003E6E12" w:rsidRDefault="00AD2F03" w:rsidP="00E65C03">
            <w:pPr>
              <w:spacing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Training</w:t>
            </w:r>
          </w:p>
        </w:tc>
        <w:tc>
          <w:tcPr>
            <w:tcW w:w="1298" w:type="dxa"/>
            <w:noWrap/>
            <w:hideMark/>
          </w:tcPr>
          <w:p w14:paraId="33E62879" w14:textId="77777777" w:rsidR="00AD2F03" w:rsidRPr="003E6E12" w:rsidRDefault="00AD2F03" w:rsidP="00E65C03">
            <w:pPr>
              <w:spacing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Validation</w:t>
            </w:r>
          </w:p>
        </w:tc>
        <w:tc>
          <w:tcPr>
            <w:tcW w:w="960" w:type="dxa"/>
            <w:noWrap/>
            <w:hideMark/>
          </w:tcPr>
          <w:p w14:paraId="1FAB75F0" w14:textId="77777777" w:rsidR="00AD2F03" w:rsidRPr="003E6E12" w:rsidRDefault="00AD2F03" w:rsidP="00E65C03">
            <w:pPr>
              <w:spacing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Test</w:t>
            </w:r>
          </w:p>
        </w:tc>
        <w:tc>
          <w:tcPr>
            <w:tcW w:w="960" w:type="dxa"/>
            <w:noWrap/>
            <w:hideMark/>
          </w:tcPr>
          <w:p w14:paraId="0FD832B6" w14:textId="77777777" w:rsidR="00AD2F03" w:rsidRPr="003E6E12" w:rsidRDefault="00AD2F03" w:rsidP="00E65C03">
            <w:pPr>
              <w:spacing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Total</w:t>
            </w:r>
          </w:p>
        </w:tc>
      </w:tr>
      <w:tr w:rsidR="00AD2F03" w:rsidRPr="003E6E12" w14:paraId="01878E7F" w14:textId="77777777" w:rsidTr="00E65C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47" w:type="dxa"/>
            <w:noWrap/>
            <w:vAlign w:val="bottom"/>
            <w:hideMark/>
          </w:tcPr>
          <w:p w14:paraId="427C3913" w14:textId="77777777" w:rsidR="00AD2F03" w:rsidRPr="003E6E12" w:rsidRDefault="00AD2F03" w:rsidP="00E65C03">
            <w:pPr>
              <w:spacing w:line="240" w:lineRule="auto"/>
              <w:rPr>
                <w:rFonts w:ascii="Calibri" w:eastAsia="Times New Roman" w:hAnsi="Calibri" w:cs="Calibri"/>
                <w:color w:val="000000"/>
              </w:rPr>
            </w:pPr>
            <w:r>
              <w:rPr>
                <w:rFonts w:ascii="Calibri" w:hAnsi="Calibri" w:cs="Calibri"/>
                <w:color w:val="000000"/>
                <w:sz w:val="22"/>
              </w:rPr>
              <w:t>Airplane</w:t>
            </w:r>
          </w:p>
        </w:tc>
        <w:tc>
          <w:tcPr>
            <w:tcW w:w="1086" w:type="dxa"/>
            <w:noWrap/>
            <w:hideMark/>
          </w:tcPr>
          <w:p w14:paraId="32A6590E"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560</w:t>
            </w:r>
          </w:p>
        </w:tc>
        <w:tc>
          <w:tcPr>
            <w:tcW w:w="1298" w:type="dxa"/>
            <w:noWrap/>
            <w:hideMark/>
          </w:tcPr>
          <w:p w14:paraId="32B34F0B"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w:t>
            </w:r>
          </w:p>
        </w:tc>
        <w:tc>
          <w:tcPr>
            <w:tcW w:w="960" w:type="dxa"/>
            <w:noWrap/>
            <w:hideMark/>
          </w:tcPr>
          <w:p w14:paraId="23EC347C"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160</w:t>
            </w:r>
          </w:p>
        </w:tc>
        <w:tc>
          <w:tcPr>
            <w:tcW w:w="960" w:type="dxa"/>
            <w:noWrap/>
            <w:hideMark/>
          </w:tcPr>
          <w:p w14:paraId="37A64A92"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800</w:t>
            </w:r>
          </w:p>
        </w:tc>
      </w:tr>
      <w:tr w:rsidR="00AD2F03" w:rsidRPr="003E6E12" w14:paraId="7778FB95" w14:textId="77777777" w:rsidTr="00E65C03">
        <w:trPr>
          <w:trHeight w:val="288"/>
        </w:trPr>
        <w:tc>
          <w:tcPr>
            <w:cnfStyle w:val="001000000000" w:firstRow="0" w:lastRow="0" w:firstColumn="1" w:lastColumn="0" w:oddVBand="0" w:evenVBand="0" w:oddHBand="0" w:evenHBand="0" w:firstRowFirstColumn="0" w:firstRowLastColumn="0" w:lastRowFirstColumn="0" w:lastRowLastColumn="0"/>
            <w:tcW w:w="3347" w:type="dxa"/>
            <w:noWrap/>
            <w:vAlign w:val="bottom"/>
            <w:hideMark/>
          </w:tcPr>
          <w:p w14:paraId="48724E3E" w14:textId="77777777" w:rsidR="00AD2F03" w:rsidRPr="003E6E12" w:rsidRDefault="00AD2F03" w:rsidP="00E65C03">
            <w:pPr>
              <w:spacing w:line="240" w:lineRule="auto"/>
              <w:rPr>
                <w:rFonts w:ascii="Calibri" w:eastAsia="Times New Roman" w:hAnsi="Calibri" w:cs="Calibri"/>
                <w:color w:val="000000"/>
              </w:rPr>
            </w:pPr>
            <w:r>
              <w:rPr>
                <w:rFonts w:ascii="Calibri" w:hAnsi="Calibri" w:cs="Calibri"/>
                <w:color w:val="000000"/>
                <w:sz w:val="22"/>
              </w:rPr>
              <w:t>Baseball field</w:t>
            </w:r>
          </w:p>
        </w:tc>
        <w:tc>
          <w:tcPr>
            <w:tcW w:w="1086" w:type="dxa"/>
            <w:noWrap/>
            <w:hideMark/>
          </w:tcPr>
          <w:p w14:paraId="64306B87"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560</w:t>
            </w:r>
          </w:p>
        </w:tc>
        <w:tc>
          <w:tcPr>
            <w:tcW w:w="1298" w:type="dxa"/>
            <w:noWrap/>
            <w:hideMark/>
          </w:tcPr>
          <w:p w14:paraId="3099F887"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w:t>
            </w:r>
          </w:p>
        </w:tc>
        <w:tc>
          <w:tcPr>
            <w:tcW w:w="960" w:type="dxa"/>
            <w:noWrap/>
            <w:hideMark/>
          </w:tcPr>
          <w:p w14:paraId="1DE02EC2"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160</w:t>
            </w:r>
          </w:p>
        </w:tc>
        <w:tc>
          <w:tcPr>
            <w:tcW w:w="960" w:type="dxa"/>
            <w:noWrap/>
            <w:hideMark/>
          </w:tcPr>
          <w:p w14:paraId="3C6E888A"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800</w:t>
            </w:r>
          </w:p>
        </w:tc>
      </w:tr>
      <w:tr w:rsidR="00AD2F03" w:rsidRPr="003E6E12" w14:paraId="41774713" w14:textId="77777777" w:rsidTr="00E65C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47" w:type="dxa"/>
            <w:noWrap/>
            <w:vAlign w:val="bottom"/>
            <w:hideMark/>
          </w:tcPr>
          <w:p w14:paraId="77588115" w14:textId="77777777" w:rsidR="00AD2F03" w:rsidRPr="003E6E12" w:rsidRDefault="00AD2F03" w:rsidP="00E65C03">
            <w:pPr>
              <w:spacing w:line="240" w:lineRule="auto"/>
              <w:rPr>
                <w:rFonts w:ascii="Calibri" w:eastAsia="Times New Roman" w:hAnsi="Calibri" w:cs="Calibri"/>
                <w:color w:val="000000"/>
              </w:rPr>
            </w:pPr>
            <w:r>
              <w:rPr>
                <w:rFonts w:ascii="Calibri" w:hAnsi="Calibri" w:cs="Calibri"/>
                <w:color w:val="000000"/>
                <w:sz w:val="22"/>
              </w:rPr>
              <w:t>Basketball court</w:t>
            </w:r>
          </w:p>
        </w:tc>
        <w:tc>
          <w:tcPr>
            <w:tcW w:w="1086" w:type="dxa"/>
            <w:noWrap/>
            <w:hideMark/>
          </w:tcPr>
          <w:p w14:paraId="195CE982"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560</w:t>
            </w:r>
          </w:p>
        </w:tc>
        <w:tc>
          <w:tcPr>
            <w:tcW w:w="1298" w:type="dxa"/>
            <w:noWrap/>
            <w:hideMark/>
          </w:tcPr>
          <w:p w14:paraId="1C76E2D7"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w:t>
            </w:r>
          </w:p>
        </w:tc>
        <w:tc>
          <w:tcPr>
            <w:tcW w:w="960" w:type="dxa"/>
            <w:noWrap/>
            <w:hideMark/>
          </w:tcPr>
          <w:p w14:paraId="17E917F1"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160</w:t>
            </w:r>
          </w:p>
        </w:tc>
        <w:tc>
          <w:tcPr>
            <w:tcW w:w="960" w:type="dxa"/>
            <w:noWrap/>
            <w:hideMark/>
          </w:tcPr>
          <w:p w14:paraId="6448371D"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800</w:t>
            </w:r>
          </w:p>
        </w:tc>
      </w:tr>
      <w:tr w:rsidR="00AD2F03" w:rsidRPr="003E6E12" w14:paraId="6101EB99" w14:textId="77777777" w:rsidTr="00E65C03">
        <w:trPr>
          <w:trHeight w:val="288"/>
        </w:trPr>
        <w:tc>
          <w:tcPr>
            <w:cnfStyle w:val="001000000000" w:firstRow="0" w:lastRow="0" w:firstColumn="1" w:lastColumn="0" w:oddVBand="0" w:evenVBand="0" w:oddHBand="0" w:evenHBand="0" w:firstRowFirstColumn="0" w:firstRowLastColumn="0" w:lastRowFirstColumn="0" w:lastRowLastColumn="0"/>
            <w:tcW w:w="3347" w:type="dxa"/>
            <w:noWrap/>
            <w:vAlign w:val="bottom"/>
            <w:hideMark/>
          </w:tcPr>
          <w:p w14:paraId="17EE8131" w14:textId="77777777" w:rsidR="00AD2F03" w:rsidRPr="003E6E12" w:rsidRDefault="00AD2F03" w:rsidP="00E65C03">
            <w:pPr>
              <w:spacing w:line="240" w:lineRule="auto"/>
              <w:rPr>
                <w:rFonts w:ascii="Calibri" w:eastAsia="Times New Roman" w:hAnsi="Calibri" w:cs="Calibri"/>
                <w:color w:val="000000"/>
              </w:rPr>
            </w:pPr>
            <w:r>
              <w:rPr>
                <w:rFonts w:ascii="Calibri" w:hAnsi="Calibri" w:cs="Calibri"/>
                <w:color w:val="000000"/>
                <w:sz w:val="22"/>
              </w:rPr>
              <w:t>Beach</w:t>
            </w:r>
          </w:p>
        </w:tc>
        <w:tc>
          <w:tcPr>
            <w:tcW w:w="1086" w:type="dxa"/>
            <w:noWrap/>
            <w:hideMark/>
          </w:tcPr>
          <w:p w14:paraId="33DEEDBF"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560</w:t>
            </w:r>
          </w:p>
        </w:tc>
        <w:tc>
          <w:tcPr>
            <w:tcW w:w="1298" w:type="dxa"/>
            <w:noWrap/>
            <w:hideMark/>
          </w:tcPr>
          <w:p w14:paraId="0A539407"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w:t>
            </w:r>
          </w:p>
        </w:tc>
        <w:tc>
          <w:tcPr>
            <w:tcW w:w="960" w:type="dxa"/>
            <w:noWrap/>
            <w:hideMark/>
          </w:tcPr>
          <w:p w14:paraId="436289A3"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160</w:t>
            </w:r>
          </w:p>
        </w:tc>
        <w:tc>
          <w:tcPr>
            <w:tcW w:w="960" w:type="dxa"/>
            <w:noWrap/>
            <w:hideMark/>
          </w:tcPr>
          <w:p w14:paraId="36471BCA"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800</w:t>
            </w:r>
          </w:p>
        </w:tc>
      </w:tr>
      <w:tr w:rsidR="00AD2F03" w:rsidRPr="003E6E12" w14:paraId="1258567C" w14:textId="77777777" w:rsidTr="00E65C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47" w:type="dxa"/>
            <w:noWrap/>
            <w:vAlign w:val="bottom"/>
            <w:hideMark/>
          </w:tcPr>
          <w:p w14:paraId="21B836E8" w14:textId="77777777" w:rsidR="00AD2F03" w:rsidRPr="003E6E12" w:rsidRDefault="00AD2F03" w:rsidP="00E65C03">
            <w:pPr>
              <w:spacing w:line="240" w:lineRule="auto"/>
              <w:rPr>
                <w:rFonts w:ascii="Calibri" w:eastAsia="Times New Roman" w:hAnsi="Calibri" w:cs="Calibri"/>
                <w:color w:val="000000"/>
              </w:rPr>
            </w:pPr>
            <w:r>
              <w:rPr>
                <w:rFonts w:ascii="Calibri" w:hAnsi="Calibri" w:cs="Calibri"/>
                <w:color w:val="000000"/>
                <w:sz w:val="22"/>
              </w:rPr>
              <w:t>Bridge</w:t>
            </w:r>
          </w:p>
        </w:tc>
        <w:tc>
          <w:tcPr>
            <w:tcW w:w="1086" w:type="dxa"/>
            <w:noWrap/>
            <w:hideMark/>
          </w:tcPr>
          <w:p w14:paraId="331F3275"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560</w:t>
            </w:r>
          </w:p>
        </w:tc>
        <w:tc>
          <w:tcPr>
            <w:tcW w:w="1298" w:type="dxa"/>
            <w:noWrap/>
            <w:hideMark/>
          </w:tcPr>
          <w:p w14:paraId="4EDF739E"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w:t>
            </w:r>
          </w:p>
        </w:tc>
        <w:tc>
          <w:tcPr>
            <w:tcW w:w="960" w:type="dxa"/>
            <w:noWrap/>
            <w:hideMark/>
          </w:tcPr>
          <w:p w14:paraId="6D634851"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160</w:t>
            </w:r>
          </w:p>
        </w:tc>
        <w:tc>
          <w:tcPr>
            <w:tcW w:w="960" w:type="dxa"/>
            <w:noWrap/>
            <w:hideMark/>
          </w:tcPr>
          <w:p w14:paraId="14DA360D"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800</w:t>
            </w:r>
          </w:p>
        </w:tc>
      </w:tr>
      <w:tr w:rsidR="00AD2F03" w:rsidRPr="003E6E12" w14:paraId="102146EB" w14:textId="77777777" w:rsidTr="00E65C03">
        <w:trPr>
          <w:trHeight w:val="288"/>
        </w:trPr>
        <w:tc>
          <w:tcPr>
            <w:cnfStyle w:val="001000000000" w:firstRow="0" w:lastRow="0" w:firstColumn="1" w:lastColumn="0" w:oddVBand="0" w:evenVBand="0" w:oddHBand="0" w:evenHBand="0" w:firstRowFirstColumn="0" w:firstRowLastColumn="0" w:lastRowFirstColumn="0" w:lastRowLastColumn="0"/>
            <w:tcW w:w="3347" w:type="dxa"/>
            <w:noWrap/>
            <w:vAlign w:val="bottom"/>
            <w:hideMark/>
          </w:tcPr>
          <w:p w14:paraId="61FA8AA4" w14:textId="77777777" w:rsidR="00AD2F03" w:rsidRPr="003E6E12" w:rsidRDefault="00AD2F03" w:rsidP="00E65C03">
            <w:pPr>
              <w:spacing w:line="240" w:lineRule="auto"/>
              <w:rPr>
                <w:rFonts w:ascii="Calibri" w:eastAsia="Times New Roman" w:hAnsi="Calibri" w:cs="Calibri"/>
                <w:color w:val="000000"/>
              </w:rPr>
            </w:pPr>
            <w:r>
              <w:rPr>
                <w:rFonts w:ascii="Calibri" w:hAnsi="Calibri" w:cs="Calibri"/>
                <w:color w:val="000000"/>
                <w:sz w:val="22"/>
              </w:rPr>
              <w:t>Cemetery</w:t>
            </w:r>
          </w:p>
        </w:tc>
        <w:tc>
          <w:tcPr>
            <w:tcW w:w="1086" w:type="dxa"/>
            <w:noWrap/>
            <w:hideMark/>
          </w:tcPr>
          <w:p w14:paraId="63A5AD3D"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560</w:t>
            </w:r>
          </w:p>
        </w:tc>
        <w:tc>
          <w:tcPr>
            <w:tcW w:w="1298" w:type="dxa"/>
            <w:noWrap/>
            <w:hideMark/>
          </w:tcPr>
          <w:p w14:paraId="65F3DA12"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w:t>
            </w:r>
          </w:p>
        </w:tc>
        <w:tc>
          <w:tcPr>
            <w:tcW w:w="960" w:type="dxa"/>
            <w:noWrap/>
            <w:hideMark/>
          </w:tcPr>
          <w:p w14:paraId="5701C75E"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160</w:t>
            </w:r>
          </w:p>
        </w:tc>
        <w:tc>
          <w:tcPr>
            <w:tcW w:w="960" w:type="dxa"/>
            <w:noWrap/>
            <w:hideMark/>
          </w:tcPr>
          <w:p w14:paraId="7A4A5163"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800</w:t>
            </w:r>
          </w:p>
        </w:tc>
      </w:tr>
      <w:tr w:rsidR="00AD2F03" w:rsidRPr="003E6E12" w14:paraId="41705226" w14:textId="77777777" w:rsidTr="00E65C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47" w:type="dxa"/>
            <w:noWrap/>
            <w:vAlign w:val="bottom"/>
            <w:hideMark/>
          </w:tcPr>
          <w:p w14:paraId="67AA53E6" w14:textId="77777777" w:rsidR="00AD2F03" w:rsidRPr="003E6E12" w:rsidRDefault="00AD2F03" w:rsidP="00E65C03">
            <w:pPr>
              <w:spacing w:line="240" w:lineRule="auto"/>
              <w:rPr>
                <w:rFonts w:ascii="Calibri" w:eastAsia="Times New Roman" w:hAnsi="Calibri" w:cs="Calibri"/>
                <w:color w:val="000000"/>
              </w:rPr>
            </w:pPr>
            <w:r>
              <w:rPr>
                <w:rFonts w:ascii="Calibri" w:hAnsi="Calibri" w:cs="Calibri"/>
                <w:color w:val="000000"/>
                <w:sz w:val="22"/>
              </w:rPr>
              <w:t>Chaparral</w:t>
            </w:r>
          </w:p>
        </w:tc>
        <w:tc>
          <w:tcPr>
            <w:tcW w:w="1086" w:type="dxa"/>
            <w:noWrap/>
            <w:hideMark/>
          </w:tcPr>
          <w:p w14:paraId="0C61970B"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560</w:t>
            </w:r>
          </w:p>
        </w:tc>
        <w:tc>
          <w:tcPr>
            <w:tcW w:w="1298" w:type="dxa"/>
            <w:noWrap/>
            <w:hideMark/>
          </w:tcPr>
          <w:p w14:paraId="16EC3779"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w:t>
            </w:r>
          </w:p>
        </w:tc>
        <w:tc>
          <w:tcPr>
            <w:tcW w:w="960" w:type="dxa"/>
            <w:noWrap/>
            <w:hideMark/>
          </w:tcPr>
          <w:p w14:paraId="7F18D274"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160</w:t>
            </w:r>
          </w:p>
        </w:tc>
        <w:tc>
          <w:tcPr>
            <w:tcW w:w="960" w:type="dxa"/>
            <w:noWrap/>
            <w:hideMark/>
          </w:tcPr>
          <w:p w14:paraId="764EA080"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800</w:t>
            </w:r>
          </w:p>
        </w:tc>
      </w:tr>
      <w:tr w:rsidR="00AD2F03" w:rsidRPr="003E6E12" w14:paraId="0961C1D7" w14:textId="77777777" w:rsidTr="00E65C03">
        <w:trPr>
          <w:trHeight w:val="288"/>
        </w:trPr>
        <w:tc>
          <w:tcPr>
            <w:cnfStyle w:val="001000000000" w:firstRow="0" w:lastRow="0" w:firstColumn="1" w:lastColumn="0" w:oddVBand="0" w:evenVBand="0" w:oddHBand="0" w:evenHBand="0" w:firstRowFirstColumn="0" w:firstRowLastColumn="0" w:lastRowFirstColumn="0" w:lastRowLastColumn="0"/>
            <w:tcW w:w="3347" w:type="dxa"/>
            <w:noWrap/>
            <w:vAlign w:val="bottom"/>
            <w:hideMark/>
          </w:tcPr>
          <w:p w14:paraId="0D0C5B31" w14:textId="77777777" w:rsidR="00AD2F03" w:rsidRPr="003E6E12" w:rsidRDefault="00AD2F03" w:rsidP="00E65C03">
            <w:pPr>
              <w:spacing w:line="240" w:lineRule="auto"/>
              <w:rPr>
                <w:rFonts w:ascii="Calibri" w:eastAsia="Times New Roman" w:hAnsi="Calibri" w:cs="Calibri"/>
                <w:color w:val="000000"/>
              </w:rPr>
            </w:pPr>
            <w:r>
              <w:rPr>
                <w:rFonts w:ascii="Calibri" w:hAnsi="Calibri" w:cs="Calibri"/>
                <w:color w:val="000000"/>
                <w:sz w:val="22"/>
              </w:rPr>
              <w:t>Christmas tree farm</w:t>
            </w:r>
          </w:p>
        </w:tc>
        <w:tc>
          <w:tcPr>
            <w:tcW w:w="1086" w:type="dxa"/>
            <w:noWrap/>
            <w:hideMark/>
          </w:tcPr>
          <w:p w14:paraId="2E13230B"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560</w:t>
            </w:r>
          </w:p>
        </w:tc>
        <w:tc>
          <w:tcPr>
            <w:tcW w:w="1298" w:type="dxa"/>
            <w:noWrap/>
            <w:hideMark/>
          </w:tcPr>
          <w:p w14:paraId="2F343856"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w:t>
            </w:r>
          </w:p>
        </w:tc>
        <w:tc>
          <w:tcPr>
            <w:tcW w:w="960" w:type="dxa"/>
            <w:noWrap/>
            <w:hideMark/>
          </w:tcPr>
          <w:p w14:paraId="0161FED5"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160</w:t>
            </w:r>
          </w:p>
        </w:tc>
        <w:tc>
          <w:tcPr>
            <w:tcW w:w="960" w:type="dxa"/>
            <w:noWrap/>
            <w:hideMark/>
          </w:tcPr>
          <w:p w14:paraId="2779DEB6"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800</w:t>
            </w:r>
          </w:p>
        </w:tc>
      </w:tr>
      <w:tr w:rsidR="00AD2F03" w:rsidRPr="003E6E12" w14:paraId="135CB2C1" w14:textId="77777777" w:rsidTr="00E65C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47" w:type="dxa"/>
            <w:noWrap/>
            <w:vAlign w:val="bottom"/>
            <w:hideMark/>
          </w:tcPr>
          <w:p w14:paraId="06560C4B" w14:textId="77777777" w:rsidR="00AD2F03" w:rsidRPr="003E6E12" w:rsidRDefault="00AD2F03" w:rsidP="00E65C03">
            <w:pPr>
              <w:spacing w:line="240" w:lineRule="auto"/>
              <w:rPr>
                <w:rFonts w:ascii="Calibri" w:eastAsia="Times New Roman" w:hAnsi="Calibri" w:cs="Calibri"/>
                <w:color w:val="000000"/>
              </w:rPr>
            </w:pPr>
            <w:r>
              <w:rPr>
                <w:rFonts w:ascii="Calibri" w:hAnsi="Calibri" w:cs="Calibri"/>
                <w:color w:val="000000"/>
                <w:sz w:val="22"/>
              </w:rPr>
              <w:t>Closed road</w:t>
            </w:r>
          </w:p>
        </w:tc>
        <w:tc>
          <w:tcPr>
            <w:tcW w:w="1086" w:type="dxa"/>
            <w:noWrap/>
            <w:hideMark/>
          </w:tcPr>
          <w:p w14:paraId="2E225767"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560</w:t>
            </w:r>
          </w:p>
        </w:tc>
        <w:tc>
          <w:tcPr>
            <w:tcW w:w="1298" w:type="dxa"/>
            <w:noWrap/>
            <w:hideMark/>
          </w:tcPr>
          <w:p w14:paraId="767FC472"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w:t>
            </w:r>
          </w:p>
        </w:tc>
        <w:tc>
          <w:tcPr>
            <w:tcW w:w="960" w:type="dxa"/>
            <w:noWrap/>
            <w:hideMark/>
          </w:tcPr>
          <w:p w14:paraId="1EA0508D"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160</w:t>
            </w:r>
          </w:p>
        </w:tc>
        <w:tc>
          <w:tcPr>
            <w:tcW w:w="960" w:type="dxa"/>
            <w:noWrap/>
            <w:hideMark/>
          </w:tcPr>
          <w:p w14:paraId="073EE826"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800</w:t>
            </w:r>
          </w:p>
        </w:tc>
      </w:tr>
      <w:tr w:rsidR="00AD2F03" w:rsidRPr="003E6E12" w14:paraId="5BFD3F8D" w14:textId="77777777" w:rsidTr="00E65C03">
        <w:trPr>
          <w:trHeight w:val="288"/>
        </w:trPr>
        <w:tc>
          <w:tcPr>
            <w:cnfStyle w:val="001000000000" w:firstRow="0" w:lastRow="0" w:firstColumn="1" w:lastColumn="0" w:oddVBand="0" w:evenVBand="0" w:oddHBand="0" w:evenHBand="0" w:firstRowFirstColumn="0" w:firstRowLastColumn="0" w:lastRowFirstColumn="0" w:lastRowLastColumn="0"/>
            <w:tcW w:w="3347" w:type="dxa"/>
            <w:noWrap/>
            <w:vAlign w:val="bottom"/>
            <w:hideMark/>
          </w:tcPr>
          <w:p w14:paraId="66424B63" w14:textId="77777777" w:rsidR="00AD2F03" w:rsidRPr="003E6E12" w:rsidRDefault="00AD2F03" w:rsidP="00E65C03">
            <w:pPr>
              <w:spacing w:line="240" w:lineRule="auto"/>
              <w:rPr>
                <w:rFonts w:ascii="Calibri" w:eastAsia="Times New Roman" w:hAnsi="Calibri" w:cs="Calibri"/>
                <w:color w:val="000000"/>
              </w:rPr>
            </w:pPr>
            <w:r>
              <w:rPr>
                <w:rFonts w:ascii="Calibri" w:hAnsi="Calibri" w:cs="Calibri"/>
                <w:color w:val="000000"/>
                <w:sz w:val="22"/>
              </w:rPr>
              <w:t>Coastal mansion</w:t>
            </w:r>
          </w:p>
        </w:tc>
        <w:tc>
          <w:tcPr>
            <w:tcW w:w="1086" w:type="dxa"/>
            <w:noWrap/>
            <w:hideMark/>
          </w:tcPr>
          <w:p w14:paraId="1852F46D"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560</w:t>
            </w:r>
          </w:p>
        </w:tc>
        <w:tc>
          <w:tcPr>
            <w:tcW w:w="1298" w:type="dxa"/>
            <w:noWrap/>
            <w:hideMark/>
          </w:tcPr>
          <w:p w14:paraId="4177BCCF"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w:t>
            </w:r>
          </w:p>
        </w:tc>
        <w:tc>
          <w:tcPr>
            <w:tcW w:w="960" w:type="dxa"/>
            <w:noWrap/>
            <w:hideMark/>
          </w:tcPr>
          <w:p w14:paraId="2993286B"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160</w:t>
            </w:r>
          </w:p>
        </w:tc>
        <w:tc>
          <w:tcPr>
            <w:tcW w:w="960" w:type="dxa"/>
            <w:noWrap/>
            <w:hideMark/>
          </w:tcPr>
          <w:p w14:paraId="0D8254D6"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800</w:t>
            </w:r>
          </w:p>
        </w:tc>
      </w:tr>
      <w:tr w:rsidR="00AD2F03" w:rsidRPr="003E6E12" w14:paraId="17AFDACB" w14:textId="77777777" w:rsidTr="00E65C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47" w:type="dxa"/>
            <w:noWrap/>
            <w:vAlign w:val="bottom"/>
            <w:hideMark/>
          </w:tcPr>
          <w:p w14:paraId="1D7BEBB3" w14:textId="77777777" w:rsidR="00AD2F03" w:rsidRPr="003E6E12" w:rsidRDefault="00AD2F03" w:rsidP="00E65C03">
            <w:pPr>
              <w:spacing w:line="240" w:lineRule="auto"/>
              <w:rPr>
                <w:rFonts w:ascii="Calibri" w:eastAsia="Times New Roman" w:hAnsi="Calibri" w:cs="Calibri"/>
                <w:color w:val="000000"/>
              </w:rPr>
            </w:pPr>
            <w:r>
              <w:rPr>
                <w:rFonts w:ascii="Calibri" w:hAnsi="Calibri" w:cs="Calibri"/>
                <w:color w:val="000000"/>
                <w:sz w:val="22"/>
              </w:rPr>
              <w:t>Crosswalk</w:t>
            </w:r>
          </w:p>
        </w:tc>
        <w:tc>
          <w:tcPr>
            <w:tcW w:w="1086" w:type="dxa"/>
            <w:noWrap/>
            <w:hideMark/>
          </w:tcPr>
          <w:p w14:paraId="360E05F3"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560</w:t>
            </w:r>
          </w:p>
        </w:tc>
        <w:tc>
          <w:tcPr>
            <w:tcW w:w="1298" w:type="dxa"/>
            <w:noWrap/>
            <w:hideMark/>
          </w:tcPr>
          <w:p w14:paraId="5306FF89"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w:t>
            </w:r>
          </w:p>
        </w:tc>
        <w:tc>
          <w:tcPr>
            <w:tcW w:w="960" w:type="dxa"/>
            <w:noWrap/>
            <w:hideMark/>
          </w:tcPr>
          <w:p w14:paraId="4E8616D1"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160</w:t>
            </w:r>
          </w:p>
        </w:tc>
        <w:tc>
          <w:tcPr>
            <w:tcW w:w="960" w:type="dxa"/>
            <w:noWrap/>
            <w:hideMark/>
          </w:tcPr>
          <w:p w14:paraId="092626EC"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800</w:t>
            </w:r>
          </w:p>
        </w:tc>
      </w:tr>
      <w:tr w:rsidR="00AD2F03" w:rsidRPr="003E6E12" w14:paraId="70EAB52A" w14:textId="77777777" w:rsidTr="00E65C03">
        <w:trPr>
          <w:trHeight w:val="288"/>
        </w:trPr>
        <w:tc>
          <w:tcPr>
            <w:cnfStyle w:val="001000000000" w:firstRow="0" w:lastRow="0" w:firstColumn="1" w:lastColumn="0" w:oddVBand="0" w:evenVBand="0" w:oddHBand="0" w:evenHBand="0" w:firstRowFirstColumn="0" w:firstRowLastColumn="0" w:lastRowFirstColumn="0" w:lastRowLastColumn="0"/>
            <w:tcW w:w="3347" w:type="dxa"/>
            <w:noWrap/>
            <w:vAlign w:val="bottom"/>
            <w:hideMark/>
          </w:tcPr>
          <w:p w14:paraId="506953EB" w14:textId="77777777" w:rsidR="00AD2F03" w:rsidRPr="003E6E12" w:rsidRDefault="00AD2F03" w:rsidP="00E65C03">
            <w:pPr>
              <w:spacing w:line="240" w:lineRule="auto"/>
              <w:rPr>
                <w:rFonts w:ascii="Calibri" w:eastAsia="Times New Roman" w:hAnsi="Calibri" w:cs="Calibri"/>
                <w:color w:val="000000"/>
              </w:rPr>
            </w:pPr>
            <w:r>
              <w:rPr>
                <w:rFonts w:ascii="Calibri" w:hAnsi="Calibri" w:cs="Calibri"/>
                <w:color w:val="000000"/>
                <w:sz w:val="22"/>
              </w:rPr>
              <w:t>Dense residential</w:t>
            </w:r>
          </w:p>
        </w:tc>
        <w:tc>
          <w:tcPr>
            <w:tcW w:w="1086" w:type="dxa"/>
            <w:noWrap/>
            <w:hideMark/>
          </w:tcPr>
          <w:p w14:paraId="73C544B8"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560</w:t>
            </w:r>
          </w:p>
        </w:tc>
        <w:tc>
          <w:tcPr>
            <w:tcW w:w="1298" w:type="dxa"/>
            <w:noWrap/>
            <w:hideMark/>
          </w:tcPr>
          <w:p w14:paraId="71EA4BB0"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w:t>
            </w:r>
          </w:p>
        </w:tc>
        <w:tc>
          <w:tcPr>
            <w:tcW w:w="960" w:type="dxa"/>
            <w:noWrap/>
            <w:hideMark/>
          </w:tcPr>
          <w:p w14:paraId="4466A117"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160</w:t>
            </w:r>
          </w:p>
        </w:tc>
        <w:tc>
          <w:tcPr>
            <w:tcW w:w="960" w:type="dxa"/>
            <w:noWrap/>
            <w:hideMark/>
          </w:tcPr>
          <w:p w14:paraId="303EB677"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800</w:t>
            </w:r>
          </w:p>
        </w:tc>
      </w:tr>
      <w:tr w:rsidR="00AD2F03" w:rsidRPr="003E6E12" w14:paraId="06CB654F" w14:textId="77777777" w:rsidTr="00E65C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47" w:type="dxa"/>
            <w:noWrap/>
            <w:vAlign w:val="bottom"/>
            <w:hideMark/>
          </w:tcPr>
          <w:p w14:paraId="77350676" w14:textId="77777777" w:rsidR="00AD2F03" w:rsidRPr="003E6E12" w:rsidRDefault="00AD2F03" w:rsidP="00E65C03">
            <w:pPr>
              <w:spacing w:line="240" w:lineRule="auto"/>
              <w:rPr>
                <w:rFonts w:ascii="Calibri" w:eastAsia="Times New Roman" w:hAnsi="Calibri" w:cs="Calibri"/>
                <w:color w:val="000000"/>
              </w:rPr>
            </w:pPr>
            <w:r>
              <w:rPr>
                <w:rFonts w:ascii="Calibri" w:hAnsi="Calibri" w:cs="Calibri"/>
                <w:color w:val="000000"/>
                <w:sz w:val="22"/>
              </w:rPr>
              <w:t>Ferry terminal</w:t>
            </w:r>
          </w:p>
        </w:tc>
        <w:tc>
          <w:tcPr>
            <w:tcW w:w="1086" w:type="dxa"/>
            <w:noWrap/>
            <w:hideMark/>
          </w:tcPr>
          <w:p w14:paraId="4845E6F6"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560</w:t>
            </w:r>
          </w:p>
        </w:tc>
        <w:tc>
          <w:tcPr>
            <w:tcW w:w="1298" w:type="dxa"/>
            <w:noWrap/>
            <w:hideMark/>
          </w:tcPr>
          <w:p w14:paraId="3CBA3C37"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w:t>
            </w:r>
          </w:p>
        </w:tc>
        <w:tc>
          <w:tcPr>
            <w:tcW w:w="960" w:type="dxa"/>
            <w:noWrap/>
            <w:hideMark/>
          </w:tcPr>
          <w:p w14:paraId="4FA4E372"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160</w:t>
            </w:r>
          </w:p>
        </w:tc>
        <w:tc>
          <w:tcPr>
            <w:tcW w:w="960" w:type="dxa"/>
            <w:noWrap/>
            <w:hideMark/>
          </w:tcPr>
          <w:p w14:paraId="03B6619D"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800</w:t>
            </w:r>
          </w:p>
        </w:tc>
      </w:tr>
      <w:tr w:rsidR="00AD2F03" w:rsidRPr="003E6E12" w14:paraId="3B720844" w14:textId="77777777" w:rsidTr="00E65C03">
        <w:trPr>
          <w:trHeight w:val="288"/>
        </w:trPr>
        <w:tc>
          <w:tcPr>
            <w:cnfStyle w:val="001000000000" w:firstRow="0" w:lastRow="0" w:firstColumn="1" w:lastColumn="0" w:oddVBand="0" w:evenVBand="0" w:oddHBand="0" w:evenHBand="0" w:firstRowFirstColumn="0" w:firstRowLastColumn="0" w:lastRowFirstColumn="0" w:lastRowLastColumn="0"/>
            <w:tcW w:w="3347" w:type="dxa"/>
            <w:noWrap/>
            <w:vAlign w:val="bottom"/>
            <w:hideMark/>
          </w:tcPr>
          <w:p w14:paraId="43FA2DB0" w14:textId="77777777" w:rsidR="00AD2F03" w:rsidRPr="003E6E12" w:rsidRDefault="00AD2F03" w:rsidP="00E65C03">
            <w:pPr>
              <w:spacing w:line="240" w:lineRule="auto"/>
              <w:rPr>
                <w:rFonts w:ascii="Calibri" w:eastAsia="Times New Roman" w:hAnsi="Calibri" w:cs="Calibri"/>
                <w:color w:val="000000"/>
              </w:rPr>
            </w:pPr>
            <w:r>
              <w:rPr>
                <w:rFonts w:ascii="Calibri" w:hAnsi="Calibri" w:cs="Calibri"/>
                <w:color w:val="000000"/>
                <w:sz w:val="22"/>
              </w:rPr>
              <w:t>Football field</w:t>
            </w:r>
          </w:p>
        </w:tc>
        <w:tc>
          <w:tcPr>
            <w:tcW w:w="1086" w:type="dxa"/>
            <w:noWrap/>
            <w:hideMark/>
          </w:tcPr>
          <w:p w14:paraId="6FB7964C"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560</w:t>
            </w:r>
          </w:p>
        </w:tc>
        <w:tc>
          <w:tcPr>
            <w:tcW w:w="1298" w:type="dxa"/>
            <w:noWrap/>
            <w:hideMark/>
          </w:tcPr>
          <w:p w14:paraId="710DC7E2"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w:t>
            </w:r>
          </w:p>
        </w:tc>
        <w:tc>
          <w:tcPr>
            <w:tcW w:w="960" w:type="dxa"/>
            <w:noWrap/>
            <w:hideMark/>
          </w:tcPr>
          <w:p w14:paraId="38BA270F"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160</w:t>
            </w:r>
          </w:p>
        </w:tc>
        <w:tc>
          <w:tcPr>
            <w:tcW w:w="960" w:type="dxa"/>
            <w:noWrap/>
            <w:hideMark/>
          </w:tcPr>
          <w:p w14:paraId="58792AF6"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800</w:t>
            </w:r>
          </w:p>
        </w:tc>
      </w:tr>
      <w:tr w:rsidR="00AD2F03" w:rsidRPr="003E6E12" w14:paraId="6C434D8A" w14:textId="77777777" w:rsidTr="00E65C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47" w:type="dxa"/>
            <w:noWrap/>
            <w:vAlign w:val="bottom"/>
            <w:hideMark/>
          </w:tcPr>
          <w:p w14:paraId="20B3FDEF" w14:textId="77777777" w:rsidR="00AD2F03" w:rsidRPr="003E6E12" w:rsidRDefault="00AD2F03" w:rsidP="00E65C03">
            <w:pPr>
              <w:spacing w:line="240" w:lineRule="auto"/>
              <w:rPr>
                <w:rFonts w:ascii="Calibri" w:eastAsia="Times New Roman" w:hAnsi="Calibri" w:cs="Calibri"/>
                <w:color w:val="000000"/>
              </w:rPr>
            </w:pPr>
            <w:r>
              <w:rPr>
                <w:rFonts w:ascii="Calibri" w:hAnsi="Calibri" w:cs="Calibri"/>
                <w:color w:val="000000"/>
                <w:sz w:val="22"/>
              </w:rPr>
              <w:t>Forest</w:t>
            </w:r>
          </w:p>
        </w:tc>
        <w:tc>
          <w:tcPr>
            <w:tcW w:w="1086" w:type="dxa"/>
            <w:noWrap/>
            <w:hideMark/>
          </w:tcPr>
          <w:p w14:paraId="34217C83"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560</w:t>
            </w:r>
          </w:p>
        </w:tc>
        <w:tc>
          <w:tcPr>
            <w:tcW w:w="1298" w:type="dxa"/>
            <w:noWrap/>
            <w:hideMark/>
          </w:tcPr>
          <w:p w14:paraId="03B27A65"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w:t>
            </w:r>
          </w:p>
        </w:tc>
        <w:tc>
          <w:tcPr>
            <w:tcW w:w="960" w:type="dxa"/>
            <w:noWrap/>
            <w:hideMark/>
          </w:tcPr>
          <w:p w14:paraId="710E2F22"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160</w:t>
            </w:r>
          </w:p>
        </w:tc>
        <w:tc>
          <w:tcPr>
            <w:tcW w:w="960" w:type="dxa"/>
            <w:noWrap/>
            <w:hideMark/>
          </w:tcPr>
          <w:p w14:paraId="48331F44"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800</w:t>
            </w:r>
          </w:p>
        </w:tc>
      </w:tr>
      <w:tr w:rsidR="00AD2F03" w:rsidRPr="003E6E12" w14:paraId="0B314995" w14:textId="77777777" w:rsidTr="00E65C03">
        <w:trPr>
          <w:trHeight w:val="288"/>
        </w:trPr>
        <w:tc>
          <w:tcPr>
            <w:cnfStyle w:val="001000000000" w:firstRow="0" w:lastRow="0" w:firstColumn="1" w:lastColumn="0" w:oddVBand="0" w:evenVBand="0" w:oddHBand="0" w:evenHBand="0" w:firstRowFirstColumn="0" w:firstRowLastColumn="0" w:lastRowFirstColumn="0" w:lastRowLastColumn="0"/>
            <w:tcW w:w="3347" w:type="dxa"/>
            <w:noWrap/>
            <w:vAlign w:val="bottom"/>
            <w:hideMark/>
          </w:tcPr>
          <w:p w14:paraId="6D029F2A" w14:textId="77777777" w:rsidR="00AD2F03" w:rsidRPr="003E6E12" w:rsidRDefault="00AD2F03" w:rsidP="00E65C03">
            <w:pPr>
              <w:spacing w:line="240" w:lineRule="auto"/>
              <w:rPr>
                <w:rFonts w:ascii="Calibri" w:eastAsia="Times New Roman" w:hAnsi="Calibri" w:cs="Calibri"/>
                <w:color w:val="000000"/>
              </w:rPr>
            </w:pPr>
            <w:r>
              <w:rPr>
                <w:rFonts w:ascii="Calibri" w:hAnsi="Calibri" w:cs="Calibri"/>
                <w:color w:val="000000"/>
                <w:sz w:val="22"/>
              </w:rPr>
              <w:t>Freeway</w:t>
            </w:r>
          </w:p>
        </w:tc>
        <w:tc>
          <w:tcPr>
            <w:tcW w:w="1086" w:type="dxa"/>
            <w:noWrap/>
            <w:hideMark/>
          </w:tcPr>
          <w:p w14:paraId="18A10E2A"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560</w:t>
            </w:r>
          </w:p>
        </w:tc>
        <w:tc>
          <w:tcPr>
            <w:tcW w:w="1298" w:type="dxa"/>
            <w:noWrap/>
            <w:hideMark/>
          </w:tcPr>
          <w:p w14:paraId="75A91721"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w:t>
            </w:r>
          </w:p>
        </w:tc>
        <w:tc>
          <w:tcPr>
            <w:tcW w:w="960" w:type="dxa"/>
            <w:noWrap/>
            <w:hideMark/>
          </w:tcPr>
          <w:p w14:paraId="72E93DD4"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160</w:t>
            </w:r>
          </w:p>
        </w:tc>
        <w:tc>
          <w:tcPr>
            <w:tcW w:w="960" w:type="dxa"/>
            <w:noWrap/>
            <w:hideMark/>
          </w:tcPr>
          <w:p w14:paraId="78F5DD22"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800</w:t>
            </w:r>
          </w:p>
        </w:tc>
      </w:tr>
      <w:tr w:rsidR="00AD2F03" w:rsidRPr="003E6E12" w14:paraId="2EBDAC80" w14:textId="77777777" w:rsidTr="00E65C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47" w:type="dxa"/>
            <w:noWrap/>
            <w:vAlign w:val="bottom"/>
            <w:hideMark/>
          </w:tcPr>
          <w:p w14:paraId="7CE07FB7" w14:textId="77777777" w:rsidR="00AD2F03" w:rsidRPr="003E6E12" w:rsidRDefault="00AD2F03" w:rsidP="00E65C03">
            <w:pPr>
              <w:spacing w:line="240" w:lineRule="auto"/>
              <w:rPr>
                <w:rFonts w:ascii="Calibri" w:eastAsia="Times New Roman" w:hAnsi="Calibri" w:cs="Calibri"/>
                <w:color w:val="000000"/>
              </w:rPr>
            </w:pPr>
            <w:r>
              <w:rPr>
                <w:rFonts w:ascii="Calibri" w:hAnsi="Calibri" w:cs="Calibri"/>
                <w:color w:val="000000"/>
                <w:sz w:val="22"/>
              </w:rPr>
              <w:t>Golf course</w:t>
            </w:r>
          </w:p>
        </w:tc>
        <w:tc>
          <w:tcPr>
            <w:tcW w:w="1086" w:type="dxa"/>
            <w:noWrap/>
            <w:hideMark/>
          </w:tcPr>
          <w:p w14:paraId="4B907E39"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560</w:t>
            </w:r>
          </w:p>
        </w:tc>
        <w:tc>
          <w:tcPr>
            <w:tcW w:w="1298" w:type="dxa"/>
            <w:noWrap/>
            <w:hideMark/>
          </w:tcPr>
          <w:p w14:paraId="01473C88"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w:t>
            </w:r>
          </w:p>
        </w:tc>
        <w:tc>
          <w:tcPr>
            <w:tcW w:w="960" w:type="dxa"/>
            <w:noWrap/>
            <w:hideMark/>
          </w:tcPr>
          <w:p w14:paraId="24E9EF7F"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160</w:t>
            </w:r>
          </w:p>
        </w:tc>
        <w:tc>
          <w:tcPr>
            <w:tcW w:w="960" w:type="dxa"/>
            <w:noWrap/>
            <w:hideMark/>
          </w:tcPr>
          <w:p w14:paraId="3D95968E"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800</w:t>
            </w:r>
          </w:p>
        </w:tc>
      </w:tr>
      <w:tr w:rsidR="00AD2F03" w:rsidRPr="003E6E12" w14:paraId="3EF30364" w14:textId="77777777" w:rsidTr="00E65C03">
        <w:trPr>
          <w:trHeight w:val="288"/>
        </w:trPr>
        <w:tc>
          <w:tcPr>
            <w:cnfStyle w:val="001000000000" w:firstRow="0" w:lastRow="0" w:firstColumn="1" w:lastColumn="0" w:oddVBand="0" w:evenVBand="0" w:oddHBand="0" w:evenHBand="0" w:firstRowFirstColumn="0" w:firstRowLastColumn="0" w:lastRowFirstColumn="0" w:lastRowLastColumn="0"/>
            <w:tcW w:w="3347" w:type="dxa"/>
            <w:noWrap/>
            <w:vAlign w:val="bottom"/>
            <w:hideMark/>
          </w:tcPr>
          <w:p w14:paraId="3D8F83AA" w14:textId="77777777" w:rsidR="00AD2F03" w:rsidRPr="003E6E12" w:rsidRDefault="00AD2F03" w:rsidP="00E65C03">
            <w:pPr>
              <w:spacing w:line="240" w:lineRule="auto"/>
              <w:rPr>
                <w:rFonts w:ascii="Calibri" w:eastAsia="Times New Roman" w:hAnsi="Calibri" w:cs="Calibri"/>
                <w:color w:val="000000"/>
              </w:rPr>
            </w:pPr>
            <w:r>
              <w:rPr>
                <w:rFonts w:ascii="Calibri" w:hAnsi="Calibri" w:cs="Calibri"/>
                <w:color w:val="000000"/>
                <w:sz w:val="22"/>
              </w:rPr>
              <w:t>Harbor</w:t>
            </w:r>
          </w:p>
        </w:tc>
        <w:tc>
          <w:tcPr>
            <w:tcW w:w="1086" w:type="dxa"/>
            <w:noWrap/>
            <w:hideMark/>
          </w:tcPr>
          <w:p w14:paraId="45BAF071"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560</w:t>
            </w:r>
          </w:p>
        </w:tc>
        <w:tc>
          <w:tcPr>
            <w:tcW w:w="1298" w:type="dxa"/>
            <w:noWrap/>
            <w:hideMark/>
          </w:tcPr>
          <w:p w14:paraId="2FA6F72B"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w:t>
            </w:r>
          </w:p>
        </w:tc>
        <w:tc>
          <w:tcPr>
            <w:tcW w:w="960" w:type="dxa"/>
            <w:noWrap/>
            <w:hideMark/>
          </w:tcPr>
          <w:p w14:paraId="3364F77A"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160</w:t>
            </w:r>
          </w:p>
        </w:tc>
        <w:tc>
          <w:tcPr>
            <w:tcW w:w="960" w:type="dxa"/>
            <w:noWrap/>
            <w:hideMark/>
          </w:tcPr>
          <w:p w14:paraId="4376C868"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800</w:t>
            </w:r>
          </w:p>
        </w:tc>
      </w:tr>
      <w:tr w:rsidR="00AD2F03" w:rsidRPr="003E6E12" w14:paraId="7E7CBCF0" w14:textId="77777777" w:rsidTr="00E65C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47" w:type="dxa"/>
            <w:noWrap/>
            <w:vAlign w:val="bottom"/>
            <w:hideMark/>
          </w:tcPr>
          <w:p w14:paraId="0BD5E35B" w14:textId="77777777" w:rsidR="00AD2F03" w:rsidRPr="003E6E12" w:rsidRDefault="00AD2F03" w:rsidP="00E65C03">
            <w:pPr>
              <w:spacing w:line="240" w:lineRule="auto"/>
              <w:rPr>
                <w:rFonts w:ascii="Calibri" w:eastAsia="Times New Roman" w:hAnsi="Calibri" w:cs="Calibri"/>
                <w:color w:val="000000"/>
              </w:rPr>
            </w:pPr>
            <w:r>
              <w:rPr>
                <w:rFonts w:ascii="Calibri" w:hAnsi="Calibri" w:cs="Calibri"/>
                <w:color w:val="000000"/>
                <w:sz w:val="22"/>
              </w:rPr>
              <w:t>Intersection</w:t>
            </w:r>
          </w:p>
        </w:tc>
        <w:tc>
          <w:tcPr>
            <w:tcW w:w="1086" w:type="dxa"/>
            <w:noWrap/>
            <w:hideMark/>
          </w:tcPr>
          <w:p w14:paraId="277FCD3D"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560</w:t>
            </w:r>
          </w:p>
        </w:tc>
        <w:tc>
          <w:tcPr>
            <w:tcW w:w="1298" w:type="dxa"/>
            <w:noWrap/>
            <w:hideMark/>
          </w:tcPr>
          <w:p w14:paraId="6CF152F5"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w:t>
            </w:r>
          </w:p>
        </w:tc>
        <w:tc>
          <w:tcPr>
            <w:tcW w:w="960" w:type="dxa"/>
            <w:noWrap/>
            <w:hideMark/>
          </w:tcPr>
          <w:p w14:paraId="01086AE2"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160</w:t>
            </w:r>
          </w:p>
        </w:tc>
        <w:tc>
          <w:tcPr>
            <w:tcW w:w="960" w:type="dxa"/>
            <w:noWrap/>
            <w:hideMark/>
          </w:tcPr>
          <w:p w14:paraId="3AF9068A"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800</w:t>
            </w:r>
          </w:p>
        </w:tc>
      </w:tr>
      <w:tr w:rsidR="00AD2F03" w:rsidRPr="003E6E12" w14:paraId="286F9C44" w14:textId="77777777" w:rsidTr="00E65C03">
        <w:trPr>
          <w:trHeight w:val="288"/>
        </w:trPr>
        <w:tc>
          <w:tcPr>
            <w:cnfStyle w:val="001000000000" w:firstRow="0" w:lastRow="0" w:firstColumn="1" w:lastColumn="0" w:oddVBand="0" w:evenVBand="0" w:oddHBand="0" w:evenHBand="0" w:firstRowFirstColumn="0" w:firstRowLastColumn="0" w:lastRowFirstColumn="0" w:lastRowLastColumn="0"/>
            <w:tcW w:w="3347" w:type="dxa"/>
            <w:noWrap/>
            <w:vAlign w:val="bottom"/>
            <w:hideMark/>
          </w:tcPr>
          <w:p w14:paraId="12694292" w14:textId="77777777" w:rsidR="00AD2F03" w:rsidRPr="003E6E12" w:rsidRDefault="00AD2F03" w:rsidP="00E65C03">
            <w:pPr>
              <w:spacing w:line="240" w:lineRule="auto"/>
              <w:rPr>
                <w:rFonts w:ascii="Calibri" w:eastAsia="Times New Roman" w:hAnsi="Calibri" w:cs="Calibri"/>
                <w:color w:val="000000"/>
              </w:rPr>
            </w:pPr>
            <w:r>
              <w:rPr>
                <w:rFonts w:ascii="Calibri" w:hAnsi="Calibri" w:cs="Calibri"/>
                <w:color w:val="000000"/>
                <w:sz w:val="22"/>
              </w:rPr>
              <w:t>Mobile home park</w:t>
            </w:r>
          </w:p>
        </w:tc>
        <w:tc>
          <w:tcPr>
            <w:tcW w:w="1086" w:type="dxa"/>
            <w:noWrap/>
            <w:hideMark/>
          </w:tcPr>
          <w:p w14:paraId="6B2B866C"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560</w:t>
            </w:r>
          </w:p>
        </w:tc>
        <w:tc>
          <w:tcPr>
            <w:tcW w:w="1298" w:type="dxa"/>
            <w:noWrap/>
            <w:hideMark/>
          </w:tcPr>
          <w:p w14:paraId="7FD0BD97"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w:t>
            </w:r>
          </w:p>
        </w:tc>
        <w:tc>
          <w:tcPr>
            <w:tcW w:w="960" w:type="dxa"/>
            <w:noWrap/>
            <w:hideMark/>
          </w:tcPr>
          <w:p w14:paraId="06063A7A"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160</w:t>
            </w:r>
          </w:p>
        </w:tc>
        <w:tc>
          <w:tcPr>
            <w:tcW w:w="960" w:type="dxa"/>
            <w:noWrap/>
            <w:hideMark/>
          </w:tcPr>
          <w:p w14:paraId="37FE0E19"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800</w:t>
            </w:r>
          </w:p>
        </w:tc>
      </w:tr>
      <w:tr w:rsidR="00AD2F03" w:rsidRPr="003E6E12" w14:paraId="1647F6D6" w14:textId="77777777" w:rsidTr="00E65C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47" w:type="dxa"/>
            <w:noWrap/>
            <w:vAlign w:val="bottom"/>
            <w:hideMark/>
          </w:tcPr>
          <w:p w14:paraId="5CCAA59B" w14:textId="77777777" w:rsidR="00AD2F03" w:rsidRPr="003E6E12" w:rsidRDefault="00AD2F03" w:rsidP="00E65C03">
            <w:pPr>
              <w:spacing w:line="240" w:lineRule="auto"/>
              <w:rPr>
                <w:rFonts w:ascii="Calibri" w:eastAsia="Times New Roman" w:hAnsi="Calibri" w:cs="Calibri"/>
                <w:color w:val="000000"/>
              </w:rPr>
            </w:pPr>
            <w:r>
              <w:rPr>
                <w:rFonts w:ascii="Calibri" w:hAnsi="Calibri" w:cs="Calibri"/>
                <w:color w:val="000000"/>
                <w:sz w:val="22"/>
              </w:rPr>
              <w:t>Nursing home</w:t>
            </w:r>
          </w:p>
        </w:tc>
        <w:tc>
          <w:tcPr>
            <w:tcW w:w="1086" w:type="dxa"/>
            <w:noWrap/>
            <w:hideMark/>
          </w:tcPr>
          <w:p w14:paraId="65402165"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560</w:t>
            </w:r>
          </w:p>
        </w:tc>
        <w:tc>
          <w:tcPr>
            <w:tcW w:w="1298" w:type="dxa"/>
            <w:noWrap/>
            <w:hideMark/>
          </w:tcPr>
          <w:p w14:paraId="684E03B8"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w:t>
            </w:r>
          </w:p>
        </w:tc>
        <w:tc>
          <w:tcPr>
            <w:tcW w:w="960" w:type="dxa"/>
            <w:noWrap/>
            <w:hideMark/>
          </w:tcPr>
          <w:p w14:paraId="13F1967E"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160</w:t>
            </w:r>
          </w:p>
        </w:tc>
        <w:tc>
          <w:tcPr>
            <w:tcW w:w="960" w:type="dxa"/>
            <w:noWrap/>
            <w:hideMark/>
          </w:tcPr>
          <w:p w14:paraId="362721C9"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800</w:t>
            </w:r>
          </w:p>
        </w:tc>
      </w:tr>
      <w:tr w:rsidR="00AD2F03" w:rsidRPr="003E6E12" w14:paraId="1BF68CBE" w14:textId="77777777" w:rsidTr="00E65C03">
        <w:trPr>
          <w:trHeight w:val="288"/>
        </w:trPr>
        <w:tc>
          <w:tcPr>
            <w:cnfStyle w:val="001000000000" w:firstRow="0" w:lastRow="0" w:firstColumn="1" w:lastColumn="0" w:oddVBand="0" w:evenVBand="0" w:oddHBand="0" w:evenHBand="0" w:firstRowFirstColumn="0" w:firstRowLastColumn="0" w:lastRowFirstColumn="0" w:lastRowLastColumn="0"/>
            <w:tcW w:w="3347" w:type="dxa"/>
            <w:noWrap/>
            <w:vAlign w:val="bottom"/>
            <w:hideMark/>
          </w:tcPr>
          <w:p w14:paraId="61D528E9" w14:textId="77777777" w:rsidR="00AD2F03" w:rsidRPr="003E6E12" w:rsidRDefault="00AD2F03" w:rsidP="00E65C03">
            <w:pPr>
              <w:spacing w:line="240" w:lineRule="auto"/>
              <w:rPr>
                <w:rFonts w:ascii="Calibri" w:eastAsia="Times New Roman" w:hAnsi="Calibri" w:cs="Calibri"/>
                <w:color w:val="000000"/>
              </w:rPr>
            </w:pPr>
            <w:r>
              <w:rPr>
                <w:rFonts w:ascii="Calibri" w:hAnsi="Calibri" w:cs="Calibri"/>
                <w:color w:val="000000"/>
                <w:sz w:val="22"/>
              </w:rPr>
              <w:t>Oil gas field</w:t>
            </w:r>
          </w:p>
        </w:tc>
        <w:tc>
          <w:tcPr>
            <w:tcW w:w="1086" w:type="dxa"/>
            <w:noWrap/>
            <w:hideMark/>
          </w:tcPr>
          <w:p w14:paraId="498F6330"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560</w:t>
            </w:r>
          </w:p>
        </w:tc>
        <w:tc>
          <w:tcPr>
            <w:tcW w:w="1298" w:type="dxa"/>
            <w:noWrap/>
            <w:hideMark/>
          </w:tcPr>
          <w:p w14:paraId="1CDCFB89"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w:t>
            </w:r>
          </w:p>
        </w:tc>
        <w:tc>
          <w:tcPr>
            <w:tcW w:w="960" w:type="dxa"/>
            <w:noWrap/>
            <w:hideMark/>
          </w:tcPr>
          <w:p w14:paraId="64AA7B1A"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160</w:t>
            </w:r>
          </w:p>
        </w:tc>
        <w:tc>
          <w:tcPr>
            <w:tcW w:w="960" w:type="dxa"/>
            <w:noWrap/>
            <w:hideMark/>
          </w:tcPr>
          <w:p w14:paraId="7B418775"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800</w:t>
            </w:r>
          </w:p>
        </w:tc>
      </w:tr>
      <w:tr w:rsidR="00AD2F03" w:rsidRPr="003E6E12" w14:paraId="15A8B4AB" w14:textId="77777777" w:rsidTr="00E65C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47" w:type="dxa"/>
            <w:noWrap/>
            <w:vAlign w:val="bottom"/>
            <w:hideMark/>
          </w:tcPr>
          <w:p w14:paraId="5C82049A" w14:textId="77777777" w:rsidR="00AD2F03" w:rsidRPr="003E6E12" w:rsidRDefault="00AD2F03" w:rsidP="00E65C03">
            <w:pPr>
              <w:spacing w:line="240" w:lineRule="auto"/>
              <w:rPr>
                <w:rFonts w:ascii="Calibri" w:eastAsia="Times New Roman" w:hAnsi="Calibri" w:cs="Calibri"/>
                <w:color w:val="000000"/>
              </w:rPr>
            </w:pPr>
            <w:r>
              <w:rPr>
                <w:rFonts w:ascii="Calibri" w:hAnsi="Calibri" w:cs="Calibri"/>
                <w:color w:val="000000"/>
                <w:sz w:val="22"/>
              </w:rPr>
              <w:t>Oil well</w:t>
            </w:r>
          </w:p>
        </w:tc>
        <w:tc>
          <w:tcPr>
            <w:tcW w:w="1086" w:type="dxa"/>
            <w:noWrap/>
            <w:hideMark/>
          </w:tcPr>
          <w:p w14:paraId="02F76EE7"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560</w:t>
            </w:r>
          </w:p>
        </w:tc>
        <w:tc>
          <w:tcPr>
            <w:tcW w:w="1298" w:type="dxa"/>
            <w:noWrap/>
            <w:hideMark/>
          </w:tcPr>
          <w:p w14:paraId="6966370F"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w:t>
            </w:r>
          </w:p>
        </w:tc>
        <w:tc>
          <w:tcPr>
            <w:tcW w:w="960" w:type="dxa"/>
            <w:noWrap/>
            <w:hideMark/>
          </w:tcPr>
          <w:p w14:paraId="115B1B90"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160</w:t>
            </w:r>
          </w:p>
        </w:tc>
        <w:tc>
          <w:tcPr>
            <w:tcW w:w="960" w:type="dxa"/>
            <w:noWrap/>
            <w:hideMark/>
          </w:tcPr>
          <w:p w14:paraId="6F3D1703"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800</w:t>
            </w:r>
          </w:p>
        </w:tc>
      </w:tr>
      <w:tr w:rsidR="00AD2F03" w:rsidRPr="003E6E12" w14:paraId="3C90ABA7" w14:textId="77777777" w:rsidTr="00E65C03">
        <w:trPr>
          <w:trHeight w:val="288"/>
        </w:trPr>
        <w:tc>
          <w:tcPr>
            <w:cnfStyle w:val="001000000000" w:firstRow="0" w:lastRow="0" w:firstColumn="1" w:lastColumn="0" w:oddVBand="0" w:evenVBand="0" w:oddHBand="0" w:evenHBand="0" w:firstRowFirstColumn="0" w:firstRowLastColumn="0" w:lastRowFirstColumn="0" w:lastRowLastColumn="0"/>
            <w:tcW w:w="3347" w:type="dxa"/>
            <w:noWrap/>
            <w:vAlign w:val="bottom"/>
            <w:hideMark/>
          </w:tcPr>
          <w:p w14:paraId="0427D13A" w14:textId="77777777" w:rsidR="00AD2F03" w:rsidRPr="003E6E12" w:rsidRDefault="00AD2F03" w:rsidP="00E65C03">
            <w:pPr>
              <w:spacing w:line="240" w:lineRule="auto"/>
              <w:rPr>
                <w:rFonts w:ascii="Calibri" w:eastAsia="Times New Roman" w:hAnsi="Calibri" w:cs="Calibri"/>
                <w:color w:val="000000"/>
              </w:rPr>
            </w:pPr>
            <w:r>
              <w:rPr>
                <w:rFonts w:ascii="Calibri" w:hAnsi="Calibri" w:cs="Calibri"/>
                <w:color w:val="000000"/>
                <w:sz w:val="22"/>
              </w:rPr>
              <w:t>Overpass</w:t>
            </w:r>
          </w:p>
        </w:tc>
        <w:tc>
          <w:tcPr>
            <w:tcW w:w="1086" w:type="dxa"/>
            <w:noWrap/>
            <w:hideMark/>
          </w:tcPr>
          <w:p w14:paraId="06924E07"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560</w:t>
            </w:r>
          </w:p>
        </w:tc>
        <w:tc>
          <w:tcPr>
            <w:tcW w:w="1298" w:type="dxa"/>
            <w:noWrap/>
            <w:hideMark/>
          </w:tcPr>
          <w:p w14:paraId="35C81F9C"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w:t>
            </w:r>
          </w:p>
        </w:tc>
        <w:tc>
          <w:tcPr>
            <w:tcW w:w="960" w:type="dxa"/>
            <w:noWrap/>
            <w:hideMark/>
          </w:tcPr>
          <w:p w14:paraId="59717EEF"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160</w:t>
            </w:r>
          </w:p>
        </w:tc>
        <w:tc>
          <w:tcPr>
            <w:tcW w:w="960" w:type="dxa"/>
            <w:noWrap/>
            <w:hideMark/>
          </w:tcPr>
          <w:p w14:paraId="721F79CD"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800</w:t>
            </w:r>
          </w:p>
        </w:tc>
      </w:tr>
      <w:tr w:rsidR="00AD2F03" w:rsidRPr="003E6E12" w14:paraId="3EC149F8" w14:textId="77777777" w:rsidTr="00E65C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47" w:type="dxa"/>
            <w:noWrap/>
            <w:vAlign w:val="bottom"/>
            <w:hideMark/>
          </w:tcPr>
          <w:p w14:paraId="1515FB04" w14:textId="77777777" w:rsidR="00AD2F03" w:rsidRPr="003E6E12" w:rsidRDefault="00AD2F03" w:rsidP="00E65C03">
            <w:pPr>
              <w:spacing w:line="240" w:lineRule="auto"/>
              <w:rPr>
                <w:rFonts w:ascii="Calibri" w:eastAsia="Times New Roman" w:hAnsi="Calibri" w:cs="Calibri"/>
                <w:color w:val="000000"/>
              </w:rPr>
            </w:pPr>
            <w:r>
              <w:rPr>
                <w:rFonts w:ascii="Calibri" w:hAnsi="Calibri" w:cs="Calibri"/>
                <w:color w:val="000000"/>
                <w:sz w:val="22"/>
              </w:rPr>
              <w:t>Parking lot</w:t>
            </w:r>
          </w:p>
        </w:tc>
        <w:tc>
          <w:tcPr>
            <w:tcW w:w="1086" w:type="dxa"/>
            <w:noWrap/>
            <w:hideMark/>
          </w:tcPr>
          <w:p w14:paraId="074B77A9"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560</w:t>
            </w:r>
          </w:p>
        </w:tc>
        <w:tc>
          <w:tcPr>
            <w:tcW w:w="1298" w:type="dxa"/>
            <w:noWrap/>
            <w:hideMark/>
          </w:tcPr>
          <w:p w14:paraId="753A5280"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w:t>
            </w:r>
          </w:p>
        </w:tc>
        <w:tc>
          <w:tcPr>
            <w:tcW w:w="960" w:type="dxa"/>
            <w:noWrap/>
            <w:hideMark/>
          </w:tcPr>
          <w:p w14:paraId="597BFCF9"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160</w:t>
            </w:r>
          </w:p>
        </w:tc>
        <w:tc>
          <w:tcPr>
            <w:tcW w:w="960" w:type="dxa"/>
            <w:noWrap/>
            <w:hideMark/>
          </w:tcPr>
          <w:p w14:paraId="04A4BBB2"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800</w:t>
            </w:r>
          </w:p>
        </w:tc>
      </w:tr>
      <w:tr w:rsidR="00AD2F03" w:rsidRPr="003E6E12" w14:paraId="7E1D381A" w14:textId="77777777" w:rsidTr="00E65C03">
        <w:trPr>
          <w:trHeight w:val="288"/>
        </w:trPr>
        <w:tc>
          <w:tcPr>
            <w:cnfStyle w:val="001000000000" w:firstRow="0" w:lastRow="0" w:firstColumn="1" w:lastColumn="0" w:oddVBand="0" w:evenVBand="0" w:oddHBand="0" w:evenHBand="0" w:firstRowFirstColumn="0" w:firstRowLastColumn="0" w:lastRowFirstColumn="0" w:lastRowLastColumn="0"/>
            <w:tcW w:w="3347" w:type="dxa"/>
            <w:noWrap/>
            <w:vAlign w:val="bottom"/>
            <w:hideMark/>
          </w:tcPr>
          <w:p w14:paraId="183F92AD" w14:textId="77777777" w:rsidR="00AD2F03" w:rsidRPr="003E6E12" w:rsidRDefault="00AD2F03" w:rsidP="00E65C03">
            <w:pPr>
              <w:spacing w:line="240" w:lineRule="auto"/>
              <w:rPr>
                <w:rFonts w:ascii="Calibri" w:eastAsia="Times New Roman" w:hAnsi="Calibri" w:cs="Calibri"/>
                <w:color w:val="000000"/>
              </w:rPr>
            </w:pPr>
            <w:r>
              <w:rPr>
                <w:rFonts w:ascii="Calibri" w:hAnsi="Calibri" w:cs="Calibri"/>
                <w:color w:val="000000"/>
                <w:sz w:val="22"/>
              </w:rPr>
              <w:t>Parking space</w:t>
            </w:r>
          </w:p>
        </w:tc>
        <w:tc>
          <w:tcPr>
            <w:tcW w:w="1086" w:type="dxa"/>
            <w:noWrap/>
            <w:hideMark/>
          </w:tcPr>
          <w:p w14:paraId="59EAB9AF"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560</w:t>
            </w:r>
          </w:p>
        </w:tc>
        <w:tc>
          <w:tcPr>
            <w:tcW w:w="1298" w:type="dxa"/>
            <w:noWrap/>
            <w:hideMark/>
          </w:tcPr>
          <w:p w14:paraId="1CE24951"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w:t>
            </w:r>
          </w:p>
        </w:tc>
        <w:tc>
          <w:tcPr>
            <w:tcW w:w="960" w:type="dxa"/>
            <w:noWrap/>
            <w:hideMark/>
          </w:tcPr>
          <w:p w14:paraId="30235AA1"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160</w:t>
            </w:r>
          </w:p>
        </w:tc>
        <w:tc>
          <w:tcPr>
            <w:tcW w:w="960" w:type="dxa"/>
            <w:noWrap/>
            <w:hideMark/>
          </w:tcPr>
          <w:p w14:paraId="5758A0CA"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800</w:t>
            </w:r>
          </w:p>
        </w:tc>
      </w:tr>
      <w:tr w:rsidR="00AD2F03" w:rsidRPr="003E6E12" w14:paraId="5E970D82" w14:textId="77777777" w:rsidTr="00E65C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47" w:type="dxa"/>
            <w:noWrap/>
            <w:vAlign w:val="bottom"/>
            <w:hideMark/>
          </w:tcPr>
          <w:p w14:paraId="41FE2BAA" w14:textId="77777777" w:rsidR="00AD2F03" w:rsidRPr="003E6E12" w:rsidRDefault="00AD2F03" w:rsidP="00E65C03">
            <w:pPr>
              <w:spacing w:line="240" w:lineRule="auto"/>
              <w:rPr>
                <w:rFonts w:ascii="Calibri" w:eastAsia="Times New Roman" w:hAnsi="Calibri" w:cs="Calibri"/>
                <w:color w:val="000000"/>
              </w:rPr>
            </w:pPr>
            <w:r>
              <w:rPr>
                <w:rFonts w:ascii="Calibri" w:hAnsi="Calibri" w:cs="Calibri"/>
                <w:color w:val="000000"/>
                <w:sz w:val="22"/>
              </w:rPr>
              <w:t>Railway</w:t>
            </w:r>
          </w:p>
        </w:tc>
        <w:tc>
          <w:tcPr>
            <w:tcW w:w="1086" w:type="dxa"/>
            <w:noWrap/>
            <w:hideMark/>
          </w:tcPr>
          <w:p w14:paraId="4EDDFA17"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560</w:t>
            </w:r>
          </w:p>
        </w:tc>
        <w:tc>
          <w:tcPr>
            <w:tcW w:w="1298" w:type="dxa"/>
            <w:noWrap/>
            <w:hideMark/>
          </w:tcPr>
          <w:p w14:paraId="34D01C53"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w:t>
            </w:r>
          </w:p>
        </w:tc>
        <w:tc>
          <w:tcPr>
            <w:tcW w:w="960" w:type="dxa"/>
            <w:noWrap/>
            <w:hideMark/>
          </w:tcPr>
          <w:p w14:paraId="2EDB5912"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160</w:t>
            </w:r>
          </w:p>
        </w:tc>
        <w:tc>
          <w:tcPr>
            <w:tcW w:w="960" w:type="dxa"/>
            <w:noWrap/>
            <w:hideMark/>
          </w:tcPr>
          <w:p w14:paraId="2FF4D4DE"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800</w:t>
            </w:r>
          </w:p>
        </w:tc>
      </w:tr>
      <w:tr w:rsidR="00AD2F03" w:rsidRPr="003E6E12" w14:paraId="1CDCAB14" w14:textId="77777777" w:rsidTr="00E65C03">
        <w:trPr>
          <w:trHeight w:val="288"/>
        </w:trPr>
        <w:tc>
          <w:tcPr>
            <w:cnfStyle w:val="001000000000" w:firstRow="0" w:lastRow="0" w:firstColumn="1" w:lastColumn="0" w:oddVBand="0" w:evenVBand="0" w:oddHBand="0" w:evenHBand="0" w:firstRowFirstColumn="0" w:firstRowLastColumn="0" w:lastRowFirstColumn="0" w:lastRowLastColumn="0"/>
            <w:tcW w:w="3347" w:type="dxa"/>
            <w:noWrap/>
            <w:vAlign w:val="bottom"/>
            <w:hideMark/>
          </w:tcPr>
          <w:p w14:paraId="63EE0B4B" w14:textId="77777777" w:rsidR="00AD2F03" w:rsidRPr="003E6E12" w:rsidRDefault="00AD2F03" w:rsidP="00E65C03">
            <w:pPr>
              <w:spacing w:line="240" w:lineRule="auto"/>
              <w:rPr>
                <w:rFonts w:ascii="Calibri" w:eastAsia="Times New Roman" w:hAnsi="Calibri" w:cs="Calibri"/>
                <w:color w:val="000000"/>
              </w:rPr>
            </w:pPr>
            <w:r>
              <w:rPr>
                <w:rFonts w:ascii="Calibri" w:hAnsi="Calibri" w:cs="Calibri"/>
                <w:color w:val="000000"/>
                <w:sz w:val="22"/>
              </w:rPr>
              <w:t>River</w:t>
            </w:r>
          </w:p>
        </w:tc>
        <w:tc>
          <w:tcPr>
            <w:tcW w:w="1086" w:type="dxa"/>
            <w:noWrap/>
            <w:hideMark/>
          </w:tcPr>
          <w:p w14:paraId="3E3418A2"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560</w:t>
            </w:r>
          </w:p>
        </w:tc>
        <w:tc>
          <w:tcPr>
            <w:tcW w:w="1298" w:type="dxa"/>
            <w:noWrap/>
            <w:hideMark/>
          </w:tcPr>
          <w:p w14:paraId="6FA1D744"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w:t>
            </w:r>
          </w:p>
        </w:tc>
        <w:tc>
          <w:tcPr>
            <w:tcW w:w="960" w:type="dxa"/>
            <w:noWrap/>
            <w:hideMark/>
          </w:tcPr>
          <w:p w14:paraId="2ECC326E"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160</w:t>
            </w:r>
          </w:p>
        </w:tc>
        <w:tc>
          <w:tcPr>
            <w:tcW w:w="960" w:type="dxa"/>
            <w:noWrap/>
            <w:hideMark/>
          </w:tcPr>
          <w:p w14:paraId="6AB780FF"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800</w:t>
            </w:r>
          </w:p>
        </w:tc>
      </w:tr>
      <w:tr w:rsidR="00AD2F03" w:rsidRPr="003E6E12" w14:paraId="162F24E3" w14:textId="77777777" w:rsidTr="00E65C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47" w:type="dxa"/>
            <w:noWrap/>
            <w:vAlign w:val="bottom"/>
            <w:hideMark/>
          </w:tcPr>
          <w:p w14:paraId="589BDC15" w14:textId="77777777" w:rsidR="00AD2F03" w:rsidRPr="003E6E12" w:rsidRDefault="00AD2F03" w:rsidP="00E65C03">
            <w:pPr>
              <w:spacing w:line="240" w:lineRule="auto"/>
              <w:rPr>
                <w:rFonts w:ascii="Calibri" w:eastAsia="Times New Roman" w:hAnsi="Calibri" w:cs="Calibri"/>
                <w:color w:val="000000"/>
              </w:rPr>
            </w:pPr>
            <w:r>
              <w:rPr>
                <w:rFonts w:ascii="Calibri" w:hAnsi="Calibri" w:cs="Calibri"/>
                <w:color w:val="000000"/>
                <w:sz w:val="22"/>
              </w:rPr>
              <w:t>Runway</w:t>
            </w:r>
          </w:p>
        </w:tc>
        <w:tc>
          <w:tcPr>
            <w:tcW w:w="1086" w:type="dxa"/>
            <w:noWrap/>
            <w:hideMark/>
          </w:tcPr>
          <w:p w14:paraId="6E56E5D9"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560</w:t>
            </w:r>
          </w:p>
        </w:tc>
        <w:tc>
          <w:tcPr>
            <w:tcW w:w="1298" w:type="dxa"/>
            <w:noWrap/>
            <w:hideMark/>
          </w:tcPr>
          <w:p w14:paraId="16BC95F8"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w:t>
            </w:r>
          </w:p>
        </w:tc>
        <w:tc>
          <w:tcPr>
            <w:tcW w:w="960" w:type="dxa"/>
            <w:noWrap/>
            <w:hideMark/>
          </w:tcPr>
          <w:p w14:paraId="5BD2005E"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160</w:t>
            </w:r>
          </w:p>
        </w:tc>
        <w:tc>
          <w:tcPr>
            <w:tcW w:w="960" w:type="dxa"/>
            <w:noWrap/>
            <w:hideMark/>
          </w:tcPr>
          <w:p w14:paraId="2264F59C"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800</w:t>
            </w:r>
          </w:p>
        </w:tc>
      </w:tr>
      <w:tr w:rsidR="00AD2F03" w:rsidRPr="003E6E12" w14:paraId="2FEE4D0C" w14:textId="77777777" w:rsidTr="00E65C03">
        <w:trPr>
          <w:trHeight w:val="288"/>
        </w:trPr>
        <w:tc>
          <w:tcPr>
            <w:cnfStyle w:val="001000000000" w:firstRow="0" w:lastRow="0" w:firstColumn="1" w:lastColumn="0" w:oddVBand="0" w:evenVBand="0" w:oddHBand="0" w:evenHBand="0" w:firstRowFirstColumn="0" w:firstRowLastColumn="0" w:lastRowFirstColumn="0" w:lastRowLastColumn="0"/>
            <w:tcW w:w="3347" w:type="dxa"/>
            <w:noWrap/>
            <w:vAlign w:val="bottom"/>
            <w:hideMark/>
          </w:tcPr>
          <w:p w14:paraId="29A6C952" w14:textId="77777777" w:rsidR="00AD2F03" w:rsidRPr="003E6E12" w:rsidRDefault="00AD2F03" w:rsidP="00E65C03">
            <w:pPr>
              <w:spacing w:line="240" w:lineRule="auto"/>
              <w:rPr>
                <w:rFonts w:ascii="Calibri" w:eastAsia="Times New Roman" w:hAnsi="Calibri" w:cs="Calibri"/>
                <w:color w:val="000000"/>
              </w:rPr>
            </w:pPr>
            <w:r>
              <w:rPr>
                <w:rFonts w:ascii="Calibri" w:hAnsi="Calibri" w:cs="Calibri"/>
                <w:color w:val="000000"/>
                <w:sz w:val="22"/>
              </w:rPr>
              <w:t>Runway marking</w:t>
            </w:r>
          </w:p>
        </w:tc>
        <w:tc>
          <w:tcPr>
            <w:tcW w:w="1086" w:type="dxa"/>
            <w:noWrap/>
            <w:hideMark/>
          </w:tcPr>
          <w:p w14:paraId="7E8612BF"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560</w:t>
            </w:r>
          </w:p>
        </w:tc>
        <w:tc>
          <w:tcPr>
            <w:tcW w:w="1298" w:type="dxa"/>
            <w:noWrap/>
            <w:hideMark/>
          </w:tcPr>
          <w:p w14:paraId="788A1FEC"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w:t>
            </w:r>
          </w:p>
        </w:tc>
        <w:tc>
          <w:tcPr>
            <w:tcW w:w="960" w:type="dxa"/>
            <w:noWrap/>
            <w:hideMark/>
          </w:tcPr>
          <w:p w14:paraId="65F7885C"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160</w:t>
            </w:r>
          </w:p>
        </w:tc>
        <w:tc>
          <w:tcPr>
            <w:tcW w:w="960" w:type="dxa"/>
            <w:noWrap/>
            <w:hideMark/>
          </w:tcPr>
          <w:p w14:paraId="6437135A"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800</w:t>
            </w:r>
          </w:p>
        </w:tc>
      </w:tr>
      <w:tr w:rsidR="00AD2F03" w:rsidRPr="003E6E12" w14:paraId="160ABA9A" w14:textId="77777777" w:rsidTr="00E65C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47" w:type="dxa"/>
            <w:noWrap/>
            <w:vAlign w:val="bottom"/>
            <w:hideMark/>
          </w:tcPr>
          <w:p w14:paraId="640E87AB" w14:textId="77777777" w:rsidR="00AD2F03" w:rsidRPr="003E6E12" w:rsidRDefault="00AD2F03" w:rsidP="00E65C03">
            <w:pPr>
              <w:spacing w:line="240" w:lineRule="auto"/>
              <w:rPr>
                <w:rFonts w:ascii="Calibri" w:eastAsia="Times New Roman" w:hAnsi="Calibri" w:cs="Calibri"/>
                <w:color w:val="000000"/>
              </w:rPr>
            </w:pPr>
            <w:r>
              <w:rPr>
                <w:rFonts w:ascii="Calibri" w:hAnsi="Calibri" w:cs="Calibri"/>
                <w:color w:val="000000"/>
                <w:sz w:val="22"/>
              </w:rPr>
              <w:t>Shipping yard</w:t>
            </w:r>
          </w:p>
        </w:tc>
        <w:tc>
          <w:tcPr>
            <w:tcW w:w="1086" w:type="dxa"/>
            <w:noWrap/>
            <w:hideMark/>
          </w:tcPr>
          <w:p w14:paraId="1C77A1CF"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560</w:t>
            </w:r>
          </w:p>
        </w:tc>
        <w:tc>
          <w:tcPr>
            <w:tcW w:w="1298" w:type="dxa"/>
            <w:noWrap/>
            <w:hideMark/>
          </w:tcPr>
          <w:p w14:paraId="34875140"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w:t>
            </w:r>
          </w:p>
        </w:tc>
        <w:tc>
          <w:tcPr>
            <w:tcW w:w="960" w:type="dxa"/>
            <w:noWrap/>
            <w:hideMark/>
          </w:tcPr>
          <w:p w14:paraId="4644CFED"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160</w:t>
            </w:r>
          </w:p>
        </w:tc>
        <w:tc>
          <w:tcPr>
            <w:tcW w:w="960" w:type="dxa"/>
            <w:noWrap/>
            <w:hideMark/>
          </w:tcPr>
          <w:p w14:paraId="58E9A278"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800</w:t>
            </w:r>
          </w:p>
        </w:tc>
      </w:tr>
      <w:tr w:rsidR="00AD2F03" w:rsidRPr="003E6E12" w14:paraId="3D27311A" w14:textId="77777777" w:rsidTr="00E65C03">
        <w:trPr>
          <w:trHeight w:val="288"/>
        </w:trPr>
        <w:tc>
          <w:tcPr>
            <w:cnfStyle w:val="001000000000" w:firstRow="0" w:lastRow="0" w:firstColumn="1" w:lastColumn="0" w:oddVBand="0" w:evenVBand="0" w:oddHBand="0" w:evenHBand="0" w:firstRowFirstColumn="0" w:firstRowLastColumn="0" w:lastRowFirstColumn="0" w:lastRowLastColumn="0"/>
            <w:tcW w:w="3347" w:type="dxa"/>
            <w:noWrap/>
            <w:vAlign w:val="bottom"/>
            <w:hideMark/>
          </w:tcPr>
          <w:p w14:paraId="34A553BA" w14:textId="77777777" w:rsidR="00AD2F03" w:rsidRPr="003E6E12" w:rsidRDefault="00AD2F03" w:rsidP="00E65C03">
            <w:pPr>
              <w:spacing w:line="240" w:lineRule="auto"/>
              <w:rPr>
                <w:rFonts w:ascii="Calibri" w:eastAsia="Times New Roman" w:hAnsi="Calibri" w:cs="Calibri"/>
                <w:color w:val="000000"/>
              </w:rPr>
            </w:pPr>
            <w:r>
              <w:rPr>
                <w:rFonts w:ascii="Calibri" w:hAnsi="Calibri" w:cs="Calibri"/>
                <w:color w:val="000000"/>
                <w:sz w:val="22"/>
              </w:rPr>
              <w:t>Solar panel</w:t>
            </w:r>
          </w:p>
        </w:tc>
        <w:tc>
          <w:tcPr>
            <w:tcW w:w="1086" w:type="dxa"/>
            <w:noWrap/>
            <w:hideMark/>
          </w:tcPr>
          <w:p w14:paraId="4589DFBC"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560</w:t>
            </w:r>
          </w:p>
        </w:tc>
        <w:tc>
          <w:tcPr>
            <w:tcW w:w="1298" w:type="dxa"/>
            <w:noWrap/>
            <w:hideMark/>
          </w:tcPr>
          <w:p w14:paraId="55590EFB"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w:t>
            </w:r>
          </w:p>
        </w:tc>
        <w:tc>
          <w:tcPr>
            <w:tcW w:w="960" w:type="dxa"/>
            <w:noWrap/>
            <w:hideMark/>
          </w:tcPr>
          <w:p w14:paraId="54A08B4C"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160</w:t>
            </w:r>
          </w:p>
        </w:tc>
        <w:tc>
          <w:tcPr>
            <w:tcW w:w="960" w:type="dxa"/>
            <w:noWrap/>
            <w:hideMark/>
          </w:tcPr>
          <w:p w14:paraId="2E0CD3D4"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800</w:t>
            </w:r>
          </w:p>
        </w:tc>
      </w:tr>
      <w:tr w:rsidR="00AD2F03" w:rsidRPr="003E6E12" w14:paraId="1D07299D" w14:textId="77777777" w:rsidTr="00E65C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47" w:type="dxa"/>
            <w:noWrap/>
            <w:vAlign w:val="bottom"/>
            <w:hideMark/>
          </w:tcPr>
          <w:p w14:paraId="2393780E" w14:textId="77777777" w:rsidR="00AD2F03" w:rsidRPr="003E6E12" w:rsidRDefault="00AD2F03" w:rsidP="00E65C03">
            <w:pPr>
              <w:spacing w:line="240" w:lineRule="auto"/>
              <w:rPr>
                <w:rFonts w:ascii="Calibri" w:eastAsia="Times New Roman" w:hAnsi="Calibri" w:cs="Calibri"/>
                <w:color w:val="000000"/>
              </w:rPr>
            </w:pPr>
            <w:r>
              <w:rPr>
                <w:rFonts w:ascii="Calibri" w:hAnsi="Calibri" w:cs="Calibri"/>
                <w:color w:val="000000"/>
                <w:sz w:val="22"/>
              </w:rPr>
              <w:t>Sparse residential</w:t>
            </w:r>
          </w:p>
        </w:tc>
        <w:tc>
          <w:tcPr>
            <w:tcW w:w="1086" w:type="dxa"/>
            <w:noWrap/>
            <w:hideMark/>
          </w:tcPr>
          <w:p w14:paraId="6B71811B"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560</w:t>
            </w:r>
          </w:p>
        </w:tc>
        <w:tc>
          <w:tcPr>
            <w:tcW w:w="1298" w:type="dxa"/>
            <w:noWrap/>
            <w:hideMark/>
          </w:tcPr>
          <w:p w14:paraId="7C72E8B5"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w:t>
            </w:r>
          </w:p>
        </w:tc>
        <w:tc>
          <w:tcPr>
            <w:tcW w:w="960" w:type="dxa"/>
            <w:noWrap/>
            <w:hideMark/>
          </w:tcPr>
          <w:p w14:paraId="5F566A5A"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160</w:t>
            </w:r>
          </w:p>
        </w:tc>
        <w:tc>
          <w:tcPr>
            <w:tcW w:w="960" w:type="dxa"/>
            <w:noWrap/>
            <w:hideMark/>
          </w:tcPr>
          <w:p w14:paraId="113AEF9E"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800</w:t>
            </w:r>
          </w:p>
        </w:tc>
      </w:tr>
      <w:tr w:rsidR="00AD2F03" w:rsidRPr="003E6E12" w14:paraId="74646048" w14:textId="77777777" w:rsidTr="00E65C03">
        <w:trPr>
          <w:trHeight w:val="288"/>
        </w:trPr>
        <w:tc>
          <w:tcPr>
            <w:cnfStyle w:val="001000000000" w:firstRow="0" w:lastRow="0" w:firstColumn="1" w:lastColumn="0" w:oddVBand="0" w:evenVBand="0" w:oddHBand="0" w:evenHBand="0" w:firstRowFirstColumn="0" w:firstRowLastColumn="0" w:lastRowFirstColumn="0" w:lastRowLastColumn="0"/>
            <w:tcW w:w="3347" w:type="dxa"/>
            <w:noWrap/>
            <w:vAlign w:val="bottom"/>
            <w:hideMark/>
          </w:tcPr>
          <w:p w14:paraId="36D41BC4" w14:textId="77777777" w:rsidR="00AD2F03" w:rsidRPr="003E6E12" w:rsidRDefault="00AD2F03" w:rsidP="00E65C03">
            <w:pPr>
              <w:spacing w:line="240" w:lineRule="auto"/>
              <w:rPr>
                <w:rFonts w:ascii="Calibri" w:eastAsia="Times New Roman" w:hAnsi="Calibri" w:cs="Calibri"/>
                <w:color w:val="000000"/>
              </w:rPr>
            </w:pPr>
            <w:r>
              <w:rPr>
                <w:rFonts w:ascii="Calibri" w:hAnsi="Calibri" w:cs="Calibri"/>
                <w:color w:val="000000"/>
                <w:sz w:val="22"/>
              </w:rPr>
              <w:t>Storage tank</w:t>
            </w:r>
          </w:p>
        </w:tc>
        <w:tc>
          <w:tcPr>
            <w:tcW w:w="1086" w:type="dxa"/>
            <w:noWrap/>
            <w:hideMark/>
          </w:tcPr>
          <w:p w14:paraId="0239FCBB"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560</w:t>
            </w:r>
          </w:p>
        </w:tc>
        <w:tc>
          <w:tcPr>
            <w:tcW w:w="1298" w:type="dxa"/>
            <w:noWrap/>
            <w:hideMark/>
          </w:tcPr>
          <w:p w14:paraId="05A15333"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w:t>
            </w:r>
          </w:p>
        </w:tc>
        <w:tc>
          <w:tcPr>
            <w:tcW w:w="960" w:type="dxa"/>
            <w:noWrap/>
            <w:hideMark/>
          </w:tcPr>
          <w:p w14:paraId="19018707"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160</w:t>
            </w:r>
          </w:p>
        </w:tc>
        <w:tc>
          <w:tcPr>
            <w:tcW w:w="960" w:type="dxa"/>
            <w:noWrap/>
            <w:hideMark/>
          </w:tcPr>
          <w:p w14:paraId="6AA5C430"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800</w:t>
            </w:r>
          </w:p>
        </w:tc>
      </w:tr>
      <w:tr w:rsidR="00AD2F03" w:rsidRPr="003E6E12" w14:paraId="15EB68C4" w14:textId="77777777" w:rsidTr="00E65C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47" w:type="dxa"/>
            <w:noWrap/>
            <w:vAlign w:val="bottom"/>
            <w:hideMark/>
          </w:tcPr>
          <w:p w14:paraId="49CE8F76" w14:textId="77777777" w:rsidR="00AD2F03" w:rsidRPr="003E6E12" w:rsidRDefault="00AD2F03" w:rsidP="00E65C03">
            <w:pPr>
              <w:spacing w:line="240" w:lineRule="auto"/>
              <w:rPr>
                <w:rFonts w:ascii="Calibri" w:eastAsia="Times New Roman" w:hAnsi="Calibri" w:cs="Calibri"/>
                <w:color w:val="000000"/>
              </w:rPr>
            </w:pPr>
            <w:r>
              <w:rPr>
                <w:rFonts w:ascii="Calibri" w:hAnsi="Calibri" w:cs="Calibri"/>
                <w:color w:val="000000"/>
                <w:sz w:val="22"/>
              </w:rPr>
              <w:t>Swimming pool</w:t>
            </w:r>
          </w:p>
        </w:tc>
        <w:tc>
          <w:tcPr>
            <w:tcW w:w="1086" w:type="dxa"/>
            <w:noWrap/>
            <w:hideMark/>
          </w:tcPr>
          <w:p w14:paraId="14626B86"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560</w:t>
            </w:r>
          </w:p>
        </w:tc>
        <w:tc>
          <w:tcPr>
            <w:tcW w:w="1298" w:type="dxa"/>
            <w:noWrap/>
            <w:hideMark/>
          </w:tcPr>
          <w:p w14:paraId="1EC3BC5D"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w:t>
            </w:r>
          </w:p>
        </w:tc>
        <w:tc>
          <w:tcPr>
            <w:tcW w:w="960" w:type="dxa"/>
            <w:noWrap/>
            <w:hideMark/>
          </w:tcPr>
          <w:p w14:paraId="561DF69A"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160</w:t>
            </w:r>
          </w:p>
        </w:tc>
        <w:tc>
          <w:tcPr>
            <w:tcW w:w="960" w:type="dxa"/>
            <w:noWrap/>
            <w:hideMark/>
          </w:tcPr>
          <w:p w14:paraId="568A6256"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800</w:t>
            </w:r>
          </w:p>
        </w:tc>
      </w:tr>
      <w:tr w:rsidR="00AD2F03" w:rsidRPr="003E6E12" w14:paraId="361079ED" w14:textId="77777777" w:rsidTr="00E65C03">
        <w:trPr>
          <w:trHeight w:val="288"/>
        </w:trPr>
        <w:tc>
          <w:tcPr>
            <w:cnfStyle w:val="001000000000" w:firstRow="0" w:lastRow="0" w:firstColumn="1" w:lastColumn="0" w:oddVBand="0" w:evenVBand="0" w:oddHBand="0" w:evenHBand="0" w:firstRowFirstColumn="0" w:firstRowLastColumn="0" w:lastRowFirstColumn="0" w:lastRowLastColumn="0"/>
            <w:tcW w:w="3347" w:type="dxa"/>
            <w:noWrap/>
            <w:vAlign w:val="bottom"/>
            <w:hideMark/>
          </w:tcPr>
          <w:p w14:paraId="031EF3C9" w14:textId="77777777" w:rsidR="00AD2F03" w:rsidRPr="003E6E12" w:rsidRDefault="00AD2F03" w:rsidP="00E65C03">
            <w:pPr>
              <w:spacing w:line="240" w:lineRule="auto"/>
              <w:rPr>
                <w:rFonts w:ascii="Calibri" w:eastAsia="Times New Roman" w:hAnsi="Calibri" w:cs="Calibri"/>
                <w:color w:val="000000"/>
              </w:rPr>
            </w:pPr>
            <w:r>
              <w:rPr>
                <w:rFonts w:ascii="Calibri" w:hAnsi="Calibri" w:cs="Calibri"/>
                <w:color w:val="000000"/>
                <w:sz w:val="22"/>
              </w:rPr>
              <w:t>Tennis court</w:t>
            </w:r>
          </w:p>
        </w:tc>
        <w:tc>
          <w:tcPr>
            <w:tcW w:w="1086" w:type="dxa"/>
            <w:noWrap/>
            <w:hideMark/>
          </w:tcPr>
          <w:p w14:paraId="557B0B8F"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560</w:t>
            </w:r>
          </w:p>
        </w:tc>
        <w:tc>
          <w:tcPr>
            <w:tcW w:w="1298" w:type="dxa"/>
            <w:noWrap/>
            <w:hideMark/>
          </w:tcPr>
          <w:p w14:paraId="6C7746DD"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w:t>
            </w:r>
          </w:p>
        </w:tc>
        <w:tc>
          <w:tcPr>
            <w:tcW w:w="960" w:type="dxa"/>
            <w:noWrap/>
            <w:hideMark/>
          </w:tcPr>
          <w:p w14:paraId="36E67BEE"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160</w:t>
            </w:r>
          </w:p>
        </w:tc>
        <w:tc>
          <w:tcPr>
            <w:tcW w:w="960" w:type="dxa"/>
            <w:noWrap/>
            <w:hideMark/>
          </w:tcPr>
          <w:p w14:paraId="432D25D0"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800</w:t>
            </w:r>
          </w:p>
        </w:tc>
      </w:tr>
      <w:tr w:rsidR="00AD2F03" w:rsidRPr="003E6E12" w14:paraId="03F48F91" w14:textId="77777777" w:rsidTr="00E65C0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47" w:type="dxa"/>
            <w:noWrap/>
            <w:vAlign w:val="bottom"/>
            <w:hideMark/>
          </w:tcPr>
          <w:p w14:paraId="31223903" w14:textId="77777777" w:rsidR="00AD2F03" w:rsidRPr="003E6E12" w:rsidRDefault="00AD2F03" w:rsidP="00E65C03">
            <w:pPr>
              <w:spacing w:line="240" w:lineRule="auto"/>
              <w:rPr>
                <w:rFonts w:ascii="Calibri" w:eastAsia="Times New Roman" w:hAnsi="Calibri" w:cs="Calibri"/>
                <w:color w:val="000000"/>
              </w:rPr>
            </w:pPr>
            <w:r>
              <w:rPr>
                <w:rFonts w:ascii="Calibri" w:hAnsi="Calibri" w:cs="Calibri"/>
                <w:color w:val="000000"/>
                <w:sz w:val="22"/>
              </w:rPr>
              <w:t>Transformer station</w:t>
            </w:r>
          </w:p>
        </w:tc>
        <w:tc>
          <w:tcPr>
            <w:tcW w:w="1086" w:type="dxa"/>
            <w:noWrap/>
            <w:hideMark/>
          </w:tcPr>
          <w:p w14:paraId="08F1FF9C"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560</w:t>
            </w:r>
          </w:p>
        </w:tc>
        <w:tc>
          <w:tcPr>
            <w:tcW w:w="1298" w:type="dxa"/>
            <w:noWrap/>
            <w:hideMark/>
          </w:tcPr>
          <w:p w14:paraId="46E7BD24"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w:t>
            </w:r>
          </w:p>
        </w:tc>
        <w:tc>
          <w:tcPr>
            <w:tcW w:w="960" w:type="dxa"/>
            <w:noWrap/>
            <w:hideMark/>
          </w:tcPr>
          <w:p w14:paraId="434FF421"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160</w:t>
            </w:r>
          </w:p>
        </w:tc>
        <w:tc>
          <w:tcPr>
            <w:tcW w:w="960" w:type="dxa"/>
            <w:noWrap/>
            <w:hideMark/>
          </w:tcPr>
          <w:p w14:paraId="6D557EF6" w14:textId="77777777" w:rsidR="00AD2F03" w:rsidRPr="003E6E1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800</w:t>
            </w:r>
          </w:p>
        </w:tc>
      </w:tr>
      <w:tr w:rsidR="00AD2F03" w:rsidRPr="003E6E12" w14:paraId="3619A228" w14:textId="77777777" w:rsidTr="00E65C03">
        <w:trPr>
          <w:trHeight w:val="288"/>
        </w:trPr>
        <w:tc>
          <w:tcPr>
            <w:cnfStyle w:val="001000000000" w:firstRow="0" w:lastRow="0" w:firstColumn="1" w:lastColumn="0" w:oddVBand="0" w:evenVBand="0" w:oddHBand="0" w:evenHBand="0" w:firstRowFirstColumn="0" w:firstRowLastColumn="0" w:lastRowFirstColumn="0" w:lastRowLastColumn="0"/>
            <w:tcW w:w="3347" w:type="dxa"/>
            <w:noWrap/>
            <w:vAlign w:val="bottom"/>
            <w:hideMark/>
          </w:tcPr>
          <w:p w14:paraId="58346C3D" w14:textId="77777777" w:rsidR="00AD2F03" w:rsidRPr="003E6E12" w:rsidRDefault="00AD2F03" w:rsidP="00E65C03">
            <w:pPr>
              <w:spacing w:line="240" w:lineRule="auto"/>
              <w:rPr>
                <w:rFonts w:ascii="Calibri" w:eastAsia="Times New Roman" w:hAnsi="Calibri" w:cs="Calibri"/>
                <w:color w:val="000000"/>
              </w:rPr>
            </w:pPr>
            <w:r>
              <w:rPr>
                <w:rFonts w:ascii="Calibri" w:hAnsi="Calibri" w:cs="Calibri"/>
                <w:color w:val="000000"/>
                <w:sz w:val="22"/>
              </w:rPr>
              <w:t>Wastewater treatment plant</w:t>
            </w:r>
          </w:p>
        </w:tc>
        <w:tc>
          <w:tcPr>
            <w:tcW w:w="1086" w:type="dxa"/>
            <w:noWrap/>
            <w:hideMark/>
          </w:tcPr>
          <w:p w14:paraId="6E2953B2"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560</w:t>
            </w:r>
          </w:p>
        </w:tc>
        <w:tc>
          <w:tcPr>
            <w:tcW w:w="1298" w:type="dxa"/>
            <w:noWrap/>
            <w:hideMark/>
          </w:tcPr>
          <w:p w14:paraId="427CD750"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w:t>
            </w:r>
          </w:p>
        </w:tc>
        <w:tc>
          <w:tcPr>
            <w:tcW w:w="960" w:type="dxa"/>
            <w:noWrap/>
            <w:hideMark/>
          </w:tcPr>
          <w:p w14:paraId="4A5CF772"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160</w:t>
            </w:r>
          </w:p>
        </w:tc>
        <w:tc>
          <w:tcPr>
            <w:tcW w:w="960" w:type="dxa"/>
            <w:noWrap/>
            <w:hideMark/>
          </w:tcPr>
          <w:p w14:paraId="6B8DB304" w14:textId="77777777" w:rsidR="00AD2F03" w:rsidRPr="003E6E1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E6E12">
              <w:rPr>
                <w:rFonts w:ascii="Calibri" w:eastAsia="Times New Roman" w:hAnsi="Calibri" w:cs="Calibri"/>
                <w:color w:val="000000"/>
              </w:rPr>
              <w:t>800</w:t>
            </w:r>
          </w:p>
        </w:tc>
      </w:tr>
    </w:tbl>
    <w:p w14:paraId="106E9C32" w14:textId="77777777" w:rsidR="00AD2F03" w:rsidRPr="00C4293A" w:rsidRDefault="00AD2F03" w:rsidP="00AD2F03">
      <w:pPr>
        <w:ind w:firstLine="720"/>
      </w:pPr>
    </w:p>
    <w:p w14:paraId="7E6ADE76" w14:textId="77777777" w:rsidR="00AD2F03" w:rsidRPr="00751EDD" w:rsidRDefault="00AD2F03" w:rsidP="00AD2F03"/>
    <w:p w14:paraId="64E54CD3" w14:textId="77777777" w:rsidR="00AD2F03" w:rsidRPr="00751EDD" w:rsidRDefault="0011424B" w:rsidP="0011424B">
      <w:pPr>
        <w:pStyle w:val="Heading2"/>
      </w:pPr>
      <w:bookmarkStart w:id="238" w:name="_Ref20648996"/>
      <w:bookmarkStart w:id="239" w:name="_Toc26534634"/>
      <w:r>
        <w:t>3</w:t>
      </w:r>
      <w:r w:rsidR="00FE43A9">
        <w:t>.</w:t>
      </w:r>
      <w:r>
        <w:t xml:space="preserve"> </w:t>
      </w:r>
      <w:r w:rsidR="00AD2F03">
        <w:t>Methods</w:t>
      </w:r>
      <w:bookmarkEnd w:id="238"/>
      <w:bookmarkEnd w:id="239"/>
    </w:p>
    <w:p w14:paraId="4BC13383" w14:textId="77777777" w:rsidR="00AD2F03" w:rsidRDefault="00AD2F03" w:rsidP="00AD2F03">
      <w:pPr>
        <w:ind w:firstLine="720"/>
      </w:pPr>
      <w:r>
        <w:t xml:space="preserve">To </w:t>
      </w:r>
      <w:r w:rsidR="00D065D4" w:rsidRPr="00852292">
        <w:rPr>
          <w:rFonts w:ascii="Times New Roman" w:hAnsi="Times New Roman"/>
        </w:rPr>
        <w:t>better understand the effects of different approaches and techniques used for transfer learning with remote sensing datasets, we perform two major experiments using the models presented in section</w:t>
      </w:r>
      <w:r w:rsidR="00FE43A9">
        <w:rPr>
          <w:rFonts w:ascii="Times New Roman" w:hAnsi="Times New Roman"/>
        </w:rPr>
        <w:t xml:space="preserve"> 3.1</w:t>
      </w:r>
      <w:r w:rsidR="00D065D4" w:rsidRPr="00852292">
        <w:rPr>
          <w:rFonts w:ascii="Times New Roman" w:hAnsi="Times New Roman"/>
        </w:rPr>
        <w:t xml:space="preserve">. The first experiment in section </w:t>
      </w:r>
      <w:r w:rsidR="00FE43A9">
        <w:rPr>
          <w:rFonts w:ascii="Times New Roman" w:hAnsi="Times New Roman"/>
        </w:rPr>
        <w:t>3.2</w:t>
      </w:r>
      <w:r w:rsidR="00D065D4" w:rsidRPr="00852292">
        <w:rPr>
          <w:rFonts w:ascii="Times New Roman" w:hAnsi="Times New Roman"/>
        </w:rPr>
        <w:t xml:space="preserve"> compares different optimization methods. The second experiment in section </w:t>
      </w:r>
      <w:r w:rsidR="00FE43A9">
        <w:rPr>
          <w:rFonts w:ascii="Times New Roman" w:hAnsi="Times New Roman"/>
        </w:rPr>
        <w:t>3.3</w:t>
      </w:r>
      <w:r w:rsidR="00D065D4" w:rsidRPr="00852292">
        <w:rPr>
          <w:rFonts w:ascii="Times New Roman" w:hAnsi="Times New Roman"/>
        </w:rPr>
        <w:t xml:space="preserve"> aims to investigate the sensitivity of transfer learning to the level of specialization of the original trained CNN model. The experiment in section </w:t>
      </w:r>
      <w:r w:rsidR="00FE43A9">
        <w:rPr>
          <w:rFonts w:ascii="Times New Roman" w:hAnsi="Times New Roman"/>
        </w:rPr>
        <w:t>3.2</w:t>
      </w:r>
      <w:r w:rsidR="00D065D4" w:rsidRPr="00852292">
        <w:rPr>
          <w:rFonts w:ascii="Times New Roman" w:hAnsi="Times New Roman"/>
        </w:rPr>
        <w:t xml:space="preserve"> also compares the results of transfer learning and training a model with randomly initialized weights. </w:t>
      </w:r>
      <w:r>
        <w:t xml:space="preserve"> </w:t>
      </w:r>
    </w:p>
    <w:p w14:paraId="4DE201E7" w14:textId="77777777" w:rsidR="00A6200D" w:rsidRPr="00852292" w:rsidRDefault="00A6200D" w:rsidP="00A6200D">
      <w:pPr>
        <w:ind w:firstLine="720"/>
        <w:rPr>
          <w:rFonts w:ascii="Times New Roman" w:hAnsi="Times New Roman"/>
        </w:rPr>
      </w:pPr>
      <w:r w:rsidRPr="00852292">
        <w:rPr>
          <w:rFonts w:ascii="Times New Roman" w:hAnsi="Times New Roman"/>
        </w:rPr>
        <w:t xml:space="preserve">The choice of hyperparameters can have a strong influence in CNN performance. Nonetheless, our main objective here is to investigate transfer learning results rather than maximize performance. Therefore, unless otherwise noted, we maintain the same hyperparameters specified in </w:t>
      </w:r>
      <w:r>
        <w:rPr>
          <w:rFonts w:ascii="Times New Roman" w:hAnsi="Times New Roman"/>
        </w:rPr>
        <w:fldChar w:fldCharType="begin"/>
      </w:r>
      <w:r>
        <w:rPr>
          <w:rFonts w:ascii="Times New Roman" w:hAnsi="Times New Roman"/>
        </w:rPr>
        <w:instrText xml:space="preserve"> REF _Ref23447354 \h </w:instrText>
      </w:r>
      <w:r>
        <w:rPr>
          <w:rFonts w:ascii="Times New Roman" w:hAnsi="Times New Roman"/>
        </w:rPr>
      </w:r>
      <w:r>
        <w:rPr>
          <w:rFonts w:ascii="Times New Roman" w:hAnsi="Times New Roman"/>
        </w:rPr>
        <w:fldChar w:fldCharType="separate"/>
      </w:r>
      <w:r>
        <w:t xml:space="preserve">Table </w:t>
      </w:r>
      <w:r>
        <w:rPr>
          <w:noProof/>
        </w:rPr>
        <w:t>11</w:t>
      </w:r>
      <w:r>
        <w:rPr>
          <w:rFonts w:ascii="Times New Roman" w:hAnsi="Times New Roman"/>
        </w:rPr>
        <w:fldChar w:fldCharType="end"/>
      </w:r>
      <w:r w:rsidRPr="00852292">
        <w:rPr>
          <w:rFonts w:ascii="Times New Roman" w:hAnsi="Times New Roman"/>
        </w:rPr>
        <w:t xml:space="preserve"> for all training in all experiments. The models are trained using Keras </w:t>
      </w:r>
      <w:r w:rsidRPr="00852292">
        <w:rPr>
          <w:rFonts w:ascii="Times New Roman" w:hAnsi="Times New Roman"/>
        </w:rPr>
        <w:fldChar w:fldCharType="begin" w:fldLock="1"/>
      </w:r>
      <w:r w:rsidRPr="00852292">
        <w:rPr>
          <w:rFonts w:ascii="Times New Roman" w:hAnsi="Times New Roman"/>
        </w:rPr>
        <w:instrText>ADDIN CSL_CITATION {"citationItems":[{"id":"ITEM-1","itemData":{"author":[{"dropping-particle":"","family":"Chollet","given":"François","non-dropping-particle":"","parse-names":false,"suffix":""},{"dropping-particle":"","family":"others","given":"","non-dropping-particle":"","parse-names":false,"suffix":""}],"id":"ITEM-1","issued":{"date-parts":[["2015"]]},"title":"Keras","type":"article"},"uris":["http://www.mendeley.com/documents/?uuid=5b7f7240-f28b-4f23-bbd4-36a135e7e898"]}],"mendeley":{"formattedCitation":"(Chollet and others, 2015)","plainTextFormattedCitation":"(Chollet and others, 2015)","previouslyFormattedCitation":"(Chollet and others, 2015)"},"properties":{"noteIndex":0},"schema":"https://github.com/citation-style-language/schema/raw/master/csl-citation.json"}</w:instrText>
      </w:r>
      <w:r w:rsidRPr="00852292">
        <w:rPr>
          <w:rFonts w:ascii="Times New Roman" w:hAnsi="Times New Roman"/>
        </w:rPr>
        <w:fldChar w:fldCharType="separate"/>
      </w:r>
      <w:r w:rsidRPr="00852292">
        <w:rPr>
          <w:rFonts w:ascii="Times New Roman" w:hAnsi="Times New Roman"/>
          <w:noProof/>
        </w:rPr>
        <w:t>(Chollet and others, 2015)</w:t>
      </w:r>
      <w:r w:rsidRPr="00852292">
        <w:rPr>
          <w:rFonts w:ascii="Times New Roman" w:hAnsi="Times New Roman"/>
        </w:rPr>
        <w:fldChar w:fldCharType="end"/>
      </w:r>
      <w:r w:rsidRPr="00852292">
        <w:rPr>
          <w:rFonts w:ascii="Times New Roman" w:hAnsi="Times New Roman"/>
        </w:rPr>
        <w:t xml:space="preserve">, with TensorFlow as its backend </w:t>
      </w:r>
      <w:r w:rsidRPr="00852292">
        <w:rPr>
          <w:rFonts w:ascii="Times New Roman" w:hAnsi="Times New Roman"/>
        </w:rPr>
        <w:fldChar w:fldCharType="begin" w:fldLock="1"/>
      </w:r>
      <w:r w:rsidRPr="00852292">
        <w:rPr>
          <w:rFonts w:ascii="Times New Roman" w:hAnsi="Times New Roman"/>
        </w:rPr>
        <w:instrText>ADDIN CSL_CITATION {"citationItems":[{"id":"ITEM-1","itemData":{"author":[{"dropping-particle":"","family":"Abadi","given":"Martin","non-dropping-particle":"","parse-names":false,"suffix":""},{"dropping-particle":"","family":"Barham","given":"Paul","non-dropping-particle":"","parse-names":false,"suffix":""},{"dropping-particle":"","family":"Chen","given":"Jianmin","non-dropping-particle":"","parse-names":false,"suffix":""},{"dropping-particle":"","family":"Chen","given":"Zhifeng","non-dropping-particle":"","parse-names":false,"suffix":""},{"dropping-particle":"","family":"Davis","given":"Andy","non-dropping-particle":"","parse-names":false,"suffix":""},{"dropping-particle":"","family":"Dean","given":"Jeffrey","non-dropping-particle":"","parse-names":false,"suffix":""},{"dropping-particle":"","family":"Devin","given":"Matthieu","non-dropping-particle":"","parse-names":false,"suffix":""},{"dropping-particle":"","family":"Ghemawat","given":"Sanjay","non-dropping-particle":"","parse-names":false,"suffix":""},{"dropping-particle":"","family":"Irving","given":"Geoffrey","non-dropping-particle":"","parse-names":false,"suffix":""},{"dropping-particle":"","family":"Isard","given":"Michael","non-dropping-particle":"","parse-names":false,"suffix":""},{"dropping-particle":"","family":"Kudlur","given":"Manjunath","non-dropping-particle":"","parse-names":false,"suffix":""},{"dropping-particle":"","family":"Levenberg","given":"Josh","non-dropping-particle":"","parse-names":false,"suffix":""},{"dropping-particle":"","family":"Monga","given":"Rajat","non-dropping-particle":"","parse-names":false,"suffix":""},{"dropping-particle":"","family":"Moore","given":"Sherry","non-dropping-particle":"","parse-names":false,"suffix":""},{"dropping-particle":"","family":"Murray","given":"Derek G","non-dropping-particle":"","parse-names":false,"suffix":""},{"dropping-particle":"","family":"Steiner","given":"Benoit","non-dropping-particle":"","parse-names":false,"suffix":""},{"dropping-particle":"","family":"Tucker","given":"Paul","non-dropping-particle":"","parse-names":false,"suffix":""},{"dropping-particle":"","family":"Vasudevan","given":"Vijay","non-dropping-particle":"","parse-names":false,"suffix":""},{"dropping-particle":"","family":"Warden","given":"Pete","non-dropping-particle":"","parse-names":false,"suffix":""},{"dropping-particle":"","family":"Wicke","given":"Martin","non-dropping-particle":"","parse-names":false,"suffix":""},{"dropping-particle":"","family":"Yu","given":"Yuan","non-dropping-particle":"","parse-names":false,"suffix":""},{"dropping-particle":"","family":"Zheng","given":"Xiaoqiang","non-dropping-particle":"","parse-names":false,"suffix":""}],"container-title":"12th USENIX Symposium on Operating Systems Design and Implementation (OSDI 16)","id":"ITEM-1","issued":{"date-parts":[["2016"]]},"page":"265-283","title":"TensorFlow: A system for large-scale machine learning","type":"paper-conference"},"uris":["http://www.mendeley.com/documents/?uuid=1209d133-c63c-45f5-b9a7-3e214a0558f1"]}],"mendeley":{"formattedCitation":"(Abadi et al., 2016)","plainTextFormattedCitation":"(Abadi et al., 2016)","previouslyFormattedCitation":"(Abadi et al., 2016)"},"properties":{"noteIndex":0},"schema":"https://github.com/citation-style-language/schema/raw/master/csl-citation.json"}</w:instrText>
      </w:r>
      <w:r w:rsidRPr="00852292">
        <w:rPr>
          <w:rFonts w:ascii="Times New Roman" w:hAnsi="Times New Roman"/>
        </w:rPr>
        <w:fldChar w:fldCharType="separate"/>
      </w:r>
      <w:r w:rsidRPr="00852292">
        <w:rPr>
          <w:rFonts w:ascii="Times New Roman" w:hAnsi="Times New Roman"/>
          <w:noProof/>
        </w:rPr>
        <w:t>(Abadi et al., 2016)</w:t>
      </w:r>
      <w:r w:rsidRPr="00852292">
        <w:rPr>
          <w:rFonts w:ascii="Times New Roman" w:hAnsi="Times New Roman"/>
        </w:rPr>
        <w:fldChar w:fldCharType="end"/>
      </w:r>
      <w:r w:rsidRPr="00852292">
        <w:rPr>
          <w:rFonts w:ascii="Times New Roman" w:hAnsi="Times New Roman"/>
        </w:rPr>
        <w:t xml:space="preserve">. When kernels are initialized, we use the Glorot uniform </w:t>
      </w:r>
      <w:r w:rsidRPr="00852292">
        <w:rPr>
          <w:rFonts w:ascii="Times New Roman" w:hAnsi="Times New Roman"/>
        </w:rPr>
        <w:fldChar w:fldCharType="begin" w:fldLock="1"/>
      </w:r>
      <w:r w:rsidRPr="00852292">
        <w:rPr>
          <w:rFonts w:ascii="Times New Roman" w:hAnsi="Times New Roman"/>
        </w:rPr>
        <w:instrText>ADDIN CSL_CITATION {"citationItems":[{"id":"ITEM-1","itemData":{"author":[{"dropping-particle":"","family":"Glorot","given":"Xavier","non-dropping-particle":"","parse-names":false,"suffix":""},{"dropping-particle":"","family":"Bengio","given":"Yoshua","non-dropping-particle":"","parse-names":false,"suffix":""}],"container-title":"In Proceedings of the International Conference on Artificial Intelligence and Statistics (AISTATS’10). Society for Artificial Intelligence and Statistics","id":"ITEM-1","issued":{"date-parts":[["2010"]]},"title":"Understanding the difficulty of training deep feedforward neural networks","type":"paper-conference"},"uris":["http://www.mendeley.com/documents/?uuid=346d1b95-d311-46a8-a4af-86b545ab12c0"]}],"mendeley":{"formattedCitation":"(Glorot and Bengio, 2010)","plainTextFormattedCitation":"(Glorot and Bengio, 2010)","previouslyFormattedCitation":"(Glorot and Bengio, 2010)"},"properties":{"noteIndex":0},"schema":"https://github.com/citation-style-language/schema/raw/master/csl-citation.json"}</w:instrText>
      </w:r>
      <w:r w:rsidRPr="00852292">
        <w:rPr>
          <w:rFonts w:ascii="Times New Roman" w:hAnsi="Times New Roman"/>
        </w:rPr>
        <w:fldChar w:fldCharType="separate"/>
      </w:r>
      <w:r w:rsidRPr="00852292">
        <w:rPr>
          <w:rFonts w:ascii="Times New Roman" w:hAnsi="Times New Roman"/>
          <w:noProof/>
        </w:rPr>
        <w:t>(Glorot and Bengio, 2010)</w:t>
      </w:r>
      <w:r w:rsidRPr="00852292">
        <w:rPr>
          <w:rFonts w:ascii="Times New Roman" w:hAnsi="Times New Roman"/>
        </w:rPr>
        <w:fldChar w:fldCharType="end"/>
      </w:r>
      <w:r w:rsidRPr="00852292">
        <w:rPr>
          <w:rFonts w:ascii="Times New Roman" w:hAnsi="Times New Roman"/>
        </w:rPr>
        <w:t xml:space="preserve"> distribution of weights. </w:t>
      </w:r>
    </w:p>
    <w:p w14:paraId="726FE889" w14:textId="77777777" w:rsidR="00AD2F03" w:rsidRDefault="00AD2F03" w:rsidP="00AD2F03">
      <w:pPr>
        <w:ind w:firstLine="720"/>
      </w:pPr>
      <w:r>
        <w:t xml:space="preserve"> </w:t>
      </w:r>
    </w:p>
    <w:p w14:paraId="36CDA88F" w14:textId="77777777" w:rsidR="002F1077" w:rsidRDefault="002F1077">
      <w:pPr>
        <w:spacing w:line="240" w:lineRule="auto"/>
        <w:rPr>
          <w:rFonts w:ascii="Times New Roman" w:hAnsi="Times New Roman"/>
          <w:bCs/>
          <w:iCs/>
        </w:rPr>
      </w:pPr>
      <w:bookmarkStart w:id="240" w:name="_Ref23447354"/>
      <w:r>
        <w:br w:type="page"/>
      </w:r>
    </w:p>
    <w:p w14:paraId="4A38C602" w14:textId="0C691816" w:rsidR="00AD2F03" w:rsidRDefault="00AD2F03" w:rsidP="00607DF1">
      <w:pPr>
        <w:pStyle w:val="Caption"/>
      </w:pPr>
      <w:bookmarkStart w:id="241" w:name="_Toc26534548"/>
      <w:r>
        <w:lastRenderedPageBreak/>
        <w:t xml:space="preserve">Table </w:t>
      </w:r>
      <w:r w:rsidR="00CE1F3C">
        <w:fldChar w:fldCharType="begin"/>
      </w:r>
      <w:r w:rsidR="00CE1F3C">
        <w:instrText xml:space="preserve"> SEQ Table \* ARABIC </w:instrText>
      </w:r>
      <w:r w:rsidR="00CE1F3C">
        <w:fldChar w:fldCharType="separate"/>
      </w:r>
      <w:r w:rsidR="001C535D">
        <w:rPr>
          <w:noProof/>
        </w:rPr>
        <w:t>11</w:t>
      </w:r>
      <w:r w:rsidR="00CE1F3C">
        <w:rPr>
          <w:noProof/>
        </w:rPr>
        <w:fldChar w:fldCharType="end"/>
      </w:r>
      <w:bookmarkEnd w:id="240"/>
      <w:r>
        <w:t>: Training hyperparameters</w:t>
      </w:r>
      <w:bookmarkEnd w:id="241"/>
    </w:p>
    <w:tbl>
      <w:tblPr>
        <w:tblStyle w:val="PlainTable1"/>
        <w:tblW w:w="0" w:type="auto"/>
        <w:tblLook w:val="04A0" w:firstRow="1" w:lastRow="0" w:firstColumn="1" w:lastColumn="0" w:noHBand="0" w:noVBand="1"/>
      </w:tblPr>
      <w:tblGrid>
        <w:gridCol w:w="4414"/>
        <w:gridCol w:w="4414"/>
      </w:tblGrid>
      <w:tr w:rsidR="00AD2F03" w14:paraId="67E5FC6D" w14:textId="77777777" w:rsidTr="00E65C03">
        <w:trPr>
          <w:cnfStyle w:val="100000000000" w:firstRow="1" w:lastRow="0" w:firstColumn="0" w:lastColumn="0" w:oddVBand="0" w:evenVBand="0" w:oddHBand="0"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4414" w:type="dxa"/>
            <w:vAlign w:val="bottom"/>
          </w:tcPr>
          <w:p w14:paraId="7F11067A" w14:textId="77777777" w:rsidR="00AD2F03" w:rsidRDefault="00AD2F03" w:rsidP="00E65C03">
            <w:r>
              <w:t>Optimizer</w:t>
            </w:r>
          </w:p>
        </w:tc>
        <w:tc>
          <w:tcPr>
            <w:tcW w:w="4414" w:type="dxa"/>
            <w:vAlign w:val="bottom"/>
          </w:tcPr>
          <w:p w14:paraId="4B3268A9" w14:textId="77777777" w:rsidR="00AD2F03" w:rsidRDefault="00AD2F03" w:rsidP="00E65C03">
            <w:pPr>
              <w:cnfStyle w:val="100000000000" w:firstRow="1" w:lastRow="0" w:firstColumn="0" w:lastColumn="0" w:oddVBand="0" w:evenVBand="0" w:oddHBand="0" w:evenHBand="0" w:firstRowFirstColumn="0" w:firstRowLastColumn="0" w:lastRowFirstColumn="0" w:lastRowLastColumn="0"/>
            </w:pPr>
            <w:r>
              <w:t>Stochastic gradient descent</w:t>
            </w:r>
          </w:p>
        </w:tc>
      </w:tr>
      <w:tr w:rsidR="00AD2F03" w14:paraId="3253F950" w14:textId="77777777" w:rsidTr="00E65C03">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4414" w:type="dxa"/>
            <w:vAlign w:val="bottom"/>
          </w:tcPr>
          <w:p w14:paraId="7D11C40D" w14:textId="77777777" w:rsidR="00AD2F03" w:rsidRDefault="00AD2F03" w:rsidP="00E65C03">
            <w:r>
              <w:t>Kernel initializer</w:t>
            </w:r>
          </w:p>
        </w:tc>
        <w:tc>
          <w:tcPr>
            <w:tcW w:w="4414" w:type="dxa"/>
            <w:vAlign w:val="bottom"/>
          </w:tcPr>
          <w:p w14:paraId="2D9B1A7D" w14:textId="77777777" w:rsidR="00AD2F03" w:rsidRDefault="00AD2F03" w:rsidP="00E65C03">
            <w:pPr>
              <w:cnfStyle w:val="000000100000" w:firstRow="0" w:lastRow="0" w:firstColumn="0" w:lastColumn="0" w:oddVBand="0" w:evenVBand="0" w:oddHBand="1" w:evenHBand="0" w:firstRowFirstColumn="0" w:firstRowLastColumn="0" w:lastRowFirstColumn="0" w:lastRowLastColumn="0"/>
            </w:pPr>
            <w:r>
              <w:t>Glorot uniform</w:t>
            </w:r>
          </w:p>
        </w:tc>
      </w:tr>
      <w:tr w:rsidR="00AD2F03" w14:paraId="0BC91A24" w14:textId="77777777" w:rsidTr="00E65C03">
        <w:trPr>
          <w:trHeight w:val="144"/>
        </w:trPr>
        <w:tc>
          <w:tcPr>
            <w:cnfStyle w:val="001000000000" w:firstRow="0" w:lastRow="0" w:firstColumn="1" w:lastColumn="0" w:oddVBand="0" w:evenVBand="0" w:oddHBand="0" w:evenHBand="0" w:firstRowFirstColumn="0" w:firstRowLastColumn="0" w:lastRowFirstColumn="0" w:lastRowLastColumn="0"/>
            <w:tcW w:w="4414" w:type="dxa"/>
            <w:vAlign w:val="bottom"/>
          </w:tcPr>
          <w:p w14:paraId="5A904BFA" w14:textId="77777777" w:rsidR="00AD2F03" w:rsidRDefault="00AD2F03" w:rsidP="00E65C03">
            <w:r>
              <w:t>Batch size</w:t>
            </w:r>
          </w:p>
        </w:tc>
        <w:tc>
          <w:tcPr>
            <w:tcW w:w="4414" w:type="dxa"/>
            <w:vAlign w:val="bottom"/>
          </w:tcPr>
          <w:p w14:paraId="6CBF8E75" w14:textId="77777777" w:rsidR="00AD2F03" w:rsidRDefault="00AD2F03" w:rsidP="00E65C03">
            <w:pPr>
              <w:cnfStyle w:val="000000000000" w:firstRow="0" w:lastRow="0" w:firstColumn="0" w:lastColumn="0" w:oddVBand="0" w:evenVBand="0" w:oddHBand="0" w:evenHBand="0" w:firstRowFirstColumn="0" w:firstRowLastColumn="0" w:lastRowFirstColumn="0" w:lastRowLastColumn="0"/>
            </w:pPr>
            <w:r>
              <w:t>32</w:t>
            </w:r>
          </w:p>
        </w:tc>
      </w:tr>
      <w:tr w:rsidR="00AD2F03" w14:paraId="0FA4F48D" w14:textId="77777777" w:rsidTr="00E65C03">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14" w:type="dxa"/>
            <w:vAlign w:val="bottom"/>
          </w:tcPr>
          <w:p w14:paraId="3CFC7F77" w14:textId="77777777" w:rsidR="00AD2F03" w:rsidRDefault="00AD2F03" w:rsidP="00E65C03">
            <w:r>
              <w:t>Epochs</w:t>
            </w:r>
          </w:p>
        </w:tc>
        <w:tc>
          <w:tcPr>
            <w:tcW w:w="4414" w:type="dxa"/>
            <w:vAlign w:val="bottom"/>
          </w:tcPr>
          <w:p w14:paraId="3DB2CE66" w14:textId="77777777" w:rsidR="00AD2F03" w:rsidRDefault="00AD2F03" w:rsidP="00E65C03">
            <w:pPr>
              <w:cnfStyle w:val="000000100000" w:firstRow="0" w:lastRow="0" w:firstColumn="0" w:lastColumn="0" w:oddVBand="0" w:evenVBand="0" w:oddHBand="1" w:evenHBand="0" w:firstRowFirstColumn="0" w:firstRowLastColumn="0" w:lastRowFirstColumn="0" w:lastRowLastColumn="0"/>
            </w:pPr>
            <w:r>
              <w:t>100</w:t>
            </w:r>
          </w:p>
        </w:tc>
      </w:tr>
      <w:tr w:rsidR="00AD2F03" w14:paraId="284DD450" w14:textId="77777777" w:rsidTr="00E65C03">
        <w:trPr>
          <w:trHeight w:val="144"/>
        </w:trPr>
        <w:tc>
          <w:tcPr>
            <w:cnfStyle w:val="001000000000" w:firstRow="0" w:lastRow="0" w:firstColumn="1" w:lastColumn="0" w:oddVBand="0" w:evenVBand="0" w:oddHBand="0" w:evenHBand="0" w:firstRowFirstColumn="0" w:firstRowLastColumn="0" w:lastRowFirstColumn="0" w:lastRowLastColumn="0"/>
            <w:tcW w:w="4414" w:type="dxa"/>
            <w:vAlign w:val="bottom"/>
          </w:tcPr>
          <w:p w14:paraId="4646825D" w14:textId="77777777" w:rsidR="00AD2F03" w:rsidRDefault="00AD2F03" w:rsidP="00E65C03">
            <w:r>
              <w:t>Loss function</w:t>
            </w:r>
          </w:p>
        </w:tc>
        <w:tc>
          <w:tcPr>
            <w:tcW w:w="4414" w:type="dxa"/>
            <w:vAlign w:val="bottom"/>
          </w:tcPr>
          <w:p w14:paraId="1A040C05" w14:textId="77777777" w:rsidR="00AD2F03" w:rsidRDefault="00AD2F03" w:rsidP="00E65C03">
            <w:pPr>
              <w:cnfStyle w:val="000000000000" w:firstRow="0" w:lastRow="0" w:firstColumn="0" w:lastColumn="0" w:oddVBand="0" w:evenVBand="0" w:oddHBand="0" w:evenHBand="0" w:firstRowFirstColumn="0" w:firstRowLastColumn="0" w:lastRowFirstColumn="0" w:lastRowLastColumn="0"/>
            </w:pPr>
            <w:r>
              <w:t>Cross entropy</w:t>
            </w:r>
          </w:p>
        </w:tc>
      </w:tr>
    </w:tbl>
    <w:p w14:paraId="4CD6D941" w14:textId="77777777" w:rsidR="00AD2F03" w:rsidRDefault="00AD2F03" w:rsidP="00AD2F03"/>
    <w:p w14:paraId="6959646F" w14:textId="77777777" w:rsidR="00AD2F03" w:rsidRDefault="0011424B" w:rsidP="0011424B">
      <w:pPr>
        <w:pStyle w:val="Heading3"/>
      </w:pPr>
      <w:bookmarkStart w:id="242" w:name="_Ref20559401"/>
      <w:bookmarkStart w:id="243" w:name="_Toc26534635"/>
      <w:r>
        <w:t xml:space="preserve">3.1 </w:t>
      </w:r>
      <w:r w:rsidR="00AD2F03">
        <w:t>Model split</w:t>
      </w:r>
      <w:bookmarkEnd w:id="242"/>
      <w:bookmarkEnd w:id="243"/>
    </w:p>
    <w:p w14:paraId="256EDDA7" w14:textId="77777777" w:rsidR="00AD2F03" w:rsidRDefault="00AD2F03" w:rsidP="00AD2F03">
      <w:pPr>
        <w:ind w:firstLine="720"/>
      </w:pPr>
      <w:r>
        <w:t xml:space="preserve">To </w:t>
      </w:r>
      <w:r w:rsidR="00C653C3" w:rsidRPr="00852292">
        <w:rPr>
          <w:rFonts w:ascii="Times New Roman" w:hAnsi="Times New Roman"/>
        </w:rPr>
        <w:t>evaluate the transfer learning process from natural images to remote sensing datasets, we use VGG19 and Inception V3 models and train a small classification network on top of such models. We refer to the original CNN model structure, part of VGG19 or part of Inception V3, as the “base model”, and the small classification network as the “top model” (</w:t>
      </w:r>
      <w:r w:rsidR="00C653C3" w:rsidRPr="00852292">
        <w:rPr>
          <w:rFonts w:ascii="Times New Roman" w:hAnsi="Times New Roman"/>
        </w:rPr>
        <w:fldChar w:fldCharType="begin"/>
      </w:r>
      <w:r w:rsidR="00C653C3" w:rsidRPr="00852292">
        <w:rPr>
          <w:rFonts w:ascii="Times New Roman" w:hAnsi="Times New Roman"/>
        </w:rPr>
        <w:instrText xml:space="preserve"> REF _Ref20563015 \h  \* MERGEFORMAT </w:instrText>
      </w:r>
      <w:r w:rsidR="00C653C3" w:rsidRPr="00852292">
        <w:rPr>
          <w:rFonts w:ascii="Times New Roman" w:hAnsi="Times New Roman"/>
        </w:rPr>
      </w:r>
      <w:r w:rsidR="00C653C3" w:rsidRPr="00852292">
        <w:rPr>
          <w:rFonts w:ascii="Times New Roman" w:hAnsi="Times New Roman"/>
        </w:rPr>
        <w:fldChar w:fldCharType="separate"/>
      </w:r>
      <w:r w:rsidR="00C653C3" w:rsidRPr="00852292">
        <w:rPr>
          <w:rFonts w:ascii="Times New Roman" w:hAnsi="Times New Roman"/>
        </w:rPr>
        <w:t xml:space="preserve">Figure </w:t>
      </w:r>
      <w:r w:rsidR="00C653C3" w:rsidRPr="00852292">
        <w:rPr>
          <w:rFonts w:ascii="Times New Roman" w:hAnsi="Times New Roman"/>
          <w:noProof/>
        </w:rPr>
        <w:t>1</w:t>
      </w:r>
      <w:r w:rsidR="00C653C3" w:rsidRPr="00852292">
        <w:rPr>
          <w:rFonts w:ascii="Times New Roman" w:hAnsi="Times New Roman"/>
        </w:rPr>
        <w:fldChar w:fldCharType="end"/>
      </w:r>
      <w:r w:rsidR="00C653C3" w:rsidRPr="00852292">
        <w:rPr>
          <w:rFonts w:ascii="Times New Roman" w:hAnsi="Times New Roman"/>
        </w:rPr>
        <w:t xml:space="preserve">). The top model is composed of an average pooling, followed by one fully connected layer with 512 neurons, a dropout layer </w:t>
      </w:r>
      <w:r w:rsidR="00C653C3" w:rsidRPr="00852292">
        <w:rPr>
          <w:rFonts w:ascii="Times New Roman" w:hAnsi="Times New Roman"/>
        </w:rPr>
        <w:fldChar w:fldCharType="begin" w:fldLock="1"/>
      </w:r>
      <w:r w:rsidR="00C653C3" w:rsidRPr="00852292">
        <w:rPr>
          <w:rFonts w:ascii="Times New Roman" w:hAnsi="Times New Roman"/>
        </w:rPr>
        <w:instrText>ADDIN CSL_CITATION {"citationItems":[{"id":"ITEM-1","itemData":{"ISSN":"1532-4435","author":[{"dropping-particle":"","family":"Srivastava","given":"Nitish","non-dropping-particle":"","parse-names":false,"suffix":""},{"dropping-particle":"","family":"Hinton","given":"Geoffrey","non-dropping-particle":"","parse-names":false,"suffix":""},{"dropping-particle":"","family":"Krizhevsky","given":"Alex","non-dropping-particle":"","parse-names":false,"suffix":""},{"dropping-particle":"","family":"Sutskever","given":"Ilya","non-dropping-particle":"","parse-names":false,"suffix":""},{"dropping-particle":"","family":"Salakhutdinov","given":"Ruslan","non-dropping-particle":"","parse-names":false,"suffix":""}],"container-title":"Journal of Machine Learning Research","id":"ITEM-1","issue":"1","issued":{"date-parts":[["2014","1"]]},"page":"1929-1958","publisher":"JMLR.org","title":"Dropout: A Simple Way to Prevent Neural Networks from Overfitting","type":"article-journal","volume":"15"},"uris":["http://www.mendeley.com/documents/?uuid=5785141d-a731-4264-9845-5dcc01fe3e59"]}],"mendeley":{"formattedCitation":"(Srivastava et al., 2014)","plainTextFormattedCitation":"(Srivastava et al., 2014)","previouslyFormattedCitation":"(Srivastava et al., 2014)"},"properties":{"noteIndex":0},"schema":"https://github.com/citation-style-language/schema/raw/master/csl-citation.json"}</w:instrText>
      </w:r>
      <w:r w:rsidR="00C653C3" w:rsidRPr="00852292">
        <w:rPr>
          <w:rFonts w:ascii="Times New Roman" w:hAnsi="Times New Roman"/>
        </w:rPr>
        <w:fldChar w:fldCharType="separate"/>
      </w:r>
      <w:r w:rsidR="00C653C3" w:rsidRPr="00852292">
        <w:rPr>
          <w:rFonts w:ascii="Times New Roman" w:hAnsi="Times New Roman"/>
          <w:noProof/>
        </w:rPr>
        <w:t>(Srivastava et al., 2014)</w:t>
      </w:r>
      <w:r w:rsidR="00C653C3" w:rsidRPr="00852292">
        <w:rPr>
          <w:rFonts w:ascii="Times New Roman" w:hAnsi="Times New Roman"/>
        </w:rPr>
        <w:fldChar w:fldCharType="end"/>
      </w:r>
      <w:r w:rsidR="00C653C3" w:rsidRPr="00852292">
        <w:rPr>
          <w:rFonts w:ascii="Times New Roman" w:hAnsi="Times New Roman"/>
        </w:rPr>
        <w:t xml:space="preserve"> used during training, and a final fully connected layer with a softmax output where the number of neurons is dependent on the number of classes for the task (i.e., 21 for UCMerced, 30 for AID, 38 for PatternNet). The dropout is a simple technique useful to avoid overfitting in which random connections are disabled during training. Note the top model will be specific to the secondary task and for each one of the datasets, whereas the base model, when containing the weights learned during training for the primary task, will have its layers presenting the transition from general to specific features. The models we used were primarily trained on the ImageNet dataset and are available online (e.g. through Keras or TensorFlow websites). We evaluate how dependent the transfer learning process is on the transition from general to specific features by extracting features in three different positions for each one of the retrained models and we denominate them “shallow”, “intermediate”, and </w:t>
      </w:r>
      <w:r w:rsidR="00C653C3" w:rsidRPr="00852292">
        <w:rPr>
          <w:rFonts w:ascii="Times New Roman" w:hAnsi="Times New Roman"/>
        </w:rPr>
        <w:lastRenderedPageBreak/>
        <w:t>“deep” (</w:t>
      </w:r>
      <w:r w:rsidR="00C653C3" w:rsidRPr="00852292">
        <w:rPr>
          <w:rFonts w:ascii="Times New Roman" w:hAnsi="Times New Roman"/>
        </w:rPr>
        <w:fldChar w:fldCharType="begin"/>
      </w:r>
      <w:r w:rsidR="00C653C3" w:rsidRPr="00852292">
        <w:rPr>
          <w:rFonts w:ascii="Times New Roman" w:hAnsi="Times New Roman"/>
        </w:rPr>
        <w:instrText xml:space="preserve"> REF _Ref20563533 \h  \* MERGEFORMAT </w:instrText>
      </w:r>
      <w:r w:rsidR="00C653C3" w:rsidRPr="00852292">
        <w:rPr>
          <w:rFonts w:ascii="Times New Roman" w:hAnsi="Times New Roman"/>
        </w:rPr>
      </w:r>
      <w:r w:rsidR="00C653C3" w:rsidRPr="00852292">
        <w:rPr>
          <w:rFonts w:ascii="Times New Roman" w:hAnsi="Times New Roman"/>
        </w:rPr>
        <w:fldChar w:fldCharType="separate"/>
      </w:r>
      <w:r w:rsidR="00C653C3" w:rsidRPr="00852292">
        <w:rPr>
          <w:rFonts w:ascii="Times New Roman" w:hAnsi="Times New Roman"/>
        </w:rPr>
        <w:t xml:space="preserve">Figure </w:t>
      </w:r>
      <w:r w:rsidR="00C653C3" w:rsidRPr="00852292">
        <w:rPr>
          <w:rFonts w:ascii="Times New Roman" w:hAnsi="Times New Roman"/>
          <w:noProof/>
        </w:rPr>
        <w:t>2</w:t>
      </w:r>
      <w:r w:rsidR="00C653C3" w:rsidRPr="00852292">
        <w:rPr>
          <w:rFonts w:ascii="Times New Roman" w:hAnsi="Times New Roman"/>
        </w:rPr>
        <w:fldChar w:fldCharType="end"/>
      </w:r>
      <w:r w:rsidR="00C653C3" w:rsidRPr="00852292">
        <w:rPr>
          <w:rFonts w:ascii="Times New Roman" w:hAnsi="Times New Roman"/>
        </w:rPr>
        <w:t>). The shallow experiment uses the initial blocks of the base models to extract features and adds the top model. The intermediate experiment extracts the block somewhere in the middle of the base model. Finally, the deep experiment uses all the blocks of the original base model, except the original final classification layers.</w:t>
      </w:r>
      <w:r>
        <w:t xml:space="preserve"> </w:t>
      </w:r>
    </w:p>
    <w:p w14:paraId="293A15A7" w14:textId="05D60F7F" w:rsidR="00AD2F03" w:rsidRDefault="00AD2F03" w:rsidP="002F1077">
      <w:pPr>
        <w:keepNext/>
        <w:jc w:val="center"/>
      </w:pPr>
      <w:r>
        <w:rPr>
          <w:noProof/>
          <w:lang w:bidi="ar-SA"/>
        </w:rPr>
        <w:drawing>
          <wp:inline distT="0" distB="0" distL="0" distR="0" wp14:anchorId="467F8073" wp14:editId="246F9804">
            <wp:extent cx="5611979" cy="4468633"/>
            <wp:effectExtent l="0" t="0" r="825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t="8359" b="12014"/>
                    <a:stretch/>
                  </pic:blipFill>
                  <pic:spPr bwMode="auto">
                    <a:xfrm>
                      <a:off x="0" y="0"/>
                      <a:ext cx="5612130" cy="4468753"/>
                    </a:xfrm>
                    <a:prstGeom prst="rect">
                      <a:avLst/>
                    </a:prstGeom>
                    <a:noFill/>
                    <a:ln>
                      <a:noFill/>
                    </a:ln>
                    <a:extLst>
                      <a:ext uri="{53640926-AAD7-44D8-BBD7-CCE9431645EC}">
                        <a14:shadowObscured xmlns:a14="http://schemas.microsoft.com/office/drawing/2010/main"/>
                      </a:ext>
                    </a:extLst>
                  </pic:spPr>
                </pic:pic>
              </a:graphicData>
            </a:graphic>
          </wp:inline>
        </w:drawing>
      </w:r>
    </w:p>
    <w:p w14:paraId="345D742C" w14:textId="77777777" w:rsidR="00AD2F03" w:rsidRDefault="00AD2F03" w:rsidP="00607DF1">
      <w:pPr>
        <w:pStyle w:val="Caption"/>
        <w:rPr>
          <w:i/>
        </w:rPr>
      </w:pPr>
      <w:bookmarkStart w:id="244" w:name="_Ref20563015"/>
      <w:bookmarkStart w:id="245" w:name="_Toc26534515"/>
      <w:r w:rsidRPr="00466D62">
        <w:t xml:space="preserve">Figure </w:t>
      </w:r>
      <w:r w:rsidR="00CE1F3C">
        <w:fldChar w:fldCharType="begin"/>
      </w:r>
      <w:r w:rsidR="00CE1F3C">
        <w:instrText xml:space="preserve"> SEQ Figure \* ARABIC </w:instrText>
      </w:r>
      <w:r w:rsidR="00CE1F3C">
        <w:fldChar w:fldCharType="separate"/>
      </w:r>
      <w:r w:rsidR="00A82C54">
        <w:rPr>
          <w:noProof/>
        </w:rPr>
        <w:t>15</w:t>
      </w:r>
      <w:r w:rsidR="00CE1F3C">
        <w:rPr>
          <w:noProof/>
        </w:rPr>
        <w:fldChar w:fldCharType="end"/>
      </w:r>
      <w:bookmarkEnd w:id="244"/>
      <w:r>
        <w:t xml:space="preserve">: Visualization of the models used. (a) shows a sample image from UCMerced, the base model, and the top model. (b) provides more details for the top model. The base model is dependent on the CNN architecture used for transfer learning and it is detailed in </w:t>
      </w:r>
      <w:r w:rsidRPr="00466D62">
        <w:rPr>
          <w:i/>
        </w:rPr>
        <w:fldChar w:fldCharType="begin"/>
      </w:r>
      <w:r w:rsidRPr="00466D62">
        <w:instrText xml:space="preserve"> REF _Ref20563533 \h  \* MERGEFORMAT </w:instrText>
      </w:r>
      <w:r w:rsidRPr="00466D62">
        <w:rPr>
          <w:i/>
        </w:rPr>
      </w:r>
      <w:r w:rsidRPr="00466D62">
        <w:rPr>
          <w:i/>
        </w:rPr>
        <w:fldChar w:fldCharType="separate"/>
      </w:r>
      <w:r w:rsidR="001C535D" w:rsidRPr="004B6271">
        <w:t xml:space="preserve">Figure </w:t>
      </w:r>
      <w:r w:rsidR="001C535D">
        <w:rPr>
          <w:noProof/>
        </w:rPr>
        <w:t>10</w:t>
      </w:r>
      <w:r w:rsidRPr="00466D62">
        <w:rPr>
          <w:i/>
        </w:rPr>
        <w:fldChar w:fldCharType="end"/>
      </w:r>
      <w:r>
        <w:t xml:space="preserve">. Top model is the same for all experiments. </w:t>
      </w:r>
      <w:r w:rsidR="00C653C3" w:rsidRPr="00C653C3">
        <w:t>Note the pound sign “#” represents the number of classes, which depends on the dataset used</w:t>
      </w:r>
      <w:r>
        <w:t>.</w:t>
      </w:r>
      <w:bookmarkEnd w:id="245"/>
      <w:r>
        <w:t xml:space="preserve"> </w:t>
      </w:r>
    </w:p>
    <w:p w14:paraId="003E80EC" w14:textId="77777777" w:rsidR="00AD2F03" w:rsidRDefault="00AD2F03" w:rsidP="00AD2F03">
      <w:pPr>
        <w:ind w:firstLine="720"/>
      </w:pPr>
    </w:p>
    <w:p w14:paraId="78E49567" w14:textId="6E7837EA" w:rsidR="00AD2F03" w:rsidRDefault="00AD2F03" w:rsidP="002F1077">
      <w:pPr>
        <w:keepNext/>
        <w:jc w:val="center"/>
      </w:pPr>
      <w:r>
        <w:rPr>
          <w:noProof/>
          <w:lang w:bidi="ar-SA"/>
        </w:rPr>
        <w:lastRenderedPageBreak/>
        <w:drawing>
          <wp:inline distT="0" distB="0" distL="0" distR="0" wp14:anchorId="68279BEE" wp14:editId="5295E86E">
            <wp:extent cx="5194686" cy="3463124"/>
            <wp:effectExtent l="0" t="0" r="635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209029" cy="3472686"/>
                    </a:xfrm>
                    <a:prstGeom prst="rect">
                      <a:avLst/>
                    </a:prstGeom>
                    <a:noFill/>
                    <a:ln>
                      <a:noFill/>
                    </a:ln>
                  </pic:spPr>
                </pic:pic>
              </a:graphicData>
            </a:graphic>
          </wp:inline>
        </w:drawing>
      </w:r>
    </w:p>
    <w:p w14:paraId="74448F0C" w14:textId="77777777" w:rsidR="00AD2F03" w:rsidRPr="004B6271" w:rsidRDefault="00AD2F03" w:rsidP="00607DF1">
      <w:pPr>
        <w:pStyle w:val="Caption"/>
        <w:rPr>
          <w:i/>
        </w:rPr>
      </w:pPr>
      <w:bookmarkStart w:id="246" w:name="_Ref20563533"/>
      <w:bookmarkStart w:id="247" w:name="_Toc26534516"/>
      <w:r w:rsidRPr="004B6271">
        <w:t xml:space="preserve">Figure </w:t>
      </w:r>
      <w:r w:rsidR="00CE1F3C">
        <w:fldChar w:fldCharType="begin"/>
      </w:r>
      <w:r w:rsidR="00CE1F3C">
        <w:instrText xml:space="preserve"> SEQ Figure \* ARABIC </w:instrText>
      </w:r>
      <w:r w:rsidR="00CE1F3C">
        <w:fldChar w:fldCharType="separate"/>
      </w:r>
      <w:r w:rsidR="00A82C54">
        <w:rPr>
          <w:noProof/>
        </w:rPr>
        <w:t>16</w:t>
      </w:r>
      <w:r w:rsidR="00CE1F3C">
        <w:rPr>
          <w:noProof/>
        </w:rPr>
        <w:fldChar w:fldCharType="end"/>
      </w:r>
      <w:bookmarkEnd w:id="246"/>
      <w:r w:rsidRPr="004B6271">
        <w:t xml:space="preserve">: </w:t>
      </w:r>
      <w:r w:rsidR="00C653C3" w:rsidRPr="00C653C3">
        <w:t>Visual representation of the models used. In both panels, data flows from left to right. Both panes use the same color code for layer representation. (a) shows the VGG19 shallow, intermediate, and deep models – based on the naming convention we are using. (b) shows the Inception V3 shallow, intermediate, and deep models. For easier reference, we wrote the layer names (as implemented in Keras) for each one of the layers we used to split the original CNN models. Note for each one of the depth levels (shallow, intermediate, deep), we simple use the model up to the detour and connect it with our top model (e.g., when training VGG19 shallow, the data goes through two convolutional layers, one max pooling layers, and exits into our top model). Please refer to Simonyan and Zisserman (2014) and Szegedy et al. (2015) for details on VGG19 and Inception V3 respectively</w:t>
      </w:r>
      <w:r w:rsidRPr="004B6271">
        <w:t>.</w:t>
      </w:r>
      <w:bookmarkEnd w:id="247"/>
      <w:r w:rsidRPr="004B6271">
        <w:t xml:space="preserve"> </w:t>
      </w:r>
    </w:p>
    <w:p w14:paraId="0530A68A" w14:textId="77777777" w:rsidR="00AD2F03" w:rsidRDefault="00AD2F03" w:rsidP="00AD2F03"/>
    <w:p w14:paraId="3671B441" w14:textId="77777777" w:rsidR="00AD2F03" w:rsidRDefault="0011424B" w:rsidP="0011424B">
      <w:pPr>
        <w:pStyle w:val="Heading3"/>
      </w:pPr>
      <w:bookmarkStart w:id="248" w:name="_Ref20559273"/>
      <w:bookmarkStart w:id="249" w:name="_Toc26534636"/>
      <w:r>
        <w:t xml:space="preserve">3.2 </w:t>
      </w:r>
      <w:r w:rsidR="00AD2F03">
        <w:t>Stochastic gradient descent vs adaptive optimization methods</w:t>
      </w:r>
      <w:bookmarkEnd w:id="248"/>
      <w:bookmarkEnd w:id="249"/>
      <w:r w:rsidR="00AD2F03">
        <w:t xml:space="preserve"> </w:t>
      </w:r>
    </w:p>
    <w:p w14:paraId="431CFD53" w14:textId="77777777" w:rsidR="00C653C3" w:rsidRPr="00852292" w:rsidRDefault="00AD2F03" w:rsidP="00C653C3">
      <w:pPr>
        <w:ind w:firstLine="576"/>
        <w:rPr>
          <w:rFonts w:ascii="Times New Roman" w:hAnsi="Times New Roman"/>
        </w:rPr>
      </w:pPr>
      <w:r>
        <w:t xml:space="preserve">In </w:t>
      </w:r>
      <w:r w:rsidR="00C653C3" w:rsidRPr="00852292">
        <w:rPr>
          <w:rFonts w:ascii="Times New Roman" w:hAnsi="Times New Roman"/>
        </w:rPr>
        <w:t xml:space="preserve">the search for the global minima, optimization algorithms frequently use the gradient descent strategy. To compute the gradient of the loss function, we sum the error of each sample. Using our PatternNet data split as example, we first loop through all training set containing 21,280 samples before updating the gradient. Therefore, to move a single step towards the minima, we compute the error 21,280 times. A common approach to avoid computing the error for all training samples before moving a step is to use stochastic gradient descent (SGD). </w:t>
      </w:r>
    </w:p>
    <w:p w14:paraId="4A2F3F94" w14:textId="77777777" w:rsidR="00C653C3" w:rsidRPr="00852292" w:rsidRDefault="00C653C3" w:rsidP="00C653C3">
      <w:pPr>
        <w:ind w:firstLine="576"/>
        <w:rPr>
          <w:rFonts w:ascii="Times New Roman" w:hAnsi="Times New Roman"/>
        </w:rPr>
      </w:pPr>
      <w:r w:rsidRPr="00852292">
        <w:rPr>
          <w:rFonts w:ascii="Times New Roman" w:hAnsi="Times New Roman"/>
        </w:rPr>
        <w:lastRenderedPageBreak/>
        <w:t xml:space="preserve">The SGD uses a straightforward approach; instead of using the sum of all training errors (the loss), SGD uses the error gradient of a single sample at each iteration.  </w:t>
      </w:r>
      <w:r w:rsidRPr="00852292">
        <w:rPr>
          <w:rFonts w:ascii="Times New Roman" w:hAnsi="Times New Roman"/>
        </w:rPr>
        <w:fldChar w:fldCharType="begin" w:fldLock="1"/>
      </w:r>
      <w:r w:rsidRPr="00852292">
        <w:rPr>
          <w:rFonts w:ascii="Times New Roman" w:hAnsi="Times New Roman"/>
        </w:rPr>
        <w:instrText>ADDIN CSL_CITATION {"citationItems":[{"id":"ITEM-1","itemData":{"DOI":"doi.org/10.1007/978-3-7908-2604-3_16","ISBN":"978-3-7908-2604-3","abstract":"During the last decade, the data sizes have grown faster than the speed of processors. In this context, the capabilities of statistical machine learning methods is limited by the computing time rather than the sample size. A more precise analysis uncovers qualitatively different tradeoffs for the case of small-scale and large-scale learning problems. The large-scale case involves the computational complexity of the underlying optimization algorithm in non-trivial ways. Unlikely optimization algorithms such as stochastic gradient descent show amazing performance for large-scale problems. In particular, second order stochastic gradient and averaged stochastic gradient are asymptotically efficient after a single pass on the training set.","author":[{"dropping-particle":"","family":"Bottou","given":"Léon","non-dropping-particle":"","parse-names":false,"suffix":""}],"container-title":"Proceedings of COMPSTAT'2010","editor":[{"dropping-particle":"","family":"Lechevallier","given":"Yves","non-dropping-particle":"","parse-names":false,"suffix":""},{"dropping-particle":"","family":"Saporta","given":"Gilbert","non-dropping-particle":"","parse-names":false,"suffix":""}],"id":"ITEM-1","issued":{"date-parts":[["2010"]]},"page":"177-186","publisher":"Physica-Verlag HD","publisher-place":"Heidelberg","title":"Large-Scale Machine Learning with Stochastic Gradient Descent","type":"paper-conference"},"uris":["http://www.mendeley.com/documents/?uuid=9ba383e4-320a-4e72-9eae-0e0d0bcf9faa"]}],"mendeley":{"formattedCitation":"(Bottou, 2010)","manualFormatting":"Bottou (2010)","plainTextFormattedCitation":"(Bottou, 2010)","previouslyFormattedCitation":"(Bottou, 2010)"},"properties":{"noteIndex":0},"schema":"https://github.com/citation-style-language/schema/raw/master/csl-citation.json"}</w:instrText>
      </w:r>
      <w:r w:rsidRPr="00852292">
        <w:rPr>
          <w:rFonts w:ascii="Times New Roman" w:hAnsi="Times New Roman"/>
        </w:rPr>
        <w:fldChar w:fldCharType="separate"/>
      </w:r>
      <w:r w:rsidRPr="00852292">
        <w:rPr>
          <w:rFonts w:ascii="Times New Roman" w:hAnsi="Times New Roman"/>
          <w:noProof/>
        </w:rPr>
        <w:t>Bottou (2010)</w:t>
      </w:r>
      <w:r w:rsidRPr="00852292">
        <w:rPr>
          <w:rFonts w:ascii="Times New Roman" w:hAnsi="Times New Roman"/>
        </w:rPr>
        <w:fldChar w:fldCharType="end"/>
      </w:r>
      <w:r w:rsidRPr="00852292">
        <w:rPr>
          <w:rFonts w:ascii="Times New Roman" w:hAnsi="Times New Roman"/>
        </w:rPr>
        <w:t xml:space="preserve"> observes that SGD show good performance for large-scale problems. SGD is the building block used by many optimization algorithms that apply some variation to achieve better convergence rates (e.g. </w:t>
      </w:r>
      <w:r w:rsidRPr="00852292">
        <w:rPr>
          <w:rFonts w:ascii="Times New Roman" w:hAnsi="Times New Roman"/>
        </w:rPr>
        <w:fldChar w:fldCharType="begin" w:fldLock="1"/>
      </w:r>
      <w:r w:rsidRPr="00852292">
        <w:rPr>
          <w:rFonts w:ascii="Times New Roman" w:hAnsi="Times New Roman"/>
        </w:rPr>
        <w:instrText>ADDIN CSL_CITATION {"citationItems":[{"id":"ITEM-1","itemData":{"ISSN":"1532-4435","author":[{"dropping-particle":"","family":"Duchi","given":"John","non-dropping-particle":"","parse-names":false,"suffix":""},{"dropping-particle":"","family":"Hazan","given":"Elad","non-dropping-particle":"","parse-names":false,"suffix":""},{"dropping-particle":"","family":"Singer","given":"Yoram","non-dropping-particle":"","parse-names":false,"suffix":""}],"container-title":"Journal of Machine Learning Research","id":"ITEM-1","issued":{"date-parts":[["2011","7"]]},"page":"2121-2159","publisher":"JMLR.org","title":"Adaptive Subgradient Methods for Online Learning and Stochastic Optimization","type":"article-journal","volume":"12"},"uris":["http://www.mendeley.com/documents/?uuid=ceeeae80-2973-4d57-9e9f-5a1d2e027bb0"]},{"id":"ITEM-2","itemData":{"author":[{"dropping-particle":"","family":"Tieleman","given":"T","non-dropping-particle":"","parse-names":false,"suffix":""},{"dropping-particle":"","family":"Hinton","given":"G","non-dropping-particle":"","parse-names":false,"suffix":""}],"id":"ITEM-2","issued":{"date-parts":[["2012"]]},"title":"Lecture 6.5---RmsProp: Divide the gradient by a running average of its recent magnitude","type":"article"},"uris":["http://www.mendeley.com/documents/?uuid=aa28ea58-98ba-4160-8311-a476b6f65a04"]}],"mendeley":{"formattedCitation":"(Duchi et al., 2011; Tieleman and Hinton, 2012)","manualFormatting":"Duchi et al., 2011; Tieleman and Hinton, 2012)","plainTextFormattedCitation":"(Duchi et al., 2011; Tieleman and Hinton, 2012)","previouslyFormattedCitation":"(Duchi et al., 2011; Tieleman and Hinton, 2012)"},"properties":{"noteIndex":0},"schema":"https://github.com/citation-style-language/schema/raw/master/csl-citation.json"}</w:instrText>
      </w:r>
      <w:r w:rsidRPr="00852292">
        <w:rPr>
          <w:rFonts w:ascii="Times New Roman" w:hAnsi="Times New Roman"/>
        </w:rPr>
        <w:fldChar w:fldCharType="separate"/>
      </w:r>
      <w:r w:rsidRPr="00852292">
        <w:rPr>
          <w:rFonts w:ascii="Times New Roman" w:hAnsi="Times New Roman"/>
          <w:noProof/>
        </w:rPr>
        <w:t>Duchi et al., 2011; Tieleman and Hinton, 2012)</w:t>
      </w:r>
      <w:r w:rsidRPr="00852292">
        <w:rPr>
          <w:rFonts w:ascii="Times New Roman" w:hAnsi="Times New Roman"/>
        </w:rPr>
        <w:fldChar w:fldCharType="end"/>
      </w:r>
      <w:r w:rsidRPr="00852292">
        <w:rPr>
          <w:rFonts w:ascii="Times New Roman" w:hAnsi="Times New Roman"/>
        </w:rPr>
        <w:t xml:space="preserve">. </w:t>
      </w:r>
      <w:r w:rsidRPr="00852292">
        <w:rPr>
          <w:rFonts w:ascii="Times New Roman" w:hAnsi="Times New Roman"/>
        </w:rPr>
        <w:fldChar w:fldCharType="begin" w:fldLock="1"/>
      </w:r>
      <w:r w:rsidRPr="00852292">
        <w:rPr>
          <w:rFonts w:ascii="Times New Roman" w:hAnsi="Times New Roman"/>
        </w:rPr>
        <w:instrText>ADDIN CSL_CITATION {"citationItems":[{"id":"ITEM-1","itemData":{"author":[{"dropping-particle":"","family":"Kingma","given":"Diederik P","non-dropping-particle":"","parse-names":false,"suffix":""},{"dropping-particle":"","family":"Ba","given":"Jimmy","non-dropping-particle":"","parse-names":false,"suffix":""}],"container-title":"arXiv e-prints","id":"ITEM-1","issued":{"date-parts":[["2014","12"]]},"page":"arXiv:1412.6980","title":"Adam: A Method for Stochastic Optimization","type":"article-journal"},"uris":["http://www.mendeley.com/documents/?uuid=70d60d13-d257-4c9f-b1be-124d23f0b39e"]}],"mendeley":{"formattedCitation":"(Kingma and Ba, 2014)","manualFormatting":"Kingma and Ba (2014)","plainTextFormattedCitation":"(Kingma and Ba, 2014)","previouslyFormattedCitation":"(Kingma and Ba, 2014)"},"properties":{"noteIndex":0},"schema":"https://github.com/citation-style-language/schema/raw/master/csl-citation.json"}</w:instrText>
      </w:r>
      <w:r w:rsidRPr="00852292">
        <w:rPr>
          <w:rFonts w:ascii="Times New Roman" w:hAnsi="Times New Roman"/>
        </w:rPr>
        <w:fldChar w:fldCharType="separate"/>
      </w:r>
      <w:r w:rsidRPr="00852292">
        <w:rPr>
          <w:rFonts w:ascii="Times New Roman" w:hAnsi="Times New Roman"/>
          <w:noProof/>
        </w:rPr>
        <w:t>Kingma and Ba (2014)</w:t>
      </w:r>
      <w:r w:rsidRPr="00852292">
        <w:rPr>
          <w:rFonts w:ascii="Times New Roman" w:hAnsi="Times New Roman"/>
        </w:rPr>
        <w:fldChar w:fldCharType="end"/>
      </w:r>
      <w:r w:rsidRPr="00852292">
        <w:rPr>
          <w:rFonts w:ascii="Times New Roman" w:hAnsi="Times New Roman"/>
        </w:rPr>
        <w:t xml:space="preserve"> note that SGD has a great practical importance in many fields of science and engineering and propose Adam, a method for efficient stochastic optimization. </w:t>
      </w:r>
      <w:r w:rsidRPr="00852292">
        <w:rPr>
          <w:rFonts w:ascii="Times New Roman" w:hAnsi="Times New Roman"/>
        </w:rPr>
        <w:fldChar w:fldCharType="begin" w:fldLock="1"/>
      </w:r>
      <w:r w:rsidRPr="00852292">
        <w:rPr>
          <w:rFonts w:ascii="Times New Roman" w:hAnsi="Times New Roman"/>
        </w:rPr>
        <w:instrText>ADDIN CSL_CITATION {"citationItems":[{"id":"ITEM-1","itemData":{"author":[{"dropping-particle":"","family":"Ruder","given":"Sebastian","non-dropping-particle":"","parse-names":false,"suffix":""}],"container-title":"CoRR","id":"ITEM-1","issued":{"date-parts":[["2016"]]},"title":"An overview of gradient descent optimization algorithms","type":"article-journal","volume":"abs/1609.0"},"uris":["http://www.mendeley.com/documents/?uuid=41cc973b-f2d1-4411-bfe8-a3f8b0ee6e88"]}],"mendeley":{"formattedCitation":"(Ruder, 2016)","manualFormatting":"Ruder (2016)","plainTextFormattedCitation":"(Ruder, 2016)","previouslyFormattedCitation":"(Ruder, 2016)"},"properties":{"noteIndex":0},"schema":"https://github.com/citation-style-language/schema/raw/master/csl-citation.json"}</w:instrText>
      </w:r>
      <w:r w:rsidRPr="00852292">
        <w:rPr>
          <w:rFonts w:ascii="Times New Roman" w:hAnsi="Times New Roman"/>
        </w:rPr>
        <w:fldChar w:fldCharType="separate"/>
      </w:r>
      <w:r w:rsidRPr="00852292">
        <w:rPr>
          <w:rFonts w:ascii="Times New Roman" w:hAnsi="Times New Roman"/>
          <w:noProof/>
        </w:rPr>
        <w:t>Ruder (2016)</w:t>
      </w:r>
      <w:r w:rsidRPr="00852292">
        <w:rPr>
          <w:rFonts w:ascii="Times New Roman" w:hAnsi="Times New Roman"/>
        </w:rPr>
        <w:fldChar w:fldCharType="end"/>
      </w:r>
      <w:r w:rsidRPr="00852292">
        <w:rPr>
          <w:rFonts w:ascii="Times New Roman" w:hAnsi="Times New Roman"/>
        </w:rPr>
        <w:t xml:space="preserve"> recommends using Adam as the best overall optimization choice. </w:t>
      </w:r>
    </w:p>
    <w:p w14:paraId="11A6F639" w14:textId="18E189FC" w:rsidR="00AD2F03" w:rsidRDefault="00C653C3" w:rsidP="00C653C3">
      <w:pPr>
        <w:ind w:firstLine="576"/>
      </w:pPr>
      <w:bookmarkStart w:id="250" w:name="_Hlk20858715"/>
      <w:r w:rsidRPr="00852292">
        <w:rPr>
          <w:rFonts w:ascii="Times New Roman" w:hAnsi="Times New Roman"/>
        </w:rPr>
        <w:t xml:space="preserve">However, </w:t>
      </w:r>
      <w:r w:rsidRPr="00852292">
        <w:rPr>
          <w:rFonts w:ascii="Times New Roman" w:hAnsi="Times New Roman"/>
        </w:rPr>
        <w:fldChar w:fldCharType="begin" w:fldLock="1"/>
      </w:r>
      <w:r w:rsidRPr="00852292">
        <w:rPr>
          <w:rFonts w:ascii="Times New Roman" w:hAnsi="Times New Roman"/>
        </w:rPr>
        <w:instrText>ADDIN CSL_CITATION {"citationItems":[{"id":"ITEM-1","itemData":{"author":[{"dropping-particle":"","family":"Wilson","given":"Ashia C","non-dropping-particle":"","parse-names":false,"suffix":""},{"dropping-particle":"","family":"Roelofs","given":"Rebecca","non-dropping-particle":"","parse-names":false,"suffix":""},{"dropping-particle":"","family":"Stern","given":"Mitchell","non-dropping-particle":"","parse-names":false,"suffix":""},{"dropping-particle":"","family":"Srebro","given":"Nati","non-dropping-particle":"","parse-names":false,"suffix":""},{"dropping-particle":"","family":"Recht","given":"Benjamin","non-dropping-particle":"","parse-names":false,"suffix":""}],"container-title":"Advances in Neural Information Processing Systems 30","editor":[{"dropping-particle":"","family":"Guyon","given":"I","non-dropping-particle":"","parse-names":false,"suffix":""},{"dropping-particle":"V","family":"Luxburg","given":"U","non-dropping-particle":"","parse-names":false,"suffix":""},{"dropping-particle":"","family":"Bengio","given":"S","non-dropping-particle":"","parse-names":false,"suffix":""},{"dropping-particle":"","family":"Wallach","given":"H","non-dropping-particle":"","parse-names":false,"suffix":""},{"dropping-particle":"","family":"Fergus","given":"R","non-dropping-particle":"","parse-names":false,"suffix":""},{"dropping-particle":"","family":"Vishwanathan","given":"S","non-dropping-particle":"","parse-names":false,"suffix":""},{"dropping-particle":"","family":"Garnett","given":"R","non-dropping-particle":"","parse-names":false,"suffix":""}],"id":"ITEM-1","issued":{"date-parts":[["2017"]]},"page":"4148-4158","publisher":"Curran Associates, Inc.","title":"The Marginal Value of Adaptive Gradient Methods in Machine Learning","type":"chapter"},"uris":["http://www.mendeley.com/documents/?uuid=6c913df3-966f-4929-91ba-74c4dcfd7dae"]}],"mendeley":{"formattedCitation":"(Wilson et al., 2017)","manualFormatting":"Wilson et al. (2017)","plainTextFormattedCitation":"(Wilson et al., 2017)","previouslyFormattedCitation":"(Wilson et al., 2017)"},"properties":{"noteIndex":0},"schema":"https://github.com/citation-style-language/schema/raw/master/csl-citation.json"}</w:instrText>
      </w:r>
      <w:r w:rsidRPr="00852292">
        <w:rPr>
          <w:rFonts w:ascii="Times New Roman" w:hAnsi="Times New Roman"/>
        </w:rPr>
        <w:fldChar w:fldCharType="separate"/>
      </w:r>
      <w:r w:rsidRPr="00852292">
        <w:rPr>
          <w:rFonts w:ascii="Times New Roman" w:hAnsi="Times New Roman"/>
          <w:noProof/>
        </w:rPr>
        <w:t>Wilson et al. (2017)</w:t>
      </w:r>
      <w:r w:rsidRPr="00852292">
        <w:rPr>
          <w:rFonts w:ascii="Times New Roman" w:hAnsi="Times New Roman"/>
        </w:rPr>
        <w:fldChar w:fldCharType="end"/>
      </w:r>
      <w:r w:rsidRPr="00852292">
        <w:rPr>
          <w:rFonts w:ascii="Times New Roman" w:hAnsi="Times New Roman"/>
        </w:rPr>
        <w:t xml:space="preserve"> reported that the solutions found by adaptive methods (such as Adam) have a worse generalization than SGD, even though solutions found by adaptive </w:t>
      </w:r>
      <w:bookmarkEnd w:id="250"/>
      <w:r w:rsidRPr="00852292">
        <w:rPr>
          <w:rFonts w:ascii="Times New Roman" w:hAnsi="Times New Roman"/>
        </w:rPr>
        <w:t>optimization methods have a better performance on the training set. Our optimization experiment is straightforward: we compare the training, validation losses and the test accuracy for the UC</w:t>
      </w:r>
      <w:r w:rsidR="000E191D">
        <w:rPr>
          <w:rFonts w:ascii="Times New Roman" w:hAnsi="Times New Roman"/>
        </w:rPr>
        <w:t>M</w:t>
      </w:r>
      <w:r w:rsidRPr="00852292">
        <w:rPr>
          <w:rFonts w:ascii="Times New Roman" w:hAnsi="Times New Roman"/>
        </w:rPr>
        <w:t xml:space="preserve">erced dataset using different optimization methods: SGD, Adam, and Adamax – a variant of Adam that makes use of the infinity norm, also described in </w:t>
      </w:r>
      <w:r w:rsidRPr="00852292">
        <w:rPr>
          <w:rFonts w:ascii="Times New Roman" w:hAnsi="Times New Roman"/>
        </w:rPr>
        <w:fldChar w:fldCharType="begin" w:fldLock="1"/>
      </w:r>
      <w:r w:rsidRPr="00852292">
        <w:rPr>
          <w:rFonts w:ascii="Times New Roman" w:hAnsi="Times New Roman"/>
        </w:rPr>
        <w:instrText>ADDIN CSL_CITATION {"citationItems":[{"id":"ITEM-1","itemData":{"author":[{"dropping-particle":"","family":"Kingma","given":"Diederik P","non-dropping-particle":"","parse-names":false,"suffix":""},{"dropping-particle":"","family":"Ba","given":"Jimmy","non-dropping-particle":"","parse-names":false,"suffix":""}],"container-title":"arXiv e-prints","id":"ITEM-1","issued":{"date-parts":[["2014","12"]]},"page":"arXiv:1412.6980","title":"Adam: A Method for Stochastic Optimization","type":"article-journal"},"uris":["http://www.mendeley.com/documents/?uuid=70d60d13-d257-4c9f-b1be-124d23f0b39e"]}],"mendeley":{"formattedCitation":"(Kingma and Ba, 2014)","manualFormatting":"Kingma and Ba (2014)","plainTextFormattedCitation":"(Kingma and Ba, 2014)","previouslyFormattedCitation":"(Kingma and Ba, 2014)"},"properties":{"noteIndex":0},"schema":"https://github.com/citation-style-language/schema/raw/master/csl-citation.json"}</w:instrText>
      </w:r>
      <w:r w:rsidRPr="00852292">
        <w:rPr>
          <w:rFonts w:ascii="Times New Roman" w:hAnsi="Times New Roman"/>
        </w:rPr>
        <w:fldChar w:fldCharType="separate"/>
      </w:r>
      <w:r w:rsidRPr="00852292">
        <w:rPr>
          <w:rFonts w:ascii="Times New Roman" w:hAnsi="Times New Roman"/>
          <w:noProof/>
        </w:rPr>
        <w:t>Kingma and Ba (2014)</w:t>
      </w:r>
      <w:r w:rsidRPr="00852292">
        <w:rPr>
          <w:rFonts w:ascii="Times New Roman" w:hAnsi="Times New Roman"/>
        </w:rPr>
        <w:fldChar w:fldCharType="end"/>
      </w:r>
      <w:r w:rsidRPr="00852292">
        <w:rPr>
          <w:rFonts w:ascii="Times New Roman" w:hAnsi="Times New Roman"/>
        </w:rPr>
        <w:t>. We perform such analysis using the shallow-intermediate-deep VGG19 and shallow-intermediate-deep Inception V3 to fit the UCMerced dataset starting the models with randomly initialized weights</w:t>
      </w:r>
      <w:r w:rsidR="00AD2F03">
        <w:t xml:space="preserve">. </w:t>
      </w:r>
    </w:p>
    <w:p w14:paraId="4D4099EF" w14:textId="77777777" w:rsidR="00AD2F03" w:rsidRDefault="00AD2F03" w:rsidP="00AD2F03">
      <w:pPr>
        <w:ind w:firstLine="576"/>
      </w:pPr>
    </w:p>
    <w:p w14:paraId="425E4CA0" w14:textId="77777777" w:rsidR="00AD2F03" w:rsidRDefault="0011424B" w:rsidP="0011424B">
      <w:pPr>
        <w:pStyle w:val="Heading3"/>
      </w:pPr>
      <w:bookmarkStart w:id="251" w:name="_Ref20559292"/>
      <w:bookmarkStart w:id="252" w:name="_Toc26534637"/>
      <w:r>
        <w:t xml:space="preserve">3.3 </w:t>
      </w:r>
      <w:r w:rsidR="00AD2F03">
        <w:t>General to specific layer transition of CNN models</w:t>
      </w:r>
      <w:bookmarkEnd w:id="251"/>
      <w:bookmarkEnd w:id="252"/>
    </w:p>
    <w:p w14:paraId="36AE780F" w14:textId="77777777" w:rsidR="00C653C3" w:rsidRPr="00852292" w:rsidRDefault="00AD2F03" w:rsidP="00C653C3">
      <w:pPr>
        <w:ind w:firstLine="720"/>
        <w:rPr>
          <w:rFonts w:ascii="Times New Roman" w:hAnsi="Times New Roman"/>
        </w:rPr>
      </w:pPr>
      <w:r>
        <w:t xml:space="preserve">As </w:t>
      </w:r>
      <w:r w:rsidR="00C653C3" w:rsidRPr="00852292">
        <w:rPr>
          <w:rFonts w:ascii="Times New Roman" w:hAnsi="Times New Roman"/>
        </w:rPr>
        <w:t xml:space="preserve">mentioned before, many CNN models trained on natural images show a very common characteristic. Layers closer to the input data tend to learn general features, then there is a transition to more specific dataset features. For example, a CNN trained to classify the 21 UCMerced dataset has in its final layer 21 softmax outputs, with each output specifically </w:t>
      </w:r>
      <w:r w:rsidR="00C653C3" w:rsidRPr="00852292">
        <w:rPr>
          <w:rFonts w:ascii="Times New Roman" w:hAnsi="Times New Roman"/>
        </w:rPr>
        <w:lastRenderedPageBreak/>
        <w:t xml:space="preserve">identifying one of the 21 classes. Therefore, the final layer in this example is very specific for the UCMerced task; the final layer receives a set of features coming from the previous layers and outputs a set of probabilities accounting for the 21 UCMerced classes. These are intuitive notions of general vs specific features that are sufficient for the experiments to be performed. </w:t>
      </w:r>
      <w:r w:rsidR="00C653C3" w:rsidRPr="00852292">
        <w:rPr>
          <w:rFonts w:ascii="Times New Roman" w:hAnsi="Times New Roman"/>
        </w:rPr>
        <w:fldChar w:fldCharType="begin" w:fldLock="1"/>
      </w:r>
      <w:r w:rsidR="00C653C3" w:rsidRPr="00852292">
        <w:rPr>
          <w:rFonts w:ascii="Times New Roman" w:hAnsi="Times New Roman"/>
        </w:rPr>
        <w:instrText>ADDIN CSL_CITATION {"citationItems":[{"id":"ITEM-1","itemData":{"abstract":"Many deep neural networks trained on natural images exhibit a curious phenomenon in common: on the first layer they learn features similar to Gabor filters and color blobs. Such first-layer features appear not to be specific to a particular dataset or task, but general in that they are applicable to many datasets and tasks. Features must eventually transition from general to specific by the last layer of the network, but this transition has not been studied extensively. In this paper we experimentally quantify the generality versus specificity of neurons in each layer of a deep convolutional neural network and report a few surprising results. Transferability is negatively affected by two distinct issues: (1) the specialization of higher layer neurons to their original task at the expense of performance on the target task, which was expected, and (2) optimization difficulties related to splitting networks between co-adapted neurons, which was not expected. In an example network trained on ImageNet, we demonstrate that either of these two issues may dominate, depending on whether features are transferred from the bottom, middle, or top of the network. We also document that the transferability of features decreases as the distance between the base task and target task increases, but that transferring features even from distant tasks can be better than using random features. A final surprising result is that initializing a network with transferred features from almost any number of layers can produce a boost to generalization that lingers even after fine-tuning to the target dataset.","author":[{"dropping-particle":"","family":"Yosinski","given":"Jason","non-dropping-particle":"","parse-names":false,"suffix":""},{"dropping-particle":"","family":"Clune","given":"Jeff","non-dropping-particle":"","parse-names":false,"suffix":""},{"dropping-particle":"","family":"Bengio","given":"Yoshua","non-dropping-particle":"","parse-names":false,"suffix":""},{"dropping-particle":"","family":"Lipson","given":"Hod","non-dropping-particle":"","parse-names":false,"suffix":""}],"container-title":"Advances in Neural Information Processing Systems","id":"ITEM-1","issued":{"date-parts":[["2014","11","6"]]},"page":"3320-3328","title":"How transferable are features in deep neural networks?","type":"article-journal","volume":"27"},"uris":["http://www.mendeley.com/documents/?uuid=803012bc-b88d-392a-8cbd-4f098fe2c123"]}],"mendeley":{"formattedCitation":"(Yosinski et al., 2014)","manualFormatting":"Yosinski et al. (2014)","plainTextFormattedCitation":"(Yosinski et al., 2014)","previouslyFormattedCitation":"(Yosinski et al., 2014)"},"properties":{"noteIndex":0},"schema":"https://github.com/citation-style-language/schema/raw/master/csl-citation.json"}</w:instrText>
      </w:r>
      <w:r w:rsidR="00C653C3" w:rsidRPr="00852292">
        <w:rPr>
          <w:rFonts w:ascii="Times New Roman" w:hAnsi="Times New Roman"/>
        </w:rPr>
        <w:fldChar w:fldCharType="separate"/>
      </w:r>
      <w:r w:rsidR="00C653C3" w:rsidRPr="00852292">
        <w:rPr>
          <w:rFonts w:ascii="Times New Roman" w:hAnsi="Times New Roman"/>
          <w:noProof/>
        </w:rPr>
        <w:t>Yosinski et al. (2014)</w:t>
      </w:r>
      <w:r w:rsidR="00C653C3" w:rsidRPr="00852292">
        <w:rPr>
          <w:rFonts w:ascii="Times New Roman" w:hAnsi="Times New Roman"/>
        </w:rPr>
        <w:fldChar w:fldCharType="end"/>
      </w:r>
      <w:r w:rsidR="00C653C3" w:rsidRPr="00852292">
        <w:rPr>
          <w:rFonts w:ascii="Times New Roman" w:hAnsi="Times New Roman"/>
        </w:rPr>
        <w:t xml:space="preserve"> provide a rigorous definition of general and specific features. </w:t>
      </w:r>
    </w:p>
    <w:p w14:paraId="5E409A6F" w14:textId="77777777" w:rsidR="00AD2F03" w:rsidRDefault="00C653C3" w:rsidP="00C653C3">
      <w:pPr>
        <w:ind w:firstLine="720"/>
      </w:pPr>
      <w:r w:rsidRPr="00852292">
        <w:rPr>
          <w:rFonts w:ascii="Times New Roman" w:hAnsi="Times New Roman"/>
        </w:rPr>
        <w:t>To observe how the transition from general to specific features can affect the transfer learning process of remote sensing datasets, we use the shallow, intermediate, and deep VGG19 and Inception V3 described in section</w:t>
      </w:r>
      <w:r w:rsidR="00FE43A9">
        <w:rPr>
          <w:rFonts w:ascii="Times New Roman" w:hAnsi="Times New Roman"/>
        </w:rPr>
        <w:t>3.1</w:t>
      </w:r>
      <w:r w:rsidRPr="00852292">
        <w:rPr>
          <w:rFonts w:ascii="Times New Roman" w:hAnsi="Times New Roman"/>
        </w:rPr>
        <w:t>. Three training modes are performed: feature extraction, fine tuning, and randomly initialized weights. Feature extraction “locks” (or “freezes”) the pre-trained layers extracted from the base models. Fine tuning starts as feature extraction, with the base model frozen, but eventually allows all the layers of the model to learn. The randomly initialized weights mode starts the entire model with randomly initialized weights after which all the weights are updated during training. Randomly initialized weights is the ordinary CNN training, not a transfer learning process. For the sake of standardization, all modes train the model for 100 epochs. In fine tuning, the first step (part of the model is frozen) is trained for 50 epochs, and the second step (all layers of the model are free to learn) for another 50 epochs</w:t>
      </w:r>
      <w:r w:rsidR="00AD2F03">
        <w:t xml:space="preserve">. </w:t>
      </w:r>
    </w:p>
    <w:p w14:paraId="6F717CFF" w14:textId="77777777" w:rsidR="0011424B" w:rsidRDefault="0011424B" w:rsidP="00C653C3">
      <w:pPr>
        <w:ind w:firstLine="720"/>
      </w:pPr>
    </w:p>
    <w:p w14:paraId="6FD53952" w14:textId="77777777" w:rsidR="00AD2F03" w:rsidRPr="00751EDD" w:rsidRDefault="0011424B" w:rsidP="0011424B">
      <w:pPr>
        <w:pStyle w:val="Heading2"/>
      </w:pPr>
      <w:bookmarkStart w:id="253" w:name="_Ref20649034"/>
      <w:bookmarkStart w:id="254" w:name="_Toc26534638"/>
      <w:r>
        <w:t>4</w:t>
      </w:r>
      <w:r w:rsidR="00FE43A9">
        <w:t>.</w:t>
      </w:r>
      <w:r>
        <w:t xml:space="preserve"> </w:t>
      </w:r>
      <w:r w:rsidR="00AD2F03">
        <w:t>Results</w:t>
      </w:r>
      <w:bookmarkEnd w:id="253"/>
      <w:bookmarkEnd w:id="254"/>
    </w:p>
    <w:p w14:paraId="6204F433" w14:textId="77777777" w:rsidR="00AD2F03" w:rsidRDefault="00AD2F03" w:rsidP="00C653C3"/>
    <w:p w14:paraId="73193AA4" w14:textId="77777777" w:rsidR="00AD2F03" w:rsidRDefault="0011424B" w:rsidP="0011424B">
      <w:pPr>
        <w:pStyle w:val="Heading3"/>
      </w:pPr>
      <w:bookmarkStart w:id="255" w:name="_Toc26534639"/>
      <w:r>
        <w:t xml:space="preserve">4.1 </w:t>
      </w:r>
      <w:r w:rsidR="00AD2F03">
        <w:t>Stochastic gradient descent vs adaptive optimization methods</w:t>
      </w:r>
      <w:bookmarkEnd w:id="255"/>
      <w:r w:rsidR="00AD2F03">
        <w:t xml:space="preserve"> </w:t>
      </w:r>
    </w:p>
    <w:p w14:paraId="29EB97EC" w14:textId="77777777" w:rsidR="00AD2F03" w:rsidRDefault="00AD2F03" w:rsidP="00AD2F03">
      <w:pPr>
        <w:ind w:firstLine="720"/>
      </w:pPr>
      <w:r w:rsidRPr="00FC2BB1">
        <w:t xml:space="preserve">We </w:t>
      </w:r>
      <w:r w:rsidR="00C653C3" w:rsidRPr="00C653C3">
        <w:t xml:space="preserve">train the shallow, intermediate, and deep VGG19 and Inception V3 models using the UCMerced dataset with different optimizers. Table 5 shows the naming convention we use here. </w:t>
      </w:r>
      <w:r w:rsidR="00C653C3" w:rsidRPr="00C653C3">
        <w:lastRenderedPageBreak/>
        <w:t>Figure 3 shows the accuracy per epoch for each one of the trained models, with each one of the optimizers. Figure 4 shows the accuracy on the test set obtained by each one of the models, with each one of the optimizers. Figure 5 shows the difference in accuracy between the training set and the test set. Table 6 shows a summary of optimizer performance on the test set with the computation of a simple average and median of the accuracy across all tests performed. This test was run using a batch size of 16 on a NVIDIA Quadro M2000</w:t>
      </w:r>
      <w:r>
        <w:t xml:space="preserve">. </w:t>
      </w:r>
    </w:p>
    <w:p w14:paraId="4E2FF367" w14:textId="77777777" w:rsidR="00AD2F03" w:rsidRPr="00FC2BB1" w:rsidRDefault="00AD2F03" w:rsidP="00AD2F03">
      <w:pPr>
        <w:ind w:firstLine="720"/>
      </w:pPr>
    </w:p>
    <w:p w14:paraId="209998E0" w14:textId="77777777" w:rsidR="00AD2F03" w:rsidRDefault="00AD2F03" w:rsidP="00607DF1">
      <w:pPr>
        <w:pStyle w:val="Caption"/>
      </w:pPr>
      <w:bookmarkStart w:id="256" w:name="_Ref20582198"/>
      <w:bookmarkStart w:id="257" w:name="_Toc26534549"/>
      <w:r>
        <w:t xml:space="preserve">Table </w:t>
      </w:r>
      <w:r w:rsidR="00CE1F3C">
        <w:fldChar w:fldCharType="begin"/>
      </w:r>
      <w:r w:rsidR="00CE1F3C">
        <w:instrText xml:space="preserve"> SEQ Table \* ARABIC </w:instrText>
      </w:r>
      <w:r w:rsidR="00CE1F3C">
        <w:fldChar w:fldCharType="separate"/>
      </w:r>
      <w:r w:rsidR="001C535D">
        <w:rPr>
          <w:noProof/>
        </w:rPr>
        <w:t>12</w:t>
      </w:r>
      <w:r w:rsidR="00CE1F3C">
        <w:rPr>
          <w:noProof/>
        </w:rPr>
        <w:fldChar w:fldCharType="end"/>
      </w:r>
      <w:bookmarkEnd w:id="256"/>
      <w:r>
        <w:t>: Naming convention and optimizer details</w:t>
      </w:r>
      <w:bookmarkEnd w:id="257"/>
    </w:p>
    <w:tbl>
      <w:tblPr>
        <w:tblStyle w:val="TableGrid"/>
        <w:tblW w:w="8571" w:type="dxa"/>
        <w:tblLook w:val="04A0" w:firstRow="1" w:lastRow="0" w:firstColumn="1" w:lastColumn="0" w:noHBand="0" w:noVBand="1"/>
      </w:tblPr>
      <w:tblGrid>
        <w:gridCol w:w="2720"/>
        <w:gridCol w:w="5851"/>
      </w:tblGrid>
      <w:tr w:rsidR="00AD2F03" w:rsidRPr="00E8704D" w14:paraId="6B8EA434" w14:textId="77777777" w:rsidTr="00E65C03">
        <w:trPr>
          <w:trHeight w:val="288"/>
        </w:trPr>
        <w:tc>
          <w:tcPr>
            <w:tcW w:w="2720" w:type="dxa"/>
            <w:noWrap/>
            <w:hideMark/>
          </w:tcPr>
          <w:p w14:paraId="3F8A96C7" w14:textId="77777777" w:rsidR="00AD2F03" w:rsidRPr="00E8704D" w:rsidRDefault="00AD2F03" w:rsidP="00355913">
            <w:pPr>
              <w:spacing w:line="240" w:lineRule="auto"/>
              <w:ind w:firstLine="720"/>
              <w:rPr>
                <w:b/>
                <w:bCs/>
              </w:rPr>
            </w:pPr>
            <w:r>
              <w:rPr>
                <w:b/>
                <w:bCs/>
              </w:rPr>
              <w:t>Name</w:t>
            </w:r>
            <w:r w:rsidRPr="00E8704D">
              <w:rPr>
                <w:b/>
                <w:bCs/>
              </w:rPr>
              <w:t xml:space="preserve"> </w:t>
            </w:r>
          </w:p>
        </w:tc>
        <w:tc>
          <w:tcPr>
            <w:tcW w:w="5851" w:type="dxa"/>
            <w:noWrap/>
            <w:hideMark/>
          </w:tcPr>
          <w:p w14:paraId="42C71C1F" w14:textId="77777777" w:rsidR="00AD2F03" w:rsidRPr="00E8704D" w:rsidRDefault="00AD2F03" w:rsidP="00355913">
            <w:pPr>
              <w:spacing w:line="240" w:lineRule="auto"/>
              <w:ind w:firstLine="720"/>
              <w:rPr>
                <w:b/>
                <w:bCs/>
              </w:rPr>
            </w:pPr>
            <w:r>
              <w:rPr>
                <w:b/>
                <w:bCs/>
              </w:rPr>
              <w:t>Optimizer details</w:t>
            </w:r>
          </w:p>
        </w:tc>
      </w:tr>
      <w:tr w:rsidR="00AD2F03" w:rsidRPr="00E8704D" w14:paraId="74A9D031" w14:textId="77777777" w:rsidTr="00E65C03">
        <w:trPr>
          <w:trHeight w:val="288"/>
        </w:trPr>
        <w:tc>
          <w:tcPr>
            <w:tcW w:w="2720" w:type="dxa"/>
            <w:noWrap/>
            <w:hideMark/>
          </w:tcPr>
          <w:p w14:paraId="5A3E6204" w14:textId="77777777" w:rsidR="00AD2F03" w:rsidRPr="00E8704D" w:rsidRDefault="00AD2F03" w:rsidP="00355913">
            <w:pPr>
              <w:spacing w:line="240" w:lineRule="auto"/>
            </w:pPr>
            <w:r w:rsidRPr="003D7BB8">
              <w:t>SGD (1e-2)</w:t>
            </w:r>
          </w:p>
        </w:tc>
        <w:tc>
          <w:tcPr>
            <w:tcW w:w="5851" w:type="dxa"/>
            <w:noWrap/>
            <w:hideMark/>
          </w:tcPr>
          <w:p w14:paraId="26430880" w14:textId="77777777" w:rsidR="00AD2F03" w:rsidRPr="00E8704D" w:rsidRDefault="00AD2F03" w:rsidP="00355913">
            <w:pPr>
              <w:spacing w:line="240" w:lineRule="auto"/>
            </w:pPr>
            <w:r>
              <w:t>SGD optimizer with learning rate of 0.01</w:t>
            </w:r>
          </w:p>
        </w:tc>
      </w:tr>
      <w:tr w:rsidR="00AD2F03" w:rsidRPr="00E8704D" w14:paraId="06185E30" w14:textId="77777777" w:rsidTr="00E65C03">
        <w:trPr>
          <w:trHeight w:val="288"/>
        </w:trPr>
        <w:tc>
          <w:tcPr>
            <w:tcW w:w="2720" w:type="dxa"/>
            <w:noWrap/>
            <w:hideMark/>
          </w:tcPr>
          <w:p w14:paraId="31A4E2C2" w14:textId="77777777" w:rsidR="00AD2F03" w:rsidRPr="00E8704D" w:rsidRDefault="00AD2F03" w:rsidP="00355913">
            <w:pPr>
              <w:spacing w:line="240" w:lineRule="auto"/>
            </w:pPr>
            <w:r w:rsidRPr="003D7BB8">
              <w:t>SGD (1e-2)</w:t>
            </w:r>
            <w:r>
              <w:t xml:space="preserve"> momentum 0.9</w:t>
            </w:r>
          </w:p>
        </w:tc>
        <w:tc>
          <w:tcPr>
            <w:tcW w:w="5851" w:type="dxa"/>
            <w:noWrap/>
            <w:hideMark/>
          </w:tcPr>
          <w:p w14:paraId="1D9C092A" w14:textId="77777777" w:rsidR="00AD2F03" w:rsidRPr="00E8704D" w:rsidRDefault="00AD2F03" w:rsidP="00355913">
            <w:pPr>
              <w:spacing w:line="240" w:lineRule="auto"/>
            </w:pPr>
            <w:r>
              <w:t>SGD optimizer with learning rate of 0.01 and momentum 0.9</w:t>
            </w:r>
          </w:p>
        </w:tc>
      </w:tr>
      <w:tr w:rsidR="00AD2F03" w:rsidRPr="00E8704D" w14:paraId="19C00600" w14:textId="77777777" w:rsidTr="00E65C03">
        <w:trPr>
          <w:trHeight w:val="288"/>
        </w:trPr>
        <w:tc>
          <w:tcPr>
            <w:tcW w:w="2720" w:type="dxa"/>
            <w:noWrap/>
            <w:hideMark/>
          </w:tcPr>
          <w:p w14:paraId="6FE20750" w14:textId="77777777" w:rsidR="00AD2F03" w:rsidRPr="00E8704D" w:rsidRDefault="00AD2F03" w:rsidP="00355913">
            <w:pPr>
              <w:spacing w:line="240" w:lineRule="auto"/>
            </w:pPr>
            <w:r w:rsidRPr="003D7BB8">
              <w:t>SGD (1e-</w:t>
            </w:r>
            <w:r>
              <w:t>3</w:t>
            </w:r>
            <w:r w:rsidRPr="003D7BB8">
              <w:t>)</w:t>
            </w:r>
          </w:p>
        </w:tc>
        <w:tc>
          <w:tcPr>
            <w:tcW w:w="5851" w:type="dxa"/>
            <w:noWrap/>
            <w:hideMark/>
          </w:tcPr>
          <w:p w14:paraId="4D3F8AE3" w14:textId="77777777" w:rsidR="00AD2F03" w:rsidRPr="00E8704D" w:rsidRDefault="00AD2F03" w:rsidP="00355913">
            <w:pPr>
              <w:spacing w:line="240" w:lineRule="auto"/>
            </w:pPr>
            <w:r>
              <w:t>SGD optimizer with learning rate of 0.001</w:t>
            </w:r>
          </w:p>
        </w:tc>
      </w:tr>
      <w:tr w:rsidR="00AD2F03" w:rsidRPr="00E8704D" w14:paraId="3A1BFC9C" w14:textId="77777777" w:rsidTr="00E65C03">
        <w:trPr>
          <w:trHeight w:val="288"/>
        </w:trPr>
        <w:tc>
          <w:tcPr>
            <w:tcW w:w="2720" w:type="dxa"/>
            <w:noWrap/>
            <w:hideMark/>
          </w:tcPr>
          <w:p w14:paraId="76B2F82D" w14:textId="77777777" w:rsidR="00AD2F03" w:rsidRPr="00E8704D" w:rsidRDefault="00AD2F03" w:rsidP="00355913">
            <w:pPr>
              <w:spacing w:line="240" w:lineRule="auto"/>
            </w:pPr>
            <w:bookmarkStart w:id="258" w:name="_Hlk20859118"/>
            <w:r w:rsidRPr="003D7BB8">
              <w:t>SGD (1e-</w:t>
            </w:r>
            <w:r>
              <w:t>3</w:t>
            </w:r>
            <w:r w:rsidRPr="003D7BB8">
              <w:t>)</w:t>
            </w:r>
            <w:r>
              <w:t xml:space="preserve"> momentum 0.9</w:t>
            </w:r>
            <w:bookmarkEnd w:id="258"/>
          </w:p>
        </w:tc>
        <w:tc>
          <w:tcPr>
            <w:tcW w:w="5851" w:type="dxa"/>
            <w:noWrap/>
            <w:hideMark/>
          </w:tcPr>
          <w:p w14:paraId="4AE7CFCE" w14:textId="77777777" w:rsidR="00AD2F03" w:rsidRPr="00E8704D" w:rsidRDefault="00AD2F03" w:rsidP="00355913">
            <w:pPr>
              <w:spacing w:line="240" w:lineRule="auto"/>
            </w:pPr>
            <w:r>
              <w:t>SGD optimizer with learning rate of 0.001 and momentum 0.9</w:t>
            </w:r>
          </w:p>
        </w:tc>
      </w:tr>
      <w:tr w:rsidR="00AD2F03" w:rsidRPr="00E8704D" w14:paraId="0DCDCBCF" w14:textId="77777777" w:rsidTr="00E65C03">
        <w:trPr>
          <w:trHeight w:val="288"/>
        </w:trPr>
        <w:tc>
          <w:tcPr>
            <w:tcW w:w="2720" w:type="dxa"/>
            <w:noWrap/>
            <w:hideMark/>
          </w:tcPr>
          <w:p w14:paraId="5EB6C04A" w14:textId="77777777" w:rsidR="00AD2F03" w:rsidRPr="00E8704D" w:rsidRDefault="00AD2F03" w:rsidP="00355913">
            <w:pPr>
              <w:spacing w:line="240" w:lineRule="auto"/>
            </w:pPr>
            <w:r w:rsidRPr="00E8704D">
              <w:t>Adam (1e-2)</w:t>
            </w:r>
          </w:p>
        </w:tc>
        <w:tc>
          <w:tcPr>
            <w:tcW w:w="5851" w:type="dxa"/>
            <w:noWrap/>
            <w:hideMark/>
          </w:tcPr>
          <w:p w14:paraId="23FBCBFF" w14:textId="77777777" w:rsidR="00AD2F03" w:rsidRPr="00E8704D" w:rsidRDefault="00AD2F03" w:rsidP="00355913">
            <w:pPr>
              <w:spacing w:line="240" w:lineRule="auto"/>
            </w:pPr>
            <w:r w:rsidRPr="00E8704D">
              <w:t>Adam</w:t>
            </w:r>
            <w:r>
              <w:t xml:space="preserve"> optimizer with learning rate of 0.01 and default parameters as described in </w:t>
            </w:r>
            <w:r>
              <w:fldChar w:fldCharType="begin" w:fldLock="1"/>
            </w:r>
            <w:r>
              <w:instrText>ADDIN CSL_CITATION {"citationItems":[{"id":"ITEM-1","itemData":{"author":[{"dropping-particle":"","family":"Kingma","given":"Diederik P","non-dropping-particle":"","parse-names":false,"suffix":""},{"dropping-particle":"","family":"Ba","given":"Jimmy","non-dropping-particle":"","parse-names":false,"suffix":""}],"container-title":"arXiv e-prints","id":"ITEM-1","issued":{"date-parts":[["2014","12"]]},"page":"arXiv:1412.6980","title":"Adam: A Method for Stochastic Optimization","type":"article-journal"},"uris":["http://www.mendeley.com/documents/?uuid=70d60d13-d257-4c9f-b1be-124d23f0b39e"]}],"mendeley":{"formattedCitation":"(Kingma and Ba, 2014)","manualFormatting":"Kingma and Ba (2014)","plainTextFormattedCitation":"(Kingma and Ba, 2014)","previouslyFormattedCitation":"(Kingma and Ba, 2014)"},"properties":{"noteIndex":0},"schema":"https://github.com/citation-style-language/schema/raw/master/csl-citation.json"}</w:instrText>
            </w:r>
            <w:r>
              <w:fldChar w:fldCharType="separate"/>
            </w:r>
            <w:r w:rsidRPr="002644C2">
              <w:rPr>
                <w:noProof/>
              </w:rPr>
              <w:t xml:space="preserve">Kingma and Ba </w:t>
            </w:r>
            <w:r>
              <w:rPr>
                <w:noProof/>
              </w:rPr>
              <w:t>(</w:t>
            </w:r>
            <w:r w:rsidRPr="002644C2">
              <w:rPr>
                <w:noProof/>
              </w:rPr>
              <w:t>2014)</w:t>
            </w:r>
            <w:r>
              <w:fldChar w:fldCharType="end"/>
            </w:r>
          </w:p>
        </w:tc>
      </w:tr>
      <w:tr w:rsidR="00AD2F03" w:rsidRPr="00E8704D" w14:paraId="7D3C3F0B" w14:textId="77777777" w:rsidTr="00E65C03">
        <w:trPr>
          <w:trHeight w:val="288"/>
        </w:trPr>
        <w:tc>
          <w:tcPr>
            <w:tcW w:w="2720" w:type="dxa"/>
            <w:noWrap/>
            <w:hideMark/>
          </w:tcPr>
          <w:p w14:paraId="2B107355" w14:textId="77777777" w:rsidR="00AD2F03" w:rsidRPr="00E8704D" w:rsidRDefault="00AD2F03" w:rsidP="00355913">
            <w:pPr>
              <w:spacing w:line="240" w:lineRule="auto"/>
            </w:pPr>
            <w:r>
              <w:t>Adamax (2e-3)</w:t>
            </w:r>
          </w:p>
        </w:tc>
        <w:tc>
          <w:tcPr>
            <w:tcW w:w="5851" w:type="dxa"/>
            <w:noWrap/>
            <w:hideMark/>
          </w:tcPr>
          <w:p w14:paraId="31254106" w14:textId="77777777" w:rsidR="00AD2F03" w:rsidRPr="00E8704D" w:rsidRDefault="00AD2F03" w:rsidP="00355913">
            <w:pPr>
              <w:spacing w:line="240" w:lineRule="auto"/>
            </w:pPr>
            <w:r w:rsidRPr="00E8704D">
              <w:t>Adam</w:t>
            </w:r>
            <w:r>
              <w:t xml:space="preserve">ax optimizer with learning rate of 0.01 and default parameters as described in </w:t>
            </w:r>
            <w:r>
              <w:fldChar w:fldCharType="begin" w:fldLock="1"/>
            </w:r>
            <w:r>
              <w:instrText>ADDIN CSL_CITATION {"citationItems":[{"id":"ITEM-1","itemData":{"author":[{"dropping-particle":"","family":"Kingma","given":"Diederik P","non-dropping-particle":"","parse-names":false,"suffix":""},{"dropping-particle":"","family":"Ba","given":"Jimmy","non-dropping-particle":"","parse-names":false,"suffix":""}],"container-title":"arXiv e-prints","id":"ITEM-1","issued":{"date-parts":[["2014","12"]]},"page":"arXiv:1412.6980","title":"Adam: A Method for Stochastic Optimization","type":"article-journal"},"uris":["http://www.mendeley.com/documents/?uuid=70d60d13-d257-4c9f-b1be-124d23f0b39e"]}],"mendeley":{"formattedCitation":"(Kingma and Ba, 2014)","manualFormatting":"Kingma and Ba (2014)","plainTextFormattedCitation":"(Kingma and Ba, 2014)","previouslyFormattedCitation":"(Kingma and Ba, 2014)"},"properties":{"noteIndex":0},"schema":"https://github.com/citation-style-language/schema/raw/master/csl-citation.json"}</w:instrText>
            </w:r>
            <w:r>
              <w:fldChar w:fldCharType="separate"/>
            </w:r>
            <w:r w:rsidRPr="002644C2">
              <w:rPr>
                <w:noProof/>
              </w:rPr>
              <w:t xml:space="preserve">Kingma and Ba </w:t>
            </w:r>
            <w:r>
              <w:rPr>
                <w:noProof/>
              </w:rPr>
              <w:t>(</w:t>
            </w:r>
            <w:r w:rsidRPr="002644C2">
              <w:rPr>
                <w:noProof/>
              </w:rPr>
              <w:t>2014)</w:t>
            </w:r>
            <w:r>
              <w:fldChar w:fldCharType="end"/>
            </w:r>
          </w:p>
        </w:tc>
      </w:tr>
    </w:tbl>
    <w:p w14:paraId="0B4B8E39" w14:textId="77777777" w:rsidR="00AD2F03" w:rsidRDefault="00AD2F03" w:rsidP="00AD2F03">
      <w:pPr>
        <w:ind w:firstLine="720"/>
      </w:pPr>
    </w:p>
    <w:p w14:paraId="6C9BD2AF" w14:textId="77777777" w:rsidR="00AD2F03" w:rsidRDefault="00AD2F03" w:rsidP="00607DF1">
      <w:pPr>
        <w:pStyle w:val="Caption"/>
      </w:pPr>
      <w:bookmarkStart w:id="259" w:name="_Ref20583273"/>
      <w:bookmarkStart w:id="260" w:name="_Toc26534550"/>
      <w:r>
        <w:t xml:space="preserve">Table </w:t>
      </w:r>
      <w:r w:rsidR="00CE1F3C">
        <w:fldChar w:fldCharType="begin"/>
      </w:r>
      <w:r w:rsidR="00CE1F3C">
        <w:instrText xml:space="preserve"> SEQ Table \* ARABIC </w:instrText>
      </w:r>
      <w:r w:rsidR="00CE1F3C">
        <w:fldChar w:fldCharType="separate"/>
      </w:r>
      <w:r w:rsidR="001C535D">
        <w:rPr>
          <w:noProof/>
        </w:rPr>
        <w:t>13</w:t>
      </w:r>
      <w:r w:rsidR="00CE1F3C">
        <w:rPr>
          <w:noProof/>
        </w:rPr>
        <w:fldChar w:fldCharType="end"/>
      </w:r>
      <w:bookmarkEnd w:id="259"/>
      <w:r>
        <w:t>: Optimizer performance summary.</w:t>
      </w:r>
      <w:bookmarkEnd w:id="260"/>
      <w:r>
        <w:t xml:space="preserve"> </w:t>
      </w:r>
    </w:p>
    <w:tbl>
      <w:tblPr>
        <w:tblStyle w:val="PlainTable4"/>
        <w:tblW w:w="6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6"/>
        <w:gridCol w:w="1920"/>
        <w:gridCol w:w="1896"/>
      </w:tblGrid>
      <w:tr w:rsidR="00AD2F03" w:rsidRPr="00B23D82" w14:paraId="5B477278" w14:textId="77777777" w:rsidTr="00E65C0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56" w:type="dxa"/>
            <w:noWrap/>
            <w:hideMark/>
          </w:tcPr>
          <w:p w14:paraId="30EE6355" w14:textId="77777777" w:rsidR="00AD2F03" w:rsidRPr="00B23D82" w:rsidRDefault="00AD2F03" w:rsidP="00E65C03">
            <w:pPr>
              <w:spacing w:line="240" w:lineRule="auto"/>
              <w:rPr>
                <w:rFonts w:ascii="Calibri" w:eastAsia="Times New Roman" w:hAnsi="Calibri" w:cs="Times New Roman"/>
                <w:color w:val="000000"/>
              </w:rPr>
            </w:pPr>
            <w:r w:rsidRPr="00B23D82">
              <w:rPr>
                <w:rFonts w:ascii="Calibri" w:eastAsia="Times New Roman" w:hAnsi="Calibri" w:cs="Times New Roman"/>
                <w:color w:val="000000"/>
              </w:rPr>
              <w:t>Optimizer</w:t>
            </w:r>
          </w:p>
        </w:tc>
        <w:tc>
          <w:tcPr>
            <w:tcW w:w="1920" w:type="dxa"/>
            <w:noWrap/>
            <w:hideMark/>
          </w:tcPr>
          <w:p w14:paraId="4465931D" w14:textId="77777777" w:rsidR="00AD2F03" w:rsidRPr="00B23D82" w:rsidRDefault="00AD2F03" w:rsidP="00E65C03">
            <w:pPr>
              <w:spacing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B23D82">
              <w:rPr>
                <w:rFonts w:ascii="Calibri" w:eastAsia="Times New Roman" w:hAnsi="Calibri" w:cs="Times New Roman"/>
                <w:color w:val="000000"/>
              </w:rPr>
              <w:t>Average accuracy</w:t>
            </w:r>
          </w:p>
        </w:tc>
        <w:tc>
          <w:tcPr>
            <w:tcW w:w="1896" w:type="dxa"/>
            <w:noWrap/>
            <w:hideMark/>
          </w:tcPr>
          <w:p w14:paraId="07C99435" w14:textId="77777777" w:rsidR="00AD2F03" w:rsidRPr="00B23D82" w:rsidRDefault="00AD2F03" w:rsidP="00E65C03">
            <w:pPr>
              <w:spacing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B23D82">
              <w:rPr>
                <w:rFonts w:ascii="Calibri" w:eastAsia="Times New Roman" w:hAnsi="Calibri" w:cs="Times New Roman"/>
                <w:color w:val="000000"/>
              </w:rPr>
              <w:t>Median Accuracy</w:t>
            </w:r>
          </w:p>
        </w:tc>
      </w:tr>
      <w:tr w:rsidR="00AD2F03" w:rsidRPr="00B23D82" w14:paraId="3B516A56" w14:textId="77777777" w:rsidTr="00E65C0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56" w:type="dxa"/>
            <w:noWrap/>
            <w:hideMark/>
          </w:tcPr>
          <w:p w14:paraId="5EFF4ECB" w14:textId="77777777" w:rsidR="00AD2F03" w:rsidRPr="00B23D82" w:rsidRDefault="00AD2F03" w:rsidP="00E65C03">
            <w:pPr>
              <w:spacing w:line="240" w:lineRule="auto"/>
              <w:rPr>
                <w:rFonts w:ascii="Calibri" w:eastAsia="Times New Roman" w:hAnsi="Calibri" w:cs="Times New Roman"/>
                <w:color w:val="000000"/>
              </w:rPr>
            </w:pPr>
            <w:r w:rsidRPr="00B23D82">
              <w:rPr>
                <w:rFonts w:ascii="Calibri" w:eastAsia="Times New Roman" w:hAnsi="Calibri" w:cs="Times New Roman"/>
                <w:color w:val="000000"/>
              </w:rPr>
              <w:t>SGD (1e-2)</w:t>
            </w:r>
          </w:p>
        </w:tc>
        <w:tc>
          <w:tcPr>
            <w:tcW w:w="1920" w:type="dxa"/>
            <w:noWrap/>
            <w:hideMark/>
          </w:tcPr>
          <w:p w14:paraId="037E9C7D" w14:textId="77777777" w:rsidR="00AD2F03" w:rsidRPr="00B23D8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rPr>
            </w:pPr>
            <w:r w:rsidRPr="00B23D82">
              <w:rPr>
                <w:rFonts w:ascii="Calibri" w:eastAsia="Times New Roman" w:hAnsi="Calibri" w:cs="Times New Roman"/>
                <w:b/>
                <w:bCs/>
                <w:color w:val="000000"/>
              </w:rPr>
              <w:t>0.82</w:t>
            </w:r>
          </w:p>
        </w:tc>
        <w:tc>
          <w:tcPr>
            <w:tcW w:w="1896" w:type="dxa"/>
            <w:noWrap/>
            <w:hideMark/>
          </w:tcPr>
          <w:p w14:paraId="2B46199D" w14:textId="77777777" w:rsidR="00AD2F03" w:rsidRPr="00B23D8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B23D82">
              <w:rPr>
                <w:rFonts w:ascii="Calibri" w:eastAsia="Times New Roman" w:hAnsi="Calibri" w:cs="Times New Roman"/>
                <w:color w:val="000000"/>
              </w:rPr>
              <w:t>0.8</w:t>
            </w:r>
            <w:r>
              <w:rPr>
                <w:rFonts w:ascii="Calibri" w:eastAsia="Times New Roman" w:hAnsi="Calibri" w:cs="Times New Roman"/>
                <w:color w:val="000000"/>
              </w:rPr>
              <w:t>0</w:t>
            </w:r>
          </w:p>
        </w:tc>
      </w:tr>
      <w:tr w:rsidR="00AD2F03" w:rsidRPr="00B23D82" w14:paraId="03811BC0" w14:textId="77777777" w:rsidTr="00E65C03">
        <w:trPr>
          <w:trHeight w:val="300"/>
        </w:trPr>
        <w:tc>
          <w:tcPr>
            <w:cnfStyle w:val="001000000000" w:firstRow="0" w:lastRow="0" w:firstColumn="1" w:lastColumn="0" w:oddVBand="0" w:evenVBand="0" w:oddHBand="0" w:evenHBand="0" w:firstRowFirstColumn="0" w:firstRowLastColumn="0" w:lastRowFirstColumn="0" w:lastRowLastColumn="0"/>
            <w:tcW w:w="2756" w:type="dxa"/>
            <w:noWrap/>
            <w:hideMark/>
          </w:tcPr>
          <w:p w14:paraId="3D6937F7" w14:textId="77777777" w:rsidR="00AD2F03" w:rsidRPr="00B23D82" w:rsidRDefault="00AD2F03" w:rsidP="00E65C03">
            <w:pPr>
              <w:spacing w:line="240" w:lineRule="auto"/>
              <w:rPr>
                <w:rFonts w:ascii="Calibri" w:eastAsia="Times New Roman" w:hAnsi="Calibri" w:cs="Times New Roman"/>
                <w:color w:val="000000"/>
              </w:rPr>
            </w:pPr>
            <w:r w:rsidRPr="00B23D82">
              <w:rPr>
                <w:rFonts w:ascii="Calibri" w:eastAsia="Times New Roman" w:hAnsi="Calibri" w:cs="Times New Roman"/>
                <w:color w:val="000000"/>
              </w:rPr>
              <w:t>SGD (1e-2) momentum 0.9</w:t>
            </w:r>
          </w:p>
        </w:tc>
        <w:tc>
          <w:tcPr>
            <w:tcW w:w="1920" w:type="dxa"/>
            <w:noWrap/>
            <w:hideMark/>
          </w:tcPr>
          <w:p w14:paraId="0894C697" w14:textId="77777777" w:rsidR="00AD2F03" w:rsidRPr="00B23D8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B23D82">
              <w:rPr>
                <w:rFonts w:ascii="Calibri" w:eastAsia="Times New Roman" w:hAnsi="Calibri" w:cs="Times New Roman"/>
                <w:color w:val="000000"/>
              </w:rPr>
              <w:t>0.53</w:t>
            </w:r>
          </w:p>
        </w:tc>
        <w:tc>
          <w:tcPr>
            <w:tcW w:w="1896" w:type="dxa"/>
            <w:noWrap/>
            <w:hideMark/>
          </w:tcPr>
          <w:p w14:paraId="4E9349C0" w14:textId="77777777" w:rsidR="00AD2F03" w:rsidRPr="00B23D8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B23D82">
              <w:rPr>
                <w:rFonts w:ascii="Calibri" w:eastAsia="Times New Roman" w:hAnsi="Calibri" w:cs="Times New Roman"/>
                <w:color w:val="000000"/>
              </w:rPr>
              <w:t>0.66</w:t>
            </w:r>
          </w:p>
        </w:tc>
      </w:tr>
      <w:tr w:rsidR="00AD2F03" w:rsidRPr="00B23D82" w14:paraId="6AB8A96E" w14:textId="77777777" w:rsidTr="00E65C0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56" w:type="dxa"/>
            <w:noWrap/>
            <w:hideMark/>
          </w:tcPr>
          <w:p w14:paraId="0B1255CB" w14:textId="77777777" w:rsidR="00AD2F03" w:rsidRPr="00B23D82" w:rsidRDefault="00AD2F03" w:rsidP="00E65C03">
            <w:pPr>
              <w:spacing w:line="240" w:lineRule="auto"/>
              <w:rPr>
                <w:rFonts w:ascii="Calibri" w:eastAsia="Times New Roman" w:hAnsi="Calibri" w:cs="Times New Roman"/>
                <w:color w:val="000000"/>
              </w:rPr>
            </w:pPr>
            <w:r w:rsidRPr="00B23D82">
              <w:rPr>
                <w:rFonts w:ascii="Calibri" w:eastAsia="Times New Roman" w:hAnsi="Calibri" w:cs="Times New Roman"/>
                <w:color w:val="000000"/>
              </w:rPr>
              <w:t>SGD (1e-3)</w:t>
            </w:r>
          </w:p>
        </w:tc>
        <w:tc>
          <w:tcPr>
            <w:tcW w:w="1920" w:type="dxa"/>
            <w:noWrap/>
            <w:hideMark/>
          </w:tcPr>
          <w:p w14:paraId="5971F355" w14:textId="77777777" w:rsidR="00AD2F03" w:rsidRPr="00B23D8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B23D82">
              <w:rPr>
                <w:rFonts w:ascii="Calibri" w:eastAsia="Times New Roman" w:hAnsi="Calibri" w:cs="Times New Roman"/>
                <w:color w:val="000000"/>
              </w:rPr>
              <w:t>0.74</w:t>
            </w:r>
          </w:p>
        </w:tc>
        <w:tc>
          <w:tcPr>
            <w:tcW w:w="1896" w:type="dxa"/>
            <w:noWrap/>
            <w:hideMark/>
          </w:tcPr>
          <w:p w14:paraId="0390F2A0" w14:textId="77777777" w:rsidR="00AD2F03" w:rsidRPr="00B23D8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B23D82">
              <w:rPr>
                <w:rFonts w:ascii="Calibri" w:eastAsia="Times New Roman" w:hAnsi="Calibri" w:cs="Times New Roman"/>
                <w:color w:val="000000"/>
              </w:rPr>
              <w:t>0.75</w:t>
            </w:r>
          </w:p>
        </w:tc>
      </w:tr>
      <w:tr w:rsidR="00AD2F03" w:rsidRPr="00B23D82" w14:paraId="5FCF433E" w14:textId="77777777" w:rsidTr="00E65C03">
        <w:trPr>
          <w:trHeight w:val="300"/>
        </w:trPr>
        <w:tc>
          <w:tcPr>
            <w:cnfStyle w:val="001000000000" w:firstRow="0" w:lastRow="0" w:firstColumn="1" w:lastColumn="0" w:oddVBand="0" w:evenVBand="0" w:oddHBand="0" w:evenHBand="0" w:firstRowFirstColumn="0" w:firstRowLastColumn="0" w:lastRowFirstColumn="0" w:lastRowLastColumn="0"/>
            <w:tcW w:w="2756" w:type="dxa"/>
            <w:noWrap/>
            <w:hideMark/>
          </w:tcPr>
          <w:p w14:paraId="4948E1D6" w14:textId="77777777" w:rsidR="00AD2F03" w:rsidRPr="00B23D82" w:rsidRDefault="00AD2F03" w:rsidP="00E65C03">
            <w:pPr>
              <w:spacing w:line="240" w:lineRule="auto"/>
              <w:rPr>
                <w:rFonts w:ascii="Calibri" w:eastAsia="Times New Roman" w:hAnsi="Calibri" w:cs="Times New Roman"/>
                <w:color w:val="000000"/>
              </w:rPr>
            </w:pPr>
            <w:r w:rsidRPr="00B23D82">
              <w:rPr>
                <w:rFonts w:ascii="Calibri" w:eastAsia="Times New Roman" w:hAnsi="Calibri" w:cs="Times New Roman"/>
                <w:color w:val="000000"/>
              </w:rPr>
              <w:t>SGD (1e-3) momentum 0.9</w:t>
            </w:r>
          </w:p>
        </w:tc>
        <w:tc>
          <w:tcPr>
            <w:tcW w:w="1920" w:type="dxa"/>
            <w:noWrap/>
            <w:hideMark/>
          </w:tcPr>
          <w:p w14:paraId="0C0CB8C5" w14:textId="77777777" w:rsidR="00AD2F03" w:rsidRPr="00B23D8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B23D82">
              <w:rPr>
                <w:rFonts w:ascii="Calibri" w:eastAsia="Times New Roman" w:hAnsi="Calibri" w:cs="Times New Roman"/>
                <w:color w:val="000000"/>
              </w:rPr>
              <w:t>0.81</w:t>
            </w:r>
          </w:p>
        </w:tc>
        <w:tc>
          <w:tcPr>
            <w:tcW w:w="1896" w:type="dxa"/>
            <w:noWrap/>
            <w:hideMark/>
          </w:tcPr>
          <w:p w14:paraId="5F1911DD" w14:textId="77777777" w:rsidR="00AD2F03" w:rsidRPr="00B23D8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B23D82">
              <w:rPr>
                <w:rFonts w:ascii="Calibri" w:eastAsia="Times New Roman" w:hAnsi="Calibri" w:cs="Times New Roman"/>
                <w:color w:val="000000"/>
              </w:rPr>
              <w:t>0.82</w:t>
            </w:r>
          </w:p>
        </w:tc>
      </w:tr>
      <w:tr w:rsidR="00AD2F03" w:rsidRPr="00B23D82" w14:paraId="4CF3B04F" w14:textId="77777777" w:rsidTr="00E65C0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56" w:type="dxa"/>
            <w:noWrap/>
            <w:hideMark/>
          </w:tcPr>
          <w:p w14:paraId="2D539A4F" w14:textId="77777777" w:rsidR="00AD2F03" w:rsidRPr="00B23D82" w:rsidRDefault="00AD2F03" w:rsidP="00E65C03">
            <w:pPr>
              <w:spacing w:line="240" w:lineRule="auto"/>
              <w:rPr>
                <w:rFonts w:ascii="Calibri" w:eastAsia="Times New Roman" w:hAnsi="Calibri" w:cs="Times New Roman"/>
                <w:color w:val="000000"/>
              </w:rPr>
            </w:pPr>
            <w:r w:rsidRPr="00B23D82">
              <w:rPr>
                <w:rFonts w:ascii="Calibri" w:eastAsia="Times New Roman" w:hAnsi="Calibri" w:cs="Times New Roman"/>
                <w:color w:val="000000"/>
              </w:rPr>
              <w:t>Adam (1e-2)</w:t>
            </w:r>
          </w:p>
        </w:tc>
        <w:tc>
          <w:tcPr>
            <w:tcW w:w="1920" w:type="dxa"/>
            <w:noWrap/>
            <w:hideMark/>
          </w:tcPr>
          <w:p w14:paraId="7B539B0B" w14:textId="77777777" w:rsidR="00AD2F03" w:rsidRPr="00B23D8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B23D82">
              <w:rPr>
                <w:rFonts w:ascii="Calibri" w:eastAsia="Times New Roman" w:hAnsi="Calibri" w:cs="Times New Roman"/>
                <w:color w:val="000000"/>
              </w:rPr>
              <w:t>0.59</w:t>
            </w:r>
          </w:p>
        </w:tc>
        <w:tc>
          <w:tcPr>
            <w:tcW w:w="1896" w:type="dxa"/>
            <w:noWrap/>
            <w:hideMark/>
          </w:tcPr>
          <w:p w14:paraId="516FE6BD" w14:textId="77777777" w:rsidR="00AD2F03" w:rsidRPr="00B23D82" w:rsidRDefault="00AD2F03" w:rsidP="00E65C03">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B23D82">
              <w:rPr>
                <w:rFonts w:ascii="Calibri" w:eastAsia="Times New Roman" w:hAnsi="Calibri" w:cs="Times New Roman"/>
                <w:color w:val="000000"/>
              </w:rPr>
              <w:t>0.81</w:t>
            </w:r>
          </w:p>
        </w:tc>
      </w:tr>
      <w:tr w:rsidR="00AD2F03" w:rsidRPr="00B23D82" w14:paraId="0DE6A705" w14:textId="77777777" w:rsidTr="00E65C03">
        <w:trPr>
          <w:trHeight w:val="300"/>
        </w:trPr>
        <w:tc>
          <w:tcPr>
            <w:cnfStyle w:val="001000000000" w:firstRow="0" w:lastRow="0" w:firstColumn="1" w:lastColumn="0" w:oddVBand="0" w:evenVBand="0" w:oddHBand="0" w:evenHBand="0" w:firstRowFirstColumn="0" w:firstRowLastColumn="0" w:lastRowFirstColumn="0" w:lastRowLastColumn="0"/>
            <w:tcW w:w="2756" w:type="dxa"/>
            <w:noWrap/>
            <w:hideMark/>
          </w:tcPr>
          <w:p w14:paraId="3BBFA3C3" w14:textId="77777777" w:rsidR="00AD2F03" w:rsidRPr="00B23D82" w:rsidRDefault="00AD2F03" w:rsidP="00E65C03">
            <w:pPr>
              <w:spacing w:line="240" w:lineRule="auto"/>
              <w:rPr>
                <w:rFonts w:ascii="Calibri" w:eastAsia="Times New Roman" w:hAnsi="Calibri" w:cs="Times New Roman"/>
                <w:color w:val="000000"/>
              </w:rPr>
            </w:pPr>
            <w:r w:rsidRPr="00B23D82">
              <w:rPr>
                <w:rFonts w:ascii="Calibri" w:eastAsia="Times New Roman" w:hAnsi="Calibri" w:cs="Times New Roman"/>
                <w:color w:val="000000"/>
              </w:rPr>
              <w:t>Adamax (2e-3)</w:t>
            </w:r>
          </w:p>
        </w:tc>
        <w:tc>
          <w:tcPr>
            <w:tcW w:w="1920" w:type="dxa"/>
            <w:noWrap/>
            <w:hideMark/>
          </w:tcPr>
          <w:p w14:paraId="41FA3A3E" w14:textId="77777777" w:rsidR="00AD2F03" w:rsidRPr="00B23D8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B23D82">
              <w:rPr>
                <w:rFonts w:ascii="Calibri" w:eastAsia="Times New Roman" w:hAnsi="Calibri" w:cs="Times New Roman"/>
                <w:color w:val="000000"/>
              </w:rPr>
              <w:t>0.59</w:t>
            </w:r>
          </w:p>
        </w:tc>
        <w:tc>
          <w:tcPr>
            <w:tcW w:w="1896" w:type="dxa"/>
            <w:noWrap/>
            <w:hideMark/>
          </w:tcPr>
          <w:p w14:paraId="37994486" w14:textId="77777777" w:rsidR="00AD2F03" w:rsidRPr="00B23D82" w:rsidRDefault="00AD2F03" w:rsidP="00E65C03">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rPr>
            </w:pPr>
            <w:r w:rsidRPr="00B23D82">
              <w:rPr>
                <w:rFonts w:ascii="Calibri" w:eastAsia="Times New Roman" w:hAnsi="Calibri" w:cs="Times New Roman"/>
                <w:b/>
                <w:bCs/>
                <w:color w:val="000000"/>
              </w:rPr>
              <w:t>0.85</w:t>
            </w:r>
          </w:p>
        </w:tc>
      </w:tr>
    </w:tbl>
    <w:p w14:paraId="64A2123A" w14:textId="77777777" w:rsidR="00AD2F03" w:rsidRDefault="00AD2F03" w:rsidP="00AD2F03">
      <w:pPr>
        <w:ind w:firstLine="720"/>
      </w:pPr>
    </w:p>
    <w:p w14:paraId="38A229BD" w14:textId="77777777" w:rsidR="00AD2F03" w:rsidRDefault="00AD2F03" w:rsidP="002F1077">
      <w:pPr>
        <w:keepNext/>
        <w:ind w:firstLine="720"/>
        <w:jc w:val="center"/>
      </w:pPr>
      <w:r>
        <w:rPr>
          <w:noProof/>
          <w:lang w:bidi="ar-SA"/>
        </w:rPr>
        <w:lastRenderedPageBreak/>
        <w:drawing>
          <wp:inline distT="0" distB="0" distL="0" distR="0" wp14:anchorId="5C029E2C" wp14:editId="6B7AF27F">
            <wp:extent cx="5612130" cy="6359525"/>
            <wp:effectExtent l="0" t="0" r="7620" b="31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612130" cy="6359525"/>
                    </a:xfrm>
                    <a:prstGeom prst="rect">
                      <a:avLst/>
                    </a:prstGeom>
                    <a:noFill/>
                    <a:ln>
                      <a:noFill/>
                    </a:ln>
                  </pic:spPr>
                </pic:pic>
              </a:graphicData>
            </a:graphic>
          </wp:inline>
        </w:drawing>
      </w:r>
    </w:p>
    <w:p w14:paraId="40281C5D" w14:textId="77777777" w:rsidR="00AD2F03" w:rsidRPr="00E64C28" w:rsidRDefault="00AD2F03" w:rsidP="00607DF1">
      <w:pPr>
        <w:pStyle w:val="Caption"/>
        <w:rPr>
          <w:i/>
        </w:rPr>
      </w:pPr>
      <w:bookmarkStart w:id="261" w:name="_Ref20582771"/>
      <w:bookmarkStart w:id="262" w:name="_Toc26534517"/>
      <w:r w:rsidRPr="00E64C28">
        <w:t xml:space="preserve">Figure </w:t>
      </w:r>
      <w:r w:rsidR="00CE1F3C">
        <w:fldChar w:fldCharType="begin"/>
      </w:r>
      <w:r w:rsidR="00CE1F3C">
        <w:instrText xml:space="preserve"> SEQ Figure \* ARABIC </w:instrText>
      </w:r>
      <w:r w:rsidR="00CE1F3C">
        <w:fldChar w:fldCharType="separate"/>
      </w:r>
      <w:r w:rsidR="00A82C54">
        <w:rPr>
          <w:noProof/>
        </w:rPr>
        <w:t>17</w:t>
      </w:r>
      <w:r w:rsidR="00CE1F3C">
        <w:rPr>
          <w:noProof/>
        </w:rPr>
        <w:fldChar w:fldCharType="end"/>
      </w:r>
      <w:bookmarkEnd w:id="261"/>
      <w:r w:rsidRPr="00E64C28">
        <w:t xml:space="preserve">: </w:t>
      </w:r>
      <w:r>
        <w:t xml:space="preserve">Accuracy </w:t>
      </w:r>
      <w:r w:rsidR="00C653C3" w:rsidRPr="00852292">
        <w:t>per epoch for training and validation sets for different models and optimizers trained on the UCMerced dataset. The left column shows results for VGG19 models. The right column shows results for Inception V3 models. The first row shows shallow models, center shows intermediate, bottom shows deep models. Different colors represent different optimizers. Different and line style represent different datasets (solid for training, dashed for validation)</w:t>
      </w:r>
      <w:r w:rsidRPr="00E64C28">
        <w:t>.</w:t>
      </w:r>
      <w:bookmarkEnd w:id="262"/>
    </w:p>
    <w:p w14:paraId="5DD4FA6B" w14:textId="77777777" w:rsidR="00AD2F03" w:rsidRDefault="00AD2F03" w:rsidP="00AD2F03">
      <w:pPr>
        <w:keepNext/>
      </w:pPr>
    </w:p>
    <w:p w14:paraId="4E97C485" w14:textId="77777777" w:rsidR="00AD2F03" w:rsidRDefault="00AD2F03" w:rsidP="002F1077">
      <w:pPr>
        <w:keepNext/>
        <w:jc w:val="center"/>
      </w:pPr>
      <w:r>
        <w:rPr>
          <w:noProof/>
          <w:lang w:bidi="ar-SA"/>
        </w:rPr>
        <w:drawing>
          <wp:inline distT="0" distB="0" distL="0" distR="0" wp14:anchorId="66B5DD48" wp14:editId="69F709C4">
            <wp:extent cx="5612130" cy="2355850"/>
            <wp:effectExtent l="0" t="0" r="762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612130" cy="2355850"/>
                    </a:xfrm>
                    <a:prstGeom prst="rect">
                      <a:avLst/>
                    </a:prstGeom>
                    <a:noFill/>
                    <a:ln>
                      <a:noFill/>
                    </a:ln>
                  </pic:spPr>
                </pic:pic>
              </a:graphicData>
            </a:graphic>
          </wp:inline>
        </w:drawing>
      </w:r>
    </w:p>
    <w:p w14:paraId="2F5B0081" w14:textId="77777777" w:rsidR="00AD2F03" w:rsidRDefault="00AD2F03" w:rsidP="00607DF1">
      <w:pPr>
        <w:pStyle w:val="Caption"/>
        <w:rPr>
          <w:i/>
        </w:rPr>
      </w:pPr>
      <w:bookmarkStart w:id="263" w:name="_Ref20582236"/>
      <w:bookmarkStart w:id="264" w:name="_Toc26534518"/>
      <w:r w:rsidRPr="00E8704D">
        <w:t xml:space="preserve">Figure </w:t>
      </w:r>
      <w:r w:rsidR="00CE1F3C">
        <w:fldChar w:fldCharType="begin"/>
      </w:r>
      <w:r w:rsidR="00CE1F3C">
        <w:instrText xml:space="preserve"> SEQ Figure \* ARABIC </w:instrText>
      </w:r>
      <w:r w:rsidR="00CE1F3C">
        <w:fldChar w:fldCharType="separate"/>
      </w:r>
      <w:r w:rsidR="00A82C54">
        <w:rPr>
          <w:noProof/>
        </w:rPr>
        <w:t>18</w:t>
      </w:r>
      <w:r w:rsidR="00CE1F3C">
        <w:rPr>
          <w:noProof/>
        </w:rPr>
        <w:fldChar w:fldCharType="end"/>
      </w:r>
      <w:bookmarkEnd w:id="263"/>
      <w:r w:rsidRPr="00E8704D">
        <w:t>:</w:t>
      </w:r>
      <w:r>
        <w:t xml:space="preserve"> </w:t>
      </w:r>
      <w:r w:rsidR="00C653C3" w:rsidRPr="00852292">
        <w:t>Test set accuracy obtained by the models using different optimizers training on the same UCMerced dataset. The left panel shows VGG 19 results, right panel shows Inception V3 results</w:t>
      </w:r>
      <w:r>
        <w:t>.</w:t>
      </w:r>
      <w:bookmarkEnd w:id="264"/>
      <w:r w:rsidRPr="00E8704D">
        <w:t xml:space="preserve"> </w:t>
      </w:r>
    </w:p>
    <w:p w14:paraId="512F14B4" w14:textId="77777777" w:rsidR="00AD2F03" w:rsidRDefault="00AD2F03" w:rsidP="00AD2F03"/>
    <w:p w14:paraId="163A0DF1" w14:textId="77777777" w:rsidR="00AD2F03" w:rsidRDefault="00AD2F03" w:rsidP="002F1077">
      <w:pPr>
        <w:jc w:val="center"/>
      </w:pPr>
      <w:r>
        <w:rPr>
          <w:noProof/>
          <w:lang w:bidi="ar-SA"/>
        </w:rPr>
        <w:drawing>
          <wp:inline distT="0" distB="0" distL="0" distR="0" wp14:anchorId="453E92A6" wp14:editId="0C8CBA1B">
            <wp:extent cx="5612130" cy="2355850"/>
            <wp:effectExtent l="0" t="0" r="762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612130" cy="2355850"/>
                    </a:xfrm>
                    <a:prstGeom prst="rect">
                      <a:avLst/>
                    </a:prstGeom>
                    <a:noFill/>
                    <a:ln>
                      <a:noFill/>
                    </a:ln>
                  </pic:spPr>
                </pic:pic>
              </a:graphicData>
            </a:graphic>
          </wp:inline>
        </w:drawing>
      </w:r>
    </w:p>
    <w:p w14:paraId="4C359424" w14:textId="77777777" w:rsidR="00AD2F03" w:rsidRDefault="00AD2F03" w:rsidP="00607DF1">
      <w:pPr>
        <w:pStyle w:val="Caption"/>
        <w:rPr>
          <w:i/>
        </w:rPr>
      </w:pPr>
      <w:bookmarkStart w:id="265" w:name="_Ref20852732"/>
      <w:bookmarkStart w:id="266" w:name="_Toc26534519"/>
      <w:r w:rsidRPr="00E8704D">
        <w:t xml:space="preserve">Figure </w:t>
      </w:r>
      <w:r w:rsidR="00CE1F3C">
        <w:fldChar w:fldCharType="begin"/>
      </w:r>
      <w:r w:rsidR="00CE1F3C">
        <w:instrText xml:space="preserve"> SEQ Figure \* ARABIC </w:instrText>
      </w:r>
      <w:r w:rsidR="00CE1F3C">
        <w:fldChar w:fldCharType="separate"/>
      </w:r>
      <w:r w:rsidR="00A82C54">
        <w:rPr>
          <w:noProof/>
        </w:rPr>
        <w:t>19</w:t>
      </w:r>
      <w:r w:rsidR="00CE1F3C">
        <w:rPr>
          <w:noProof/>
        </w:rPr>
        <w:fldChar w:fldCharType="end"/>
      </w:r>
      <w:bookmarkEnd w:id="265"/>
      <w:r w:rsidRPr="00E8704D">
        <w:t>:</w:t>
      </w:r>
      <w:r>
        <w:t xml:space="preserve"> </w:t>
      </w:r>
      <w:r w:rsidR="00C653C3" w:rsidRPr="00852292">
        <w:t xml:space="preserve">Difference between training set and test set accuracy obtained by the models using different optimizers training on the same UCMerced dataset. The left panel shows VGG 19 results, right panel shows Inception V3 results. Note, as shown in </w:t>
      </w:r>
      <w:r w:rsidR="00C653C3" w:rsidRPr="00852292">
        <w:rPr>
          <w:i/>
        </w:rPr>
        <w:fldChar w:fldCharType="begin"/>
      </w:r>
      <w:r w:rsidR="00C653C3" w:rsidRPr="00852292">
        <w:instrText xml:space="preserve"> REF _Ref20582236 \h </w:instrText>
      </w:r>
      <w:r w:rsidR="00C653C3" w:rsidRPr="00852292">
        <w:rPr>
          <w:i/>
        </w:rPr>
        <w:instrText xml:space="preserve"> \* MERGEFORMAT </w:instrText>
      </w:r>
      <w:r w:rsidR="00C653C3" w:rsidRPr="00852292">
        <w:rPr>
          <w:i/>
        </w:rPr>
      </w:r>
      <w:r w:rsidR="00C653C3" w:rsidRPr="00852292">
        <w:rPr>
          <w:i/>
        </w:rPr>
        <w:fldChar w:fldCharType="separate"/>
      </w:r>
      <w:r w:rsidR="00C653C3" w:rsidRPr="00852292">
        <w:t xml:space="preserve">Figure </w:t>
      </w:r>
      <w:r w:rsidR="00C653C3" w:rsidRPr="00852292">
        <w:rPr>
          <w:noProof/>
        </w:rPr>
        <w:t>4</w:t>
      </w:r>
      <w:r w:rsidR="00C653C3" w:rsidRPr="00852292">
        <w:rPr>
          <w:i/>
        </w:rPr>
        <w:fldChar w:fldCharType="end"/>
      </w:r>
      <w:r w:rsidR="00C653C3" w:rsidRPr="00852292">
        <w:t>, that SGD (1e-2), Adam (1e-2), and Adamax (2e-3) results of theVGG19 intermediate and deep models remained stuck on local minima</w:t>
      </w:r>
      <w:r>
        <w:t>.</w:t>
      </w:r>
      <w:bookmarkEnd w:id="266"/>
      <w:r>
        <w:t xml:space="preserve"> </w:t>
      </w:r>
    </w:p>
    <w:p w14:paraId="3E810EC2" w14:textId="77777777" w:rsidR="00AD2F03" w:rsidRPr="00584C62" w:rsidRDefault="00AD2F03" w:rsidP="00AD2F03"/>
    <w:p w14:paraId="781FEE9B" w14:textId="77777777" w:rsidR="00AD2F03" w:rsidRDefault="0011424B" w:rsidP="0011424B">
      <w:pPr>
        <w:pStyle w:val="Heading3"/>
      </w:pPr>
      <w:bookmarkStart w:id="267" w:name="_Toc26534640"/>
      <w:r>
        <w:lastRenderedPageBreak/>
        <w:t xml:space="preserve">4.2 </w:t>
      </w:r>
      <w:r w:rsidR="00AD2F03">
        <w:t>General to specific layer transition of CNN models</w:t>
      </w:r>
      <w:bookmarkEnd w:id="267"/>
    </w:p>
    <w:p w14:paraId="7C11B11B" w14:textId="77777777" w:rsidR="00C653C3" w:rsidRPr="00852292" w:rsidRDefault="00AD2F03" w:rsidP="00C653C3">
      <w:pPr>
        <w:ind w:firstLine="720"/>
        <w:rPr>
          <w:rFonts w:ascii="Times New Roman" w:hAnsi="Times New Roman"/>
        </w:rPr>
      </w:pPr>
      <w:r>
        <w:t xml:space="preserve">This </w:t>
      </w:r>
      <w:r w:rsidR="00C653C3" w:rsidRPr="00852292">
        <w:rPr>
          <w:rFonts w:ascii="Times New Roman" w:hAnsi="Times New Roman"/>
        </w:rPr>
        <w:t xml:space="preserve">section shows the results of transfer learning, both feature extraction and fine tuning modes, as well as training the models with randomly initialized weights. </w:t>
      </w:r>
      <w:r w:rsidR="00C653C3" w:rsidRPr="00852292">
        <w:rPr>
          <w:rFonts w:ascii="Times New Roman" w:hAnsi="Times New Roman"/>
        </w:rPr>
        <w:fldChar w:fldCharType="begin"/>
      </w:r>
      <w:r w:rsidR="00C653C3" w:rsidRPr="00852292">
        <w:rPr>
          <w:rFonts w:ascii="Times New Roman" w:hAnsi="Times New Roman"/>
        </w:rPr>
        <w:instrText xml:space="preserve"> REF _Ref20860278 \h  \* MERGEFORMAT </w:instrText>
      </w:r>
      <w:r w:rsidR="00C653C3" w:rsidRPr="00852292">
        <w:rPr>
          <w:rFonts w:ascii="Times New Roman" w:hAnsi="Times New Roman"/>
        </w:rPr>
      </w:r>
      <w:r w:rsidR="00C653C3" w:rsidRPr="00852292">
        <w:rPr>
          <w:rFonts w:ascii="Times New Roman" w:hAnsi="Times New Roman"/>
        </w:rPr>
        <w:fldChar w:fldCharType="separate"/>
      </w:r>
      <w:r w:rsidR="00C653C3" w:rsidRPr="00852292">
        <w:rPr>
          <w:rFonts w:ascii="Times New Roman" w:hAnsi="Times New Roman"/>
        </w:rPr>
        <w:t xml:space="preserve">Table </w:t>
      </w:r>
      <w:r w:rsidR="00C653C3" w:rsidRPr="00852292">
        <w:rPr>
          <w:rFonts w:ascii="Times New Roman" w:hAnsi="Times New Roman"/>
          <w:noProof/>
        </w:rPr>
        <w:t>7</w:t>
      </w:r>
      <w:r w:rsidR="00C653C3" w:rsidRPr="00852292">
        <w:rPr>
          <w:rFonts w:ascii="Times New Roman" w:hAnsi="Times New Roman"/>
        </w:rPr>
        <w:fldChar w:fldCharType="end"/>
      </w:r>
      <w:r w:rsidR="00C653C3" w:rsidRPr="00852292">
        <w:rPr>
          <w:rFonts w:ascii="Times New Roman" w:hAnsi="Times New Roman"/>
        </w:rPr>
        <w:t xml:space="preserve"> shows a summary of the best performance Inception V3 and VGG19 trained using SGD (1e-3) momentum 0.9. We chose SGD (1e-3) momentum 0.9 as it is the optimizer with the second-best median in </w:t>
      </w:r>
      <w:r w:rsidR="00C653C3" w:rsidRPr="00852292">
        <w:rPr>
          <w:rFonts w:ascii="Times New Roman" w:hAnsi="Times New Roman"/>
        </w:rPr>
        <w:fldChar w:fldCharType="begin"/>
      </w:r>
      <w:r w:rsidR="00C653C3" w:rsidRPr="00852292">
        <w:rPr>
          <w:rFonts w:ascii="Times New Roman" w:hAnsi="Times New Roman"/>
        </w:rPr>
        <w:instrText xml:space="preserve"> REF _Ref20583273 \h  \* MERGEFORMAT </w:instrText>
      </w:r>
      <w:r w:rsidR="00C653C3" w:rsidRPr="00852292">
        <w:rPr>
          <w:rFonts w:ascii="Times New Roman" w:hAnsi="Times New Roman"/>
        </w:rPr>
      </w:r>
      <w:r w:rsidR="00C653C3" w:rsidRPr="00852292">
        <w:rPr>
          <w:rFonts w:ascii="Times New Roman" w:hAnsi="Times New Roman"/>
        </w:rPr>
        <w:fldChar w:fldCharType="separate"/>
      </w:r>
      <w:r w:rsidR="00C653C3" w:rsidRPr="00852292">
        <w:rPr>
          <w:rFonts w:ascii="Times New Roman" w:hAnsi="Times New Roman"/>
        </w:rPr>
        <w:t xml:space="preserve">Table </w:t>
      </w:r>
      <w:r w:rsidR="00C653C3" w:rsidRPr="00852292">
        <w:rPr>
          <w:rFonts w:ascii="Times New Roman" w:hAnsi="Times New Roman"/>
          <w:noProof/>
        </w:rPr>
        <w:t>6</w:t>
      </w:r>
      <w:r w:rsidR="00C653C3" w:rsidRPr="00852292">
        <w:rPr>
          <w:rFonts w:ascii="Times New Roman" w:hAnsi="Times New Roman"/>
        </w:rPr>
        <w:fldChar w:fldCharType="end"/>
      </w:r>
      <w:r w:rsidR="00C653C3" w:rsidRPr="00852292">
        <w:rPr>
          <w:rFonts w:ascii="Times New Roman" w:hAnsi="Times New Roman"/>
        </w:rPr>
        <w:t xml:space="preserve">, and did not become stuck in local minima. The table shows, for each dataset and for each model, which depth and training mode achieved the highest accuracy in the test set. We select AID trained on Inception V3 intermediate, one out of the 54 experiments (three datasets, two models, three depths, three training modes), to provide more details of the training loss-accuracy and the confusion matrix computed for the test set. </w:t>
      </w:r>
      <w:r w:rsidR="00C653C3" w:rsidRPr="00852292">
        <w:rPr>
          <w:rFonts w:ascii="Times New Roman" w:hAnsi="Times New Roman"/>
        </w:rPr>
        <w:fldChar w:fldCharType="begin"/>
      </w:r>
      <w:r w:rsidR="00C653C3" w:rsidRPr="00852292">
        <w:rPr>
          <w:rFonts w:ascii="Times New Roman" w:hAnsi="Times New Roman"/>
        </w:rPr>
        <w:instrText xml:space="preserve"> REF _Ref20768645 \h  \* MERGEFORMAT </w:instrText>
      </w:r>
      <w:r w:rsidR="00C653C3" w:rsidRPr="00852292">
        <w:rPr>
          <w:rFonts w:ascii="Times New Roman" w:hAnsi="Times New Roman"/>
        </w:rPr>
      </w:r>
      <w:r w:rsidR="00C653C3" w:rsidRPr="00852292">
        <w:rPr>
          <w:rFonts w:ascii="Times New Roman" w:hAnsi="Times New Roman"/>
        </w:rPr>
        <w:fldChar w:fldCharType="separate"/>
      </w:r>
      <w:r w:rsidR="00C653C3" w:rsidRPr="00852292">
        <w:rPr>
          <w:rFonts w:ascii="Times New Roman" w:hAnsi="Times New Roman"/>
        </w:rPr>
        <w:t>Figure 5</w:t>
      </w:r>
      <w:r w:rsidR="00C653C3" w:rsidRPr="00852292">
        <w:rPr>
          <w:rFonts w:ascii="Times New Roman" w:hAnsi="Times New Roman"/>
        </w:rPr>
        <w:fldChar w:fldCharType="end"/>
      </w:r>
      <w:r w:rsidR="00C653C3" w:rsidRPr="00852292">
        <w:rPr>
          <w:rFonts w:ascii="Times New Roman" w:hAnsi="Times New Roman"/>
        </w:rPr>
        <w:t xml:space="preserve"> shows the training and validation loss and accuracy through the training epochs. </w:t>
      </w:r>
      <w:r w:rsidR="00C653C3" w:rsidRPr="00852292">
        <w:rPr>
          <w:rFonts w:ascii="Times New Roman" w:hAnsi="Times New Roman"/>
        </w:rPr>
        <w:fldChar w:fldCharType="begin"/>
      </w:r>
      <w:r w:rsidR="00C653C3" w:rsidRPr="00852292">
        <w:rPr>
          <w:rFonts w:ascii="Times New Roman" w:hAnsi="Times New Roman"/>
        </w:rPr>
        <w:instrText xml:space="preserve"> REF _Ref20768835 \h  \* MERGEFORMAT </w:instrText>
      </w:r>
      <w:r w:rsidR="00C653C3" w:rsidRPr="00852292">
        <w:rPr>
          <w:rFonts w:ascii="Times New Roman" w:hAnsi="Times New Roman"/>
        </w:rPr>
      </w:r>
      <w:r w:rsidR="00C653C3" w:rsidRPr="00852292">
        <w:rPr>
          <w:rFonts w:ascii="Times New Roman" w:hAnsi="Times New Roman"/>
        </w:rPr>
        <w:fldChar w:fldCharType="separate"/>
      </w:r>
      <w:r w:rsidR="00C653C3" w:rsidRPr="00852292">
        <w:rPr>
          <w:rFonts w:ascii="Times New Roman" w:hAnsi="Times New Roman"/>
        </w:rPr>
        <w:t>Figure 6</w:t>
      </w:r>
      <w:r w:rsidR="00C653C3" w:rsidRPr="00852292">
        <w:rPr>
          <w:rFonts w:ascii="Times New Roman" w:hAnsi="Times New Roman"/>
        </w:rPr>
        <w:fldChar w:fldCharType="end"/>
      </w:r>
      <w:r w:rsidR="00C653C3" w:rsidRPr="00852292">
        <w:rPr>
          <w:rFonts w:ascii="Times New Roman" w:hAnsi="Times New Roman"/>
        </w:rPr>
        <w:t xml:space="preserve"> shows the correspondent confusion matrix computed on the AID test set. </w:t>
      </w:r>
    </w:p>
    <w:p w14:paraId="4DC4624D" w14:textId="77777777" w:rsidR="00C653C3" w:rsidRPr="00852292" w:rsidRDefault="00C653C3" w:rsidP="00C653C3">
      <w:pPr>
        <w:ind w:firstLine="720"/>
        <w:rPr>
          <w:rFonts w:ascii="Times New Roman" w:hAnsi="Times New Roman"/>
        </w:rPr>
      </w:pPr>
      <w:r w:rsidRPr="00852292">
        <w:rPr>
          <w:rFonts w:ascii="Times New Roman" w:hAnsi="Times New Roman"/>
        </w:rPr>
        <w:fldChar w:fldCharType="begin"/>
      </w:r>
      <w:r w:rsidRPr="00852292">
        <w:rPr>
          <w:rFonts w:ascii="Times New Roman" w:hAnsi="Times New Roman"/>
        </w:rPr>
        <w:instrText xml:space="preserve"> REF _Ref20768906 \h  \* MERGEFORMAT </w:instrText>
      </w:r>
      <w:r w:rsidRPr="00852292">
        <w:rPr>
          <w:rFonts w:ascii="Times New Roman" w:hAnsi="Times New Roman"/>
        </w:rPr>
      </w:r>
      <w:r w:rsidRPr="00852292">
        <w:rPr>
          <w:rFonts w:ascii="Times New Roman" w:hAnsi="Times New Roman"/>
        </w:rPr>
        <w:fldChar w:fldCharType="separate"/>
      </w:r>
      <w:r w:rsidRPr="00852292">
        <w:rPr>
          <w:rFonts w:ascii="Times New Roman" w:hAnsi="Times New Roman"/>
        </w:rPr>
        <w:t>Figure 8</w:t>
      </w:r>
      <w:r w:rsidRPr="00852292">
        <w:rPr>
          <w:rFonts w:ascii="Times New Roman" w:hAnsi="Times New Roman"/>
        </w:rPr>
        <w:fldChar w:fldCharType="end"/>
      </w:r>
      <w:r w:rsidRPr="00852292">
        <w:rPr>
          <w:rFonts w:ascii="Times New Roman" w:hAnsi="Times New Roman"/>
        </w:rPr>
        <w:t xml:space="preserve"> shows an overview of the complete experiment on the test set. The figure shows the test set accuracy for all the datasets, for all the models’ depths and training mode. This test was run on a NVIDIA GeForce RTX 2060 and it took roughly six days to complete.</w:t>
      </w:r>
    </w:p>
    <w:p w14:paraId="01FC09CE" w14:textId="77777777" w:rsidR="00C653C3" w:rsidRPr="00852292" w:rsidRDefault="00C653C3" w:rsidP="00C653C3">
      <w:pPr>
        <w:ind w:firstLine="720"/>
        <w:rPr>
          <w:rFonts w:ascii="Times New Roman" w:hAnsi="Times New Roman"/>
        </w:rPr>
      </w:pPr>
      <w:r w:rsidRPr="00852292">
        <w:rPr>
          <w:rFonts w:ascii="Times New Roman" w:hAnsi="Times New Roman"/>
        </w:rPr>
        <w:t xml:space="preserve">We then select all the six models trained on PatternNet with randomly initialized weights and we perform transfer learning, using the same methodology as before. Thus, we first train CNN models on PatternNet and then apply transfer learning to train on AID and UCMerced. Note this is slightly different than the transfer learning performed before, where we split a single model in three different parts. Here we use the model in their original form (shallow, intermediate, or deep). Loss decays and confusion matrix figures, as well as the complete table with all test accuracies are provided in the supplemental materials. </w:t>
      </w:r>
      <w:r w:rsidRPr="00852292">
        <w:rPr>
          <w:rFonts w:ascii="Times New Roman" w:hAnsi="Times New Roman"/>
        </w:rPr>
        <w:fldChar w:fldCharType="begin"/>
      </w:r>
      <w:r w:rsidRPr="00852292">
        <w:rPr>
          <w:rFonts w:ascii="Times New Roman" w:hAnsi="Times New Roman"/>
        </w:rPr>
        <w:instrText xml:space="preserve"> REF _Ref21124745 \h  \* MERGEFORMAT </w:instrText>
      </w:r>
      <w:r w:rsidRPr="00852292">
        <w:rPr>
          <w:rFonts w:ascii="Times New Roman" w:hAnsi="Times New Roman"/>
        </w:rPr>
      </w:r>
      <w:r w:rsidRPr="00852292">
        <w:rPr>
          <w:rFonts w:ascii="Times New Roman" w:hAnsi="Times New Roman"/>
        </w:rPr>
        <w:fldChar w:fldCharType="separate"/>
      </w:r>
      <w:r w:rsidRPr="00852292">
        <w:rPr>
          <w:rFonts w:ascii="Times New Roman" w:hAnsi="Times New Roman"/>
        </w:rPr>
        <w:t xml:space="preserve">Table </w:t>
      </w:r>
      <w:r w:rsidRPr="00852292">
        <w:rPr>
          <w:rFonts w:ascii="Times New Roman" w:hAnsi="Times New Roman"/>
          <w:noProof/>
        </w:rPr>
        <w:t>8</w:t>
      </w:r>
      <w:r w:rsidRPr="00852292">
        <w:rPr>
          <w:rFonts w:ascii="Times New Roman" w:hAnsi="Times New Roman"/>
        </w:rPr>
        <w:fldChar w:fldCharType="end"/>
      </w:r>
      <w:r w:rsidRPr="00852292">
        <w:rPr>
          <w:rFonts w:ascii="Times New Roman" w:hAnsi="Times New Roman"/>
        </w:rPr>
        <w:t xml:space="preserve"> shows the best performing Inception V3 and VGG19 for each one of the datasets.</w:t>
      </w:r>
    </w:p>
    <w:p w14:paraId="3D10D18B" w14:textId="77777777" w:rsidR="00AD2F03" w:rsidRDefault="00C653C3" w:rsidP="00C653C3">
      <w:pPr>
        <w:ind w:firstLine="720"/>
      </w:pPr>
      <w:r w:rsidRPr="00852292">
        <w:rPr>
          <w:rFonts w:ascii="Times New Roman" w:hAnsi="Times New Roman"/>
        </w:rPr>
        <w:lastRenderedPageBreak/>
        <w:t xml:space="preserve">We repeat transfer learning tests with </w:t>
      </w:r>
      <w:r w:rsidRPr="00852292">
        <w:rPr>
          <w:rFonts w:ascii="Times New Roman" w:hAnsi="Times New Roman"/>
          <w:color w:val="000000"/>
        </w:rPr>
        <w:t xml:space="preserve">Adamax (2e-3), the optimizer with best median performance on </w:t>
      </w:r>
      <w:r w:rsidRPr="00852292">
        <w:rPr>
          <w:rFonts w:ascii="Times New Roman" w:hAnsi="Times New Roman"/>
          <w:color w:val="000000"/>
        </w:rPr>
        <w:fldChar w:fldCharType="begin"/>
      </w:r>
      <w:r w:rsidRPr="00852292">
        <w:rPr>
          <w:rFonts w:ascii="Times New Roman" w:hAnsi="Times New Roman"/>
          <w:color w:val="000000"/>
        </w:rPr>
        <w:instrText xml:space="preserve"> REF _Ref20583273 \h  \* MERGEFORMAT </w:instrText>
      </w:r>
      <w:r w:rsidRPr="00852292">
        <w:rPr>
          <w:rFonts w:ascii="Times New Roman" w:hAnsi="Times New Roman"/>
          <w:color w:val="000000"/>
        </w:rPr>
      </w:r>
      <w:r w:rsidRPr="00852292">
        <w:rPr>
          <w:rFonts w:ascii="Times New Roman" w:hAnsi="Times New Roman"/>
          <w:color w:val="000000"/>
        </w:rPr>
        <w:fldChar w:fldCharType="separate"/>
      </w:r>
      <w:r w:rsidRPr="00852292">
        <w:rPr>
          <w:rFonts w:ascii="Times New Roman" w:hAnsi="Times New Roman"/>
        </w:rPr>
        <w:t xml:space="preserve">Table </w:t>
      </w:r>
      <w:r w:rsidRPr="00852292">
        <w:rPr>
          <w:rFonts w:ascii="Times New Roman" w:hAnsi="Times New Roman"/>
          <w:noProof/>
        </w:rPr>
        <w:t>6</w:t>
      </w:r>
      <w:r w:rsidRPr="00852292">
        <w:rPr>
          <w:rFonts w:ascii="Times New Roman" w:hAnsi="Times New Roman"/>
          <w:color w:val="000000"/>
        </w:rPr>
        <w:fldChar w:fldCharType="end"/>
      </w:r>
      <w:r w:rsidRPr="00852292">
        <w:rPr>
          <w:rFonts w:ascii="Times New Roman" w:hAnsi="Times New Roman"/>
          <w:color w:val="000000"/>
        </w:rPr>
        <w:t>, although falling in local minima in some tests</w:t>
      </w:r>
      <w:r w:rsidRPr="00852292">
        <w:rPr>
          <w:rFonts w:ascii="Times New Roman" w:hAnsi="Times New Roman"/>
        </w:rPr>
        <w:t xml:space="preserve">. </w:t>
      </w:r>
      <w:r w:rsidRPr="00852292">
        <w:rPr>
          <w:rFonts w:ascii="Times New Roman" w:hAnsi="Times New Roman"/>
        </w:rPr>
        <w:fldChar w:fldCharType="begin"/>
      </w:r>
      <w:r w:rsidRPr="00852292">
        <w:rPr>
          <w:rFonts w:ascii="Times New Roman" w:hAnsi="Times New Roman"/>
        </w:rPr>
        <w:instrText xml:space="preserve"> REF _Ref21697335 \h  \* MERGEFORMAT </w:instrText>
      </w:r>
      <w:r w:rsidRPr="00852292">
        <w:rPr>
          <w:rFonts w:ascii="Times New Roman" w:hAnsi="Times New Roman"/>
        </w:rPr>
      </w:r>
      <w:r w:rsidRPr="00852292">
        <w:rPr>
          <w:rFonts w:ascii="Times New Roman" w:hAnsi="Times New Roman"/>
        </w:rPr>
        <w:fldChar w:fldCharType="separate"/>
      </w:r>
      <w:r w:rsidRPr="00852292">
        <w:rPr>
          <w:rFonts w:ascii="Times New Roman" w:hAnsi="Times New Roman"/>
        </w:rPr>
        <w:t xml:space="preserve">Table </w:t>
      </w:r>
      <w:r w:rsidRPr="00852292">
        <w:rPr>
          <w:rFonts w:ascii="Times New Roman" w:hAnsi="Times New Roman"/>
          <w:noProof/>
        </w:rPr>
        <w:t>9</w:t>
      </w:r>
      <w:r w:rsidRPr="00852292">
        <w:rPr>
          <w:rFonts w:ascii="Times New Roman" w:hAnsi="Times New Roman"/>
        </w:rPr>
        <w:fldChar w:fldCharType="end"/>
      </w:r>
      <w:r w:rsidRPr="00852292">
        <w:rPr>
          <w:rFonts w:ascii="Times New Roman" w:hAnsi="Times New Roman"/>
        </w:rPr>
        <w:t xml:space="preserve"> shows a summary of the best performing Inception V3 and VGG19 trained using Adamax (2e-3) for the three datasets used. </w:t>
      </w:r>
      <w:r w:rsidRPr="00852292">
        <w:rPr>
          <w:rFonts w:ascii="Times New Roman" w:hAnsi="Times New Roman"/>
        </w:rPr>
        <w:fldChar w:fldCharType="begin"/>
      </w:r>
      <w:r w:rsidRPr="00852292">
        <w:rPr>
          <w:rFonts w:ascii="Times New Roman" w:hAnsi="Times New Roman"/>
        </w:rPr>
        <w:instrText xml:space="preserve"> REF _Ref21697676 \h  \* MERGEFORMAT </w:instrText>
      </w:r>
      <w:r w:rsidRPr="00852292">
        <w:rPr>
          <w:rFonts w:ascii="Times New Roman" w:hAnsi="Times New Roman"/>
        </w:rPr>
      </w:r>
      <w:r w:rsidRPr="00852292">
        <w:rPr>
          <w:rFonts w:ascii="Times New Roman" w:hAnsi="Times New Roman"/>
        </w:rPr>
        <w:fldChar w:fldCharType="separate"/>
      </w:r>
      <w:r w:rsidRPr="00852292">
        <w:rPr>
          <w:rFonts w:ascii="Times New Roman" w:hAnsi="Times New Roman"/>
        </w:rPr>
        <w:t>Figure 9</w:t>
      </w:r>
      <w:r w:rsidRPr="00852292">
        <w:rPr>
          <w:rFonts w:ascii="Times New Roman" w:hAnsi="Times New Roman"/>
        </w:rPr>
        <w:fldChar w:fldCharType="end"/>
      </w:r>
      <w:r w:rsidRPr="00852292">
        <w:rPr>
          <w:rFonts w:ascii="Times New Roman" w:hAnsi="Times New Roman"/>
        </w:rPr>
        <w:t xml:space="preserve"> shows an overview of the complete experiment on the test set. We did not repeat the PatternNet to AID-UCMerced transfer learning using Adamax (2e-3) as results in </w:t>
      </w:r>
      <w:r w:rsidRPr="00852292">
        <w:rPr>
          <w:rFonts w:ascii="Times New Roman" w:hAnsi="Times New Roman"/>
        </w:rPr>
        <w:fldChar w:fldCharType="begin"/>
      </w:r>
      <w:r w:rsidRPr="00852292">
        <w:rPr>
          <w:rFonts w:ascii="Times New Roman" w:hAnsi="Times New Roman"/>
        </w:rPr>
        <w:instrText xml:space="preserve"> REF _Ref20860278 \h  \* MERGEFORMAT </w:instrText>
      </w:r>
      <w:r w:rsidRPr="00852292">
        <w:rPr>
          <w:rFonts w:ascii="Times New Roman" w:hAnsi="Times New Roman"/>
        </w:rPr>
      </w:r>
      <w:r w:rsidRPr="00852292">
        <w:rPr>
          <w:rFonts w:ascii="Times New Roman" w:hAnsi="Times New Roman"/>
        </w:rPr>
        <w:fldChar w:fldCharType="separate"/>
      </w:r>
      <w:r w:rsidRPr="00C653C3">
        <w:rPr>
          <w:rFonts w:ascii="Times New Roman" w:hAnsi="Times New Roman"/>
        </w:rPr>
        <w:t xml:space="preserve">Table </w:t>
      </w:r>
      <w:r w:rsidRPr="00C653C3">
        <w:rPr>
          <w:rFonts w:ascii="Times New Roman" w:hAnsi="Times New Roman"/>
          <w:noProof/>
        </w:rPr>
        <w:t>14</w:t>
      </w:r>
      <w:r w:rsidRPr="00852292">
        <w:rPr>
          <w:rFonts w:ascii="Times New Roman" w:hAnsi="Times New Roman"/>
        </w:rPr>
        <w:fldChar w:fldCharType="end"/>
      </w:r>
      <w:r w:rsidRPr="00852292">
        <w:rPr>
          <w:rFonts w:ascii="Times New Roman" w:hAnsi="Times New Roman"/>
        </w:rPr>
        <w:t xml:space="preserve"> are generally better than results in </w:t>
      </w:r>
      <w:r w:rsidR="00AD2F03">
        <w:fldChar w:fldCharType="begin"/>
      </w:r>
      <w:r w:rsidR="00AD2F03">
        <w:instrText xml:space="preserve"> REF _Ref21697335 \h </w:instrText>
      </w:r>
      <w:r w:rsidR="00AD2F03">
        <w:fldChar w:fldCharType="separate"/>
      </w:r>
      <w:r w:rsidR="001C535D">
        <w:t xml:space="preserve">Table </w:t>
      </w:r>
      <w:r w:rsidR="001C535D">
        <w:rPr>
          <w:noProof/>
        </w:rPr>
        <w:t>16</w:t>
      </w:r>
      <w:r w:rsidR="00AD2F03">
        <w:fldChar w:fldCharType="end"/>
      </w:r>
      <w:r w:rsidR="00AD2F03">
        <w:t>.</w:t>
      </w:r>
    </w:p>
    <w:p w14:paraId="494393B2" w14:textId="77777777" w:rsidR="00AD2F03" w:rsidRDefault="00AD2F03" w:rsidP="00607DF1">
      <w:pPr>
        <w:pStyle w:val="Caption"/>
      </w:pPr>
      <w:bookmarkStart w:id="268" w:name="_Ref20860278"/>
      <w:bookmarkStart w:id="269" w:name="_Toc26534551"/>
      <w:r>
        <w:t xml:space="preserve">Table </w:t>
      </w:r>
      <w:r w:rsidR="00CE1F3C">
        <w:fldChar w:fldCharType="begin"/>
      </w:r>
      <w:r w:rsidR="00CE1F3C">
        <w:instrText xml:space="preserve"> SEQ Table \* ARABIC </w:instrText>
      </w:r>
      <w:r w:rsidR="00CE1F3C">
        <w:fldChar w:fldCharType="separate"/>
      </w:r>
      <w:r w:rsidR="001C535D">
        <w:rPr>
          <w:noProof/>
        </w:rPr>
        <w:t>14</w:t>
      </w:r>
      <w:r w:rsidR="00CE1F3C">
        <w:rPr>
          <w:noProof/>
        </w:rPr>
        <w:fldChar w:fldCharType="end"/>
      </w:r>
      <w:bookmarkEnd w:id="268"/>
      <w:r>
        <w:t xml:space="preserve">: </w:t>
      </w:r>
      <w:r w:rsidRPr="00BB4BAB">
        <w:t xml:space="preserve">Best </w:t>
      </w:r>
      <w:r>
        <w:t>test set accuracy for Inception V3</w:t>
      </w:r>
      <w:r w:rsidRPr="00BB4BAB">
        <w:t xml:space="preserve"> and VGG19 version for each Dataset</w:t>
      </w:r>
      <w:r>
        <w:t xml:space="preserve"> using </w:t>
      </w:r>
      <w:r w:rsidRPr="00BB6E89">
        <w:t>SGD (1e-3) momentum 0.9</w:t>
      </w:r>
      <w:r>
        <w:t xml:space="preserve"> optimizer.</w:t>
      </w:r>
      <w:bookmarkEnd w:id="269"/>
    </w:p>
    <w:tbl>
      <w:tblPr>
        <w:tblW w:w="6222" w:type="dxa"/>
        <w:tblLook w:val="04A0" w:firstRow="1" w:lastRow="0" w:firstColumn="1" w:lastColumn="0" w:noHBand="0" w:noVBand="1"/>
      </w:tblPr>
      <w:tblGrid>
        <w:gridCol w:w="1300"/>
        <w:gridCol w:w="1457"/>
        <w:gridCol w:w="1488"/>
        <w:gridCol w:w="1133"/>
        <w:gridCol w:w="1083"/>
      </w:tblGrid>
      <w:tr w:rsidR="00AD2F03" w:rsidRPr="00BB4BAB" w14:paraId="33F52A0F" w14:textId="77777777" w:rsidTr="00E65C03">
        <w:trPr>
          <w:trHeight w:val="288"/>
        </w:trPr>
        <w:tc>
          <w:tcPr>
            <w:tcW w:w="12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85E81C" w14:textId="77777777" w:rsidR="00AD2F03" w:rsidRPr="00BB4BAB" w:rsidRDefault="00AD2F03" w:rsidP="00E65C03">
            <w:pPr>
              <w:spacing w:line="240" w:lineRule="auto"/>
              <w:rPr>
                <w:rFonts w:ascii="Calibri" w:hAnsi="Calibri"/>
                <w:b/>
                <w:bCs/>
                <w:color w:val="000000"/>
              </w:rPr>
            </w:pPr>
            <w:r>
              <w:rPr>
                <w:rFonts w:ascii="Calibri" w:hAnsi="Calibri"/>
                <w:b/>
                <w:bCs/>
                <w:color w:val="000000"/>
              </w:rPr>
              <w:t>Dataset</w:t>
            </w:r>
          </w:p>
        </w:tc>
        <w:tc>
          <w:tcPr>
            <w:tcW w:w="1457" w:type="dxa"/>
            <w:tcBorders>
              <w:top w:val="single" w:sz="4" w:space="0" w:color="auto"/>
              <w:left w:val="nil"/>
              <w:bottom w:val="single" w:sz="4" w:space="0" w:color="auto"/>
              <w:right w:val="single" w:sz="4" w:space="0" w:color="auto"/>
            </w:tcBorders>
            <w:shd w:val="clear" w:color="auto" w:fill="auto"/>
            <w:noWrap/>
            <w:vAlign w:val="bottom"/>
            <w:hideMark/>
          </w:tcPr>
          <w:p w14:paraId="6C2648D8" w14:textId="77777777" w:rsidR="00AD2F03" w:rsidRPr="00BB4BAB" w:rsidRDefault="00AD2F03" w:rsidP="00E65C03">
            <w:pPr>
              <w:spacing w:line="240" w:lineRule="auto"/>
              <w:rPr>
                <w:rFonts w:ascii="Calibri" w:hAnsi="Calibri"/>
                <w:b/>
                <w:bCs/>
                <w:color w:val="000000"/>
              </w:rPr>
            </w:pPr>
            <w:r>
              <w:rPr>
                <w:rFonts w:ascii="Calibri" w:hAnsi="Calibri"/>
                <w:b/>
                <w:bCs/>
                <w:color w:val="000000"/>
              </w:rPr>
              <w:t>model</w:t>
            </w:r>
          </w:p>
        </w:tc>
        <w:tc>
          <w:tcPr>
            <w:tcW w:w="1382" w:type="dxa"/>
            <w:tcBorders>
              <w:top w:val="single" w:sz="4" w:space="0" w:color="auto"/>
              <w:left w:val="nil"/>
              <w:bottom w:val="single" w:sz="4" w:space="0" w:color="auto"/>
              <w:right w:val="single" w:sz="4" w:space="0" w:color="auto"/>
            </w:tcBorders>
            <w:shd w:val="clear" w:color="auto" w:fill="auto"/>
            <w:noWrap/>
            <w:vAlign w:val="bottom"/>
            <w:hideMark/>
          </w:tcPr>
          <w:p w14:paraId="13C57C09" w14:textId="77777777" w:rsidR="00AD2F03" w:rsidRPr="00BB4BAB" w:rsidRDefault="00AD2F03" w:rsidP="00E65C03">
            <w:pPr>
              <w:spacing w:line="240" w:lineRule="auto"/>
              <w:rPr>
                <w:rFonts w:ascii="Calibri" w:hAnsi="Calibri"/>
                <w:b/>
                <w:bCs/>
                <w:color w:val="000000"/>
              </w:rPr>
            </w:pPr>
            <w:r>
              <w:rPr>
                <w:rFonts w:ascii="Calibri" w:hAnsi="Calibri"/>
                <w:b/>
                <w:bCs/>
                <w:color w:val="000000"/>
              </w:rPr>
              <w:t>depth</w:t>
            </w:r>
          </w:p>
        </w:tc>
        <w:tc>
          <w:tcPr>
            <w:tcW w:w="1133" w:type="dxa"/>
            <w:tcBorders>
              <w:top w:val="single" w:sz="4" w:space="0" w:color="auto"/>
              <w:left w:val="nil"/>
              <w:bottom w:val="single" w:sz="4" w:space="0" w:color="auto"/>
              <w:right w:val="single" w:sz="4" w:space="0" w:color="auto"/>
            </w:tcBorders>
            <w:shd w:val="clear" w:color="auto" w:fill="auto"/>
            <w:noWrap/>
            <w:vAlign w:val="bottom"/>
            <w:hideMark/>
          </w:tcPr>
          <w:p w14:paraId="1A341899" w14:textId="77777777" w:rsidR="00AD2F03" w:rsidRPr="00BB4BAB" w:rsidRDefault="00AD2F03" w:rsidP="00E65C03">
            <w:pPr>
              <w:spacing w:line="240" w:lineRule="auto"/>
              <w:rPr>
                <w:rFonts w:ascii="Calibri" w:hAnsi="Calibri"/>
                <w:b/>
                <w:bCs/>
                <w:color w:val="000000"/>
              </w:rPr>
            </w:pPr>
            <w:r>
              <w:rPr>
                <w:rFonts w:ascii="Calibri" w:hAnsi="Calibri"/>
                <w:b/>
                <w:bCs/>
                <w:color w:val="000000"/>
              </w:rPr>
              <w:t>mode</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14:paraId="5BA06951" w14:textId="77777777" w:rsidR="00AD2F03" w:rsidRPr="00BB4BAB" w:rsidRDefault="00AD2F03" w:rsidP="00E65C03">
            <w:pPr>
              <w:spacing w:line="240" w:lineRule="auto"/>
              <w:jc w:val="right"/>
              <w:rPr>
                <w:rFonts w:ascii="Calibri" w:hAnsi="Calibri"/>
                <w:b/>
                <w:bCs/>
                <w:color w:val="000000"/>
              </w:rPr>
            </w:pPr>
            <w:r>
              <w:rPr>
                <w:rFonts w:ascii="Calibri" w:hAnsi="Calibri"/>
                <w:b/>
                <w:bCs/>
                <w:color w:val="000000"/>
              </w:rPr>
              <w:t>accuracy</w:t>
            </w:r>
          </w:p>
        </w:tc>
      </w:tr>
      <w:tr w:rsidR="00AD2F03" w:rsidRPr="00BB4BAB" w14:paraId="685CB0F3" w14:textId="77777777" w:rsidTr="00E65C03">
        <w:trPr>
          <w:trHeight w:val="288"/>
        </w:trPr>
        <w:tc>
          <w:tcPr>
            <w:tcW w:w="121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F5B4EEC" w14:textId="77777777" w:rsidR="00AD2F03" w:rsidRPr="00BB4BAB" w:rsidRDefault="00AD2F03" w:rsidP="00E65C03">
            <w:pPr>
              <w:spacing w:line="240" w:lineRule="auto"/>
              <w:rPr>
                <w:rFonts w:ascii="Calibri" w:hAnsi="Calibri"/>
                <w:color w:val="000000"/>
              </w:rPr>
            </w:pPr>
            <w:r>
              <w:rPr>
                <w:rFonts w:ascii="Calibri" w:hAnsi="Calibri"/>
                <w:color w:val="000000"/>
              </w:rPr>
              <w:t>PatternNet</w:t>
            </w:r>
          </w:p>
        </w:tc>
        <w:tc>
          <w:tcPr>
            <w:tcW w:w="1457" w:type="dxa"/>
            <w:tcBorders>
              <w:top w:val="nil"/>
              <w:left w:val="nil"/>
              <w:bottom w:val="single" w:sz="4" w:space="0" w:color="auto"/>
              <w:right w:val="single" w:sz="4" w:space="0" w:color="auto"/>
            </w:tcBorders>
            <w:shd w:val="clear" w:color="auto" w:fill="auto"/>
            <w:noWrap/>
            <w:vAlign w:val="bottom"/>
            <w:hideMark/>
          </w:tcPr>
          <w:p w14:paraId="4CEFACE5" w14:textId="77777777" w:rsidR="00AD2F03" w:rsidRPr="00BB4BAB" w:rsidRDefault="00AD2F03" w:rsidP="00E65C03">
            <w:pPr>
              <w:spacing w:line="240" w:lineRule="auto"/>
              <w:rPr>
                <w:rFonts w:ascii="Calibri" w:hAnsi="Calibri"/>
                <w:color w:val="000000"/>
              </w:rPr>
            </w:pPr>
            <w:r>
              <w:rPr>
                <w:rFonts w:ascii="Calibri" w:hAnsi="Calibri"/>
                <w:color w:val="000000"/>
              </w:rPr>
              <w:t>Inception V3</w:t>
            </w:r>
          </w:p>
        </w:tc>
        <w:tc>
          <w:tcPr>
            <w:tcW w:w="1382" w:type="dxa"/>
            <w:tcBorders>
              <w:top w:val="nil"/>
              <w:left w:val="nil"/>
              <w:bottom w:val="single" w:sz="4" w:space="0" w:color="auto"/>
              <w:right w:val="single" w:sz="4" w:space="0" w:color="auto"/>
            </w:tcBorders>
            <w:shd w:val="clear" w:color="auto" w:fill="auto"/>
            <w:noWrap/>
            <w:vAlign w:val="bottom"/>
            <w:hideMark/>
          </w:tcPr>
          <w:p w14:paraId="21C89C05" w14:textId="77777777" w:rsidR="00AD2F03" w:rsidRPr="00BB4BAB" w:rsidRDefault="00AD2F03" w:rsidP="00E65C03">
            <w:pPr>
              <w:spacing w:line="240" w:lineRule="auto"/>
              <w:rPr>
                <w:rFonts w:ascii="Calibri" w:hAnsi="Calibri"/>
                <w:color w:val="000000"/>
              </w:rPr>
            </w:pPr>
            <w:r>
              <w:rPr>
                <w:rFonts w:ascii="Calibri" w:hAnsi="Calibri"/>
                <w:color w:val="000000"/>
              </w:rPr>
              <w:t>intermediate</w:t>
            </w:r>
          </w:p>
        </w:tc>
        <w:tc>
          <w:tcPr>
            <w:tcW w:w="1133" w:type="dxa"/>
            <w:tcBorders>
              <w:top w:val="nil"/>
              <w:left w:val="nil"/>
              <w:bottom w:val="single" w:sz="4" w:space="0" w:color="auto"/>
              <w:right w:val="single" w:sz="4" w:space="0" w:color="auto"/>
            </w:tcBorders>
            <w:shd w:val="clear" w:color="auto" w:fill="auto"/>
            <w:noWrap/>
            <w:vAlign w:val="bottom"/>
            <w:hideMark/>
          </w:tcPr>
          <w:p w14:paraId="28162297" w14:textId="77777777" w:rsidR="00AD2F03" w:rsidRPr="00BB4BAB" w:rsidRDefault="00AD2F03" w:rsidP="00E65C03">
            <w:pPr>
              <w:spacing w:line="240" w:lineRule="auto"/>
              <w:rPr>
                <w:rFonts w:ascii="Calibri" w:hAnsi="Calibri"/>
                <w:color w:val="000000"/>
              </w:rPr>
            </w:pPr>
            <w:r>
              <w:rPr>
                <w:rFonts w:ascii="Calibri" w:hAnsi="Calibri"/>
                <w:color w:val="000000"/>
              </w:rPr>
              <w:t>fine tune</w:t>
            </w:r>
          </w:p>
        </w:tc>
        <w:tc>
          <w:tcPr>
            <w:tcW w:w="1040" w:type="dxa"/>
            <w:tcBorders>
              <w:top w:val="nil"/>
              <w:left w:val="nil"/>
              <w:bottom w:val="single" w:sz="4" w:space="0" w:color="auto"/>
              <w:right w:val="single" w:sz="4" w:space="0" w:color="auto"/>
            </w:tcBorders>
            <w:shd w:val="clear" w:color="auto" w:fill="auto"/>
            <w:noWrap/>
            <w:vAlign w:val="bottom"/>
            <w:hideMark/>
          </w:tcPr>
          <w:p w14:paraId="7439CC3A" w14:textId="77777777" w:rsidR="00AD2F03" w:rsidRPr="00BB4BAB" w:rsidRDefault="00AD2F03" w:rsidP="00E65C03">
            <w:pPr>
              <w:spacing w:line="240" w:lineRule="auto"/>
              <w:jc w:val="right"/>
              <w:rPr>
                <w:rFonts w:ascii="Calibri" w:hAnsi="Calibri"/>
                <w:b/>
                <w:bCs/>
                <w:color w:val="000000"/>
              </w:rPr>
            </w:pPr>
            <w:r>
              <w:rPr>
                <w:rFonts w:ascii="Calibri" w:hAnsi="Calibri"/>
                <w:b/>
                <w:bCs/>
                <w:color w:val="000000"/>
              </w:rPr>
              <w:t>0.997</w:t>
            </w:r>
          </w:p>
        </w:tc>
      </w:tr>
      <w:tr w:rsidR="00AD2F03" w:rsidRPr="00BB4BAB" w14:paraId="2B12E67F" w14:textId="77777777" w:rsidTr="00E65C03">
        <w:trPr>
          <w:trHeight w:val="288"/>
        </w:trPr>
        <w:tc>
          <w:tcPr>
            <w:tcW w:w="1210" w:type="dxa"/>
            <w:vMerge/>
            <w:tcBorders>
              <w:top w:val="nil"/>
              <w:left w:val="single" w:sz="4" w:space="0" w:color="auto"/>
              <w:bottom w:val="single" w:sz="4" w:space="0" w:color="auto"/>
              <w:right w:val="single" w:sz="4" w:space="0" w:color="auto"/>
            </w:tcBorders>
            <w:vAlign w:val="center"/>
            <w:hideMark/>
          </w:tcPr>
          <w:p w14:paraId="46FD3910" w14:textId="77777777" w:rsidR="00AD2F03" w:rsidRPr="00BB4BAB" w:rsidRDefault="00AD2F03" w:rsidP="00E65C03">
            <w:pPr>
              <w:spacing w:line="240" w:lineRule="auto"/>
              <w:rPr>
                <w:rFonts w:ascii="Calibri" w:hAnsi="Calibri"/>
                <w:color w:val="000000"/>
              </w:rPr>
            </w:pPr>
          </w:p>
        </w:tc>
        <w:tc>
          <w:tcPr>
            <w:tcW w:w="1457" w:type="dxa"/>
            <w:tcBorders>
              <w:top w:val="nil"/>
              <w:left w:val="nil"/>
              <w:bottom w:val="single" w:sz="4" w:space="0" w:color="auto"/>
              <w:right w:val="single" w:sz="4" w:space="0" w:color="auto"/>
            </w:tcBorders>
            <w:shd w:val="clear" w:color="auto" w:fill="auto"/>
            <w:noWrap/>
            <w:vAlign w:val="bottom"/>
            <w:hideMark/>
          </w:tcPr>
          <w:p w14:paraId="7B82EC08" w14:textId="77777777" w:rsidR="00AD2F03" w:rsidRPr="00BB4BAB" w:rsidRDefault="00AD2F03" w:rsidP="00E65C03">
            <w:pPr>
              <w:spacing w:line="240" w:lineRule="auto"/>
              <w:rPr>
                <w:rFonts w:ascii="Calibri" w:hAnsi="Calibri"/>
                <w:color w:val="000000"/>
              </w:rPr>
            </w:pPr>
            <w:r>
              <w:rPr>
                <w:rFonts w:ascii="Calibri" w:hAnsi="Calibri"/>
                <w:color w:val="000000"/>
              </w:rPr>
              <w:t>VGG19</w:t>
            </w:r>
          </w:p>
        </w:tc>
        <w:tc>
          <w:tcPr>
            <w:tcW w:w="1382" w:type="dxa"/>
            <w:tcBorders>
              <w:top w:val="nil"/>
              <w:left w:val="nil"/>
              <w:bottom w:val="single" w:sz="4" w:space="0" w:color="auto"/>
              <w:right w:val="single" w:sz="4" w:space="0" w:color="auto"/>
            </w:tcBorders>
            <w:shd w:val="clear" w:color="auto" w:fill="auto"/>
            <w:noWrap/>
            <w:vAlign w:val="bottom"/>
            <w:hideMark/>
          </w:tcPr>
          <w:p w14:paraId="68A5EB36" w14:textId="77777777" w:rsidR="00AD2F03" w:rsidRPr="00BB4BAB" w:rsidRDefault="00AD2F03" w:rsidP="00E65C03">
            <w:pPr>
              <w:spacing w:line="240" w:lineRule="auto"/>
              <w:rPr>
                <w:rFonts w:ascii="Calibri" w:hAnsi="Calibri"/>
                <w:color w:val="000000"/>
              </w:rPr>
            </w:pPr>
            <w:r>
              <w:rPr>
                <w:rFonts w:ascii="Calibri" w:hAnsi="Calibri"/>
                <w:color w:val="000000"/>
              </w:rPr>
              <w:t>deep</w:t>
            </w:r>
          </w:p>
        </w:tc>
        <w:tc>
          <w:tcPr>
            <w:tcW w:w="1133" w:type="dxa"/>
            <w:tcBorders>
              <w:top w:val="nil"/>
              <w:left w:val="nil"/>
              <w:bottom w:val="single" w:sz="4" w:space="0" w:color="auto"/>
              <w:right w:val="single" w:sz="4" w:space="0" w:color="auto"/>
            </w:tcBorders>
            <w:shd w:val="clear" w:color="auto" w:fill="auto"/>
            <w:noWrap/>
            <w:vAlign w:val="bottom"/>
            <w:hideMark/>
          </w:tcPr>
          <w:p w14:paraId="403D5DA5" w14:textId="77777777" w:rsidR="00AD2F03" w:rsidRPr="00BB4BAB" w:rsidRDefault="00AD2F03" w:rsidP="00E65C03">
            <w:pPr>
              <w:spacing w:line="240" w:lineRule="auto"/>
              <w:rPr>
                <w:rFonts w:ascii="Calibri" w:hAnsi="Calibri"/>
                <w:color w:val="000000"/>
              </w:rPr>
            </w:pPr>
            <w:r>
              <w:rPr>
                <w:rFonts w:ascii="Calibri" w:hAnsi="Calibri"/>
                <w:color w:val="000000"/>
              </w:rPr>
              <w:t>fine tune</w:t>
            </w:r>
          </w:p>
        </w:tc>
        <w:tc>
          <w:tcPr>
            <w:tcW w:w="1040" w:type="dxa"/>
            <w:tcBorders>
              <w:top w:val="nil"/>
              <w:left w:val="nil"/>
              <w:bottom w:val="single" w:sz="4" w:space="0" w:color="auto"/>
              <w:right w:val="single" w:sz="4" w:space="0" w:color="auto"/>
            </w:tcBorders>
            <w:shd w:val="clear" w:color="auto" w:fill="auto"/>
            <w:noWrap/>
            <w:vAlign w:val="bottom"/>
            <w:hideMark/>
          </w:tcPr>
          <w:p w14:paraId="0D3E536B" w14:textId="77777777" w:rsidR="00AD2F03" w:rsidRPr="00BB4BAB" w:rsidRDefault="00AD2F03" w:rsidP="00E65C03">
            <w:pPr>
              <w:spacing w:line="240" w:lineRule="auto"/>
              <w:jc w:val="right"/>
              <w:rPr>
                <w:rFonts w:ascii="Calibri" w:hAnsi="Calibri"/>
                <w:color w:val="000000"/>
              </w:rPr>
            </w:pPr>
            <w:r>
              <w:rPr>
                <w:rFonts w:ascii="Calibri" w:hAnsi="Calibri"/>
                <w:color w:val="000000"/>
              </w:rPr>
              <w:t>0.995</w:t>
            </w:r>
          </w:p>
        </w:tc>
      </w:tr>
      <w:tr w:rsidR="00AD2F03" w:rsidRPr="00BB4BAB" w14:paraId="7408126C" w14:textId="77777777" w:rsidTr="00E65C03">
        <w:trPr>
          <w:trHeight w:val="288"/>
        </w:trPr>
        <w:tc>
          <w:tcPr>
            <w:tcW w:w="121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F215993" w14:textId="77777777" w:rsidR="00AD2F03" w:rsidRPr="00BB4BAB" w:rsidRDefault="00AD2F03" w:rsidP="00E65C03">
            <w:pPr>
              <w:spacing w:line="240" w:lineRule="auto"/>
              <w:rPr>
                <w:rFonts w:ascii="Calibri" w:hAnsi="Calibri"/>
                <w:color w:val="000000"/>
              </w:rPr>
            </w:pPr>
            <w:r>
              <w:rPr>
                <w:rFonts w:ascii="Calibri" w:hAnsi="Calibri"/>
                <w:color w:val="000000"/>
              </w:rPr>
              <w:t>AID</w:t>
            </w:r>
          </w:p>
        </w:tc>
        <w:tc>
          <w:tcPr>
            <w:tcW w:w="1457" w:type="dxa"/>
            <w:tcBorders>
              <w:top w:val="nil"/>
              <w:left w:val="nil"/>
              <w:bottom w:val="single" w:sz="4" w:space="0" w:color="auto"/>
              <w:right w:val="single" w:sz="4" w:space="0" w:color="auto"/>
            </w:tcBorders>
            <w:shd w:val="clear" w:color="auto" w:fill="auto"/>
            <w:noWrap/>
            <w:vAlign w:val="bottom"/>
            <w:hideMark/>
          </w:tcPr>
          <w:p w14:paraId="0D76222A" w14:textId="77777777" w:rsidR="00AD2F03" w:rsidRPr="00BB4BAB" w:rsidRDefault="00AD2F03" w:rsidP="00E65C03">
            <w:pPr>
              <w:spacing w:line="240" w:lineRule="auto"/>
              <w:rPr>
                <w:rFonts w:ascii="Calibri" w:hAnsi="Calibri"/>
                <w:color w:val="000000"/>
              </w:rPr>
            </w:pPr>
            <w:r>
              <w:rPr>
                <w:rFonts w:ascii="Calibri" w:hAnsi="Calibri"/>
                <w:color w:val="000000"/>
              </w:rPr>
              <w:t>Inception V3</w:t>
            </w:r>
          </w:p>
        </w:tc>
        <w:tc>
          <w:tcPr>
            <w:tcW w:w="1382" w:type="dxa"/>
            <w:tcBorders>
              <w:top w:val="nil"/>
              <w:left w:val="nil"/>
              <w:bottom w:val="single" w:sz="4" w:space="0" w:color="auto"/>
              <w:right w:val="single" w:sz="4" w:space="0" w:color="auto"/>
            </w:tcBorders>
            <w:shd w:val="clear" w:color="auto" w:fill="auto"/>
            <w:noWrap/>
            <w:vAlign w:val="bottom"/>
            <w:hideMark/>
          </w:tcPr>
          <w:p w14:paraId="08095CDC" w14:textId="77777777" w:rsidR="00AD2F03" w:rsidRPr="00BB4BAB" w:rsidRDefault="00AD2F03" w:rsidP="00E65C03">
            <w:pPr>
              <w:spacing w:line="240" w:lineRule="auto"/>
              <w:rPr>
                <w:rFonts w:ascii="Calibri" w:hAnsi="Calibri"/>
                <w:color w:val="000000"/>
              </w:rPr>
            </w:pPr>
            <w:r>
              <w:rPr>
                <w:rFonts w:ascii="Calibri" w:hAnsi="Calibri"/>
                <w:color w:val="000000"/>
              </w:rPr>
              <w:t>intermediate</w:t>
            </w:r>
          </w:p>
        </w:tc>
        <w:tc>
          <w:tcPr>
            <w:tcW w:w="1133" w:type="dxa"/>
            <w:tcBorders>
              <w:top w:val="nil"/>
              <w:left w:val="nil"/>
              <w:bottom w:val="single" w:sz="4" w:space="0" w:color="auto"/>
              <w:right w:val="single" w:sz="4" w:space="0" w:color="auto"/>
            </w:tcBorders>
            <w:shd w:val="clear" w:color="auto" w:fill="auto"/>
            <w:noWrap/>
            <w:vAlign w:val="bottom"/>
            <w:hideMark/>
          </w:tcPr>
          <w:p w14:paraId="6A3C0EDB" w14:textId="77777777" w:rsidR="00AD2F03" w:rsidRPr="00BB4BAB" w:rsidRDefault="00AD2F03" w:rsidP="00E65C03">
            <w:pPr>
              <w:spacing w:line="240" w:lineRule="auto"/>
              <w:rPr>
                <w:rFonts w:ascii="Calibri" w:hAnsi="Calibri"/>
                <w:color w:val="000000"/>
              </w:rPr>
            </w:pPr>
            <w:r>
              <w:rPr>
                <w:rFonts w:ascii="Calibri" w:hAnsi="Calibri"/>
                <w:color w:val="000000"/>
              </w:rPr>
              <w:t>fine tune</w:t>
            </w:r>
          </w:p>
        </w:tc>
        <w:tc>
          <w:tcPr>
            <w:tcW w:w="1040" w:type="dxa"/>
            <w:tcBorders>
              <w:top w:val="nil"/>
              <w:left w:val="nil"/>
              <w:bottom w:val="single" w:sz="4" w:space="0" w:color="auto"/>
              <w:right w:val="single" w:sz="4" w:space="0" w:color="auto"/>
            </w:tcBorders>
            <w:shd w:val="clear" w:color="auto" w:fill="auto"/>
            <w:noWrap/>
            <w:vAlign w:val="bottom"/>
            <w:hideMark/>
          </w:tcPr>
          <w:p w14:paraId="1D12C479" w14:textId="77777777" w:rsidR="00AD2F03" w:rsidRPr="00BB4BAB" w:rsidRDefault="00AD2F03" w:rsidP="00E65C03">
            <w:pPr>
              <w:spacing w:line="240" w:lineRule="auto"/>
              <w:jc w:val="right"/>
              <w:rPr>
                <w:rFonts w:ascii="Calibri" w:hAnsi="Calibri"/>
                <w:b/>
                <w:bCs/>
                <w:color w:val="000000"/>
              </w:rPr>
            </w:pPr>
            <w:r>
              <w:rPr>
                <w:rFonts w:ascii="Calibri" w:hAnsi="Calibri"/>
                <w:b/>
                <w:bCs/>
                <w:color w:val="000000"/>
              </w:rPr>
              <w:t>0.950</w:t>
            </w:r>
          </w:p>
        </w:tc>
      </w:tr>
      <w:tr w:rsidR="00AD2F03" w:rsidRPr="00BB4BAB" w14:paraId="25393590" w14:textId="77777777" w:rsidTr="00E65C03">
        <w:trPr>
          <w:trHeight w:val="288"/>
        </w:trPr>
        <w:tc>
          <w:tcPr>
            <w:tcW w:w="1210" w:type="dxa"/>
            <w:vMerge/>
            <w:tcBorders>
              <w:top w:val="nil"/>
              <w:left w:val="single" w:sz="4" w:space="0" w:color="auto"/>
              <w:bottom w:val="single" w:sz="4" w:space="0" w:color="auto"/>
              <w:right w:val="single" w:sz="4" w:space="0" w:color="auto"/>
            </w:tcBorders>
            <w:vAlign w:val="center"/>
            <w:hideMark/>
          </w:tcPr>
          <w:p w14:paraId="74B7A979" w14:textId="77777777" w:rsidR="00AD2F03" w:rsidRPr="00BB4BAB" w:rsidRDefault="00AD2F03" w:rsidP="00E65C03">
            <w:pPr>
              <w:spacing w:line="240" w:lineRule="auto"/>
              <w:rPr>
                <w:rFonts w:ascii="Calibri" w:hAnsi="Calibri"/>
                <w:color w:val="000000"/>
              </w:rPr>
            </w:pPr>
          </w:p>
        </w:tc>
        <w:tc>
          <w:tcPr>
            <w:tcW w:w="1457" w:type="dxa"/>
            <w:tcBorders>
              <w:top w:val="nil"/>
              <w:left w:val="nil"/>
              <w:bottom w:val="single" w:sz="4" w:space="0" w:color="auto"/>
              <w:right w:val="single" w:sz="4" w:space="0" w:color="auto"/>
            </w:tcBorders>
            <w:shd w:val="clear" w:color="auto" w:fill="auto"/>
            <w:noWrap/>
            <w:vAlign w:val="bottom"/>
            <w:hideMark/>
          </w:tcPr>
          <w:p w14:paraId="44ED8B0E" w14:textId="77777777" w:rsidR="00AD2F03" w:rsidRPr="00BB4BAB" w:rsidRDefault="00AD2F03" w:rsidP="00E65C03">
            <w:pPr>
              <w:spacing w:line="240" w:lineRule="auto"/>
              <w:rPr>
                <w:rFonts w:ascii="Calibri" w:hAnsi="Calibri"/>
                <w:color w:val="000000"/>
              </w:rPr>
            </w:pPr>
            <w:r>
              <w:rPr>
                <w:rFonts w:ascii="Calibri" w:hAnsi="Calibri"/>
                <w:color w:val="000000"/>
              </w:rPr>
              <w:t>VGG19</w:t>
            </w:r>
          </w:p>
        </w:tc>
        <w:tc>
          <w:tcPr>
            <w:tcW w:w="1382" w:type="dxa"/>
            <w:tcBorders>
              <w:top w:val="nil"/>
              <w:left w:val="nil"/>
              <w:bottom w:val="single" w:sz="4" w:space="0" w:color="auto"/>
              <w:right w:val="single" w:sz="4" w:space="0" w:color="auto"/>
            </w:tcBorders>
            <w:shd w:val="clear" w:color="auto" w:fill="auto"/>
            <w:noWrap/>
            <w:vAlign w:val="bottom"/>
            <w:hideMark/>
          </w:tcPr>
          <w:p w14:paraId="67FC7AEA" w14:textId="77777777" w:rsidR="00AD2F03" w:rsidRPr="00BB4BAB" w:rsidRDefault="00AD2F03" w:rsidP="00E65C03">
            <w:pPr>
              <w:spacing w:line="240" w:lineRule="auto"/>
              <w:rPr>
                <w:rFonts w:ascii="Calibri" w:hAnsi="Calibri"/>
                <w:color w:val="000000"/>
              </w:rPr>
            </w:pPr>
            <w:r>
              <w:rPr>
                <w:rFonts w:ascii="Calibri" w:hAnsi="Calibri"/>
                <w:color w:val="000000"/>
              </w:rPr>
              <w:t>deep</w:t>
            </w:r>
          </w:p>
        </w:tc>
        <w:tc>
          <w:tcPr>
            <w:tcW w:w="1133" w:type="dxa"/>
            <w:tcBorders>
              <w:top w:val="nil"/>
              <w:left w:val="nil"/>
              <w:bottom w:val="single" w:sz="4" w:space="0" w:color="auto"/>
              <w:right w:val="single" w:sz="4" w:space="0" w:color="auto"/>
            </w:tcBorders>
            <w:shd w:val="clear" w:color="auto" w:fill="auto"/>
            <w:noWrap/>
            <w:vAlign w:val="bottom"/>
            <w:hideMark/>
          </w:tcPr>
          <w:p w14:paraId="5C045340" w14:textId="77777777" w:rsidR="00AD2F03" w:rsidRPr="00BB4BAB" w:rsidRDefault="00AD2F03" w:rsidP="00E65C03">
            <w:pPr>
              <w:spacing w:line="240" w:lineRule="auto"/>
              <w:rPr>
                <w:rFonts w:ascii="Calibri" w:hAnsi="Calibri"/>
                <w:color w:val="000000"/>
              </w:rPr>
            </w:pPr>
            <w:r>
              <w:rPr>
                <w:rFonts w:ascii="Calibri" w:hAnsi="Calibri"/>
                <w:color w:val="000000"/>
              </w:rPr>
              <w:t>fine tune</w:t>
            </w:r>
          </w:p>
        </w:tc>
        <w:tc>
          <w:tcPr>
            <w:tcW w:w="1040" w:type="dxa"/>
            <w:tcBorders>
              <w:top w:val="nil"/>
              <w:left w:val="nil"/>
              <w:bottom w:val="single" w:sz="4" w:space="0" w:color="auto"/>
              <w:right w:val="single" w:sz="4" w:space="0" w:color="auto"/>
            </w:tcBorders>
            <w:shd w:val="clear" w:color="auto" w:fill="auto"/>
            <w:noWrap/>
            <w:vAlign w:val="bottom"/>
            <w:hideMark/>
          </w:tcPr>
          <w:p w14:paraId="2CFA9BD6" w14:textId="77777777" w:rsidR="00AD2F03" w:rsidRPr="00BB4BAB" w:rsidRDefault="00AD2F03" w:rsidP="00E65C03">
            <w:pPr>
              <w:spacing w:line="240" w:lineRule="auto"/>
              <w:jc w:val="right"/>
              <w:rPr>
                <w:rFonts w:ascii="Calibri" w:hAnsi="Calibri"/>
                <w:color w:val="000000"/>
              </w:rPr>
            </w:pPr>
            <w:r>
              <w:rPr>
                <w:rFonts w:ascii="Calibri" w:hAnsi="Calibri"/>
                <w:color w:val="000000"/>
              </w:rPr>
              <w:t>0.936</w:t>
            </w:r>
          </w:p>
        </w:tc>
      </w:tr>
      <w:tr w:rsidR="00AD2F03" w:rsidRPr="00BB4BAB" w14:paraId="42FD8673" w14:textId="77777777" w:rsidTr="00E65C03">
        <w:trPr>
          <w:trHeight w:val="288"/>
        </w:trPr>
        <w:tc>
          <w:tcPr>
            <w:tcW w:w="121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EC8A078" w14:textId="77777777" w:rsidR="00AD2F03" w:rsidRPr="00BB4BAB" w:rsidRDefault="00AD2F03" w:rsidP="00E65C03">
            <w:pPr>
              <w:spacing w:line="240" w:lineRule="auto"/>
              <w:rPr>
                <w:rFonts w:ascii="Calibri" w:hAnsi="Calibri"/>
                <w:color w:val="000000"/>
              </w:rPr>
            </w:pPr>
            <w:r>
              <w:rPr>
                <w:rFonts w:ascii="Calibri" w:hAnsi="Calibri"/>
                <w:color w:val="000000"/>
              </w:rPr>
              <w:t>UCMerced</w:t>
            </w:r>
          </w:p>
        </w:tc>
        <w:tc>
          <w:tcPr>
            <w:tcW w:w="1457" w:type="dxa"/>
            <w:tcBorders>
              <w:top w:val="nil"/>
              <w:left w:val="nil"/>
              <w:bottom w:val="single" w:sz="4" w:space="0" w:color="auto"/>
              <w:right w:val="single" w:sz="4" w:space="0" w:color="auto"/>
            </w:tcBorders>
            <w:shd w:val="clear" w:color="auto" w:fill="auto"/>
            <w:noWrap/>
            <w:vAlign w:val="bottom"/>
            <w:hideMark/>
          </w:tcPr>
          <w:p w14:paraId="11C0D631" w14:textId="77777777" w:rsidR="00AD2F03" w:rsidRPr="00BB4BAB" w:rsidRDefault="00AD2F03" w:rsidP="00E65C03">
            <w:pPr>
              <w:spacing w:line="240" w:lineRule="auto"/>
              <w:rPr>
                <w:rFonts w:ascii="Calibri" w:hAnsi="Calibri"/>
                <w:color w:val="000000"/>
              </w:rPr>
            </w:pPr>
            <w:r>
              <w:rPr>
                <w:rFonts w:ascii="Calibri" w:hAnsi="Calibri"/>
                <w:color w:val="000000"/>
              </w:rPr>
              <w:t>Inception V3</w:t>
            </w:r>
          </w:p>
        </w:tc>
        <w:tc>
          <w:tcPr>
            <w:tcW w:w="1382" w:type="dxa"/>
            <w:tcBorders>
              <w:top w:val="nil"/>
              <w:left w:val="nil"/>
              <w:bottom w:val="single" w:sz="4" w:space="0" w:color="auto"/>
              <w:right w:val="single" w:sz="4" w:space="0" w:color="auto"/>
            </w:tcBorders>
            <w:shd w:val="clear" w:color="auto" w:fill="auto"/>
            <w:noWrap/>
            <w:vAlign w:val="bottom"/>
            <w:hideMark/>
          </w:tcPr>
          <w:p w14:paraId="2DE5CAED" w14:textId="77777777" w:rsidR="00AD2F03" w:rsidRPr="00BB4BAB" w:rsidRDefault="00AD2F03" w:rsidP="00E65C03">
            <w:pPr>
              <w:spacing w:line="240" w:lineRule="auto"/>
              <w:rPr>
                <w:rFonts w:ascii="Calibri" w:hAnsi="Calibri"/>
                <w:color w:val="000000"/>
              </w:rPr>
            </w:pPr>
            <w:r>
              <w:rPr>
                <w:rFonts w:ascii="Calibri" w:hAnsi="Calibri"/>
                <w:color w:val="000000"/>
              </w:rPr>
              <w:t>intermediate</w:t>
            </w:r>
          </w:p>
        </w:tc>
        <w:tc>
          <w:tcPr>
            <w:tcW w:w="1133" w:type="dxa"/>
            <w:tcBorders>
              <w:top w:val="nil"/>
              <w:left w:val="nil"/>
              <w:bottom w:val="single" w:sz="4" w:space="0" w:color="auto"/>
              <w:right w:val="single" w:sz="4" w:space="0" w:color="auto"/>
            </w:tcBorders>
            <w:shd w:val="clear" w:color="auto" w:fill="auto"/>
            <w:noWrap/>
            <w:vAlign w:val="bottom"/>
            <w:hideMark/>
          </w:tcPr>
          <w:p w14:paraId="63A6B79E" w14:textId="77777777" w:rsidR="00AD2F03" w:rsidRPr="00BB4BAB" w:rsidRDefault="00AD2F03" w:rsidP="00E65C03">
            <w:pPr>
              <w:spacing w:line="240" w:lineRule="auto"/>
              <w:rPr>
                <w:rFonts w:ascii="Calibri" w:hAnsi="Calibri"/>
                <w:color w:val="000000"/>
              </w:rPr>
            </w:pPr>
            <w:r>
              <w:rPr>
                <w:rFonts w:ascii="Calibri" w:hAnsi="Calibri"/>
                <w:color w:val="000000"/>
              </w:rPr>
              <w:t>fine tune</w:t>
            </w:r>
          </w:p>
        </w:tc>
        <w:tc>
          <w:tcPr>
            <w:tcW w:w="1040" w:type="dxa"/>
            <w:tcBorders>
              <w:top w:val="nil"/>
              <w:left w:val="nil"/>
              <w:bottom w:val="single" w:sz="4" w:space="0" w:color="auto"/>
              <w:right w:val="single" w:sz="4" w:space="0" w:color="auto"/>
            </w:tcBorders>
            <w:shd w:val="clear" w:color="auto" w:fill="auto"/>
            <w:noWrap/>
            <w:vAlign w:val="bottom"/>
            <w:hideMark/>
          </w:tcPr>
          <w:p w14:paraId="0DDF1A38" w14:textId="77777777" w:rsidR="00AD2F03" w:rsidRPr="00BB4BAB" w:rsidRDefault="00AD2F03" w:rsidP="00E65C03">
            <w:pPr>
              <w:spacing w:line="240" w:lineRule="auto"/>
              <w:jc w:val="right"/>
              <w:rPr>
                <w:rFonts w:ascii="Calibri" w:hAnsi="Calibri"/>
                <w:b/>
                <w:bCs/>
                <w:color w:val="000000"/>
              </w:rPr>
            </w:pPr>
            <w:r>
              <w:rPr>
                <w:rFonts w:ascii="Calibri" w:hAnsi="Calibri"/>
                <w:b/>
                <w:bCs/>
                <w:color w:val="000000"/>
              </w:rPr>
              <w:t>0.983</w:t>
            </w:r>
          </w:p>
        </w:tc>
      </w:tr>
      <w:tr w:rsidR="00AD2F03" w:rsidRPr="00BB4BAB" w14:paraId="060456E2" w14:textId="77777777" w:rsidTr="00E65C03">
        <w:trPr>
          <w:trHeight w:val="288"/>
        </w:trPr>
        <w:tc>
          <w:tcPr>
            <w:tcW w:w="1210" w:type="dxa"/>
            <w:vMerge/>
            <w:tcBorders>
              <w:top w:val="nil"/>
              <w:left w:val="single" w:sz="4" w:space="0" w:color="auto"/>
              <w:bottom w:val="single" w:sz="4" w:space="0" w:color="auto"/>
              <w:right w:val="single" w:sz="4" w:space="0" w:color="auto"/>
            </w:tcBorders>
            <w:vAlign w:val="center"/>
            <w:hideMark/>
          </w:tcPr>
          <w:p w14:paraId="131BB4C9" w14:textId="77777777" w:rsidR="00AD2F03" w:rsidRPr="00BB4BAB" w:rsidRDefault="00AD2F03" w:rsidP="00E65C03">
            <w:pPr>
              <w:spacing w:line="240" w:lineRule="auto"/>
              <w:rPr>
                <w:rFonts w:ascii="Calibri" w:hAnsi="Calibri"/>
                <w:color w:val="000000"/>
              </w:rPr>
            </w:pPr>
          </w:p>
        </w:tc>
        <w:tc>
          <w:tcPr>
            <w:tcW w:w="1457" w:type="dxa"/>
            <w:tcBorders>
              <w:top w:val="nil"/>
              <w:left w:val="nil"/>
              <w:bottom w:val="single" w:sz="4" w:space="0" w:color="auto"/>
              <w:right w:val="single" w:sz="4" w:space="0" w:color="auto"/>
            </w:tcBorders>
            <w:shd w:val="clear" w:color="auto" w:fill="auto"/>
            <w:noWrap/>
            <w:vAlign w:val="bottom"/>
            <w:hideMark/>
          </w:tcPr>
          <w:p w14:paraId="28F32FAE" w14:textId="77777777" w:rsidR="00AD2F03" w:rsidRPr="00BB4BAB" w:rsidRDefault="00AD2F03" w:rsidP="00E65C03">
            <w:pPr>
              <w:spacing w:line="240" w:lineRule="auto"/>
              <w:rPr>
                <w:rFonts w:ascii="Calibri" w:hAnsi="Calibri"/>
                <w:color w:val="000000"/>
              </w:rPr>
            </w:pPr>
            <w:r>
              <w:rPr>
                <w:rFonts w:ascii="Calibri" w:hAnsi="Calibri"/>
                <w:color w:val="000000"/>
              </w:rPr>
              <w:t>VGG19</w:t>
            </w:r>
          </w:p>
        </w:tc>
        <w:tc>
          <w:tcPr>
            <w:tcW w:w="1382" w:type="dxa"/>
            <w:tcBorders>
              <w:top w:val="nil"/>
              <w:left w:val="nil"/>
              <w:bottom w:val="single" w:sz="4" w:space="0" w:color="auto"/>
              <w:right w:val="single" w:sz="4" w:space="0" w:color="auto"/>
            </w:tcBorders>
            <w:shd w:val="clear" w:color="auto" w:fill="auto"/>
            <w:noWrap/>
            <w:vAlign w:val="bottom"/>
            <w:hideMark/>
          </w:tcPr>
          <w:p w14:paraId="1478E395" w14:textId="77777777" w:rsidR="00AD2F03" w:rsidRPr="00BB4BAB" w:rsidRDefault="00AD2F03" w:rsidP="00E65C03">
            <w:pPr>
              <w:spacing w:line="240" w:lineRule="auto"/>
              <w:rPr>
                <w:rFonts w:ascii="Calibri" w:hAnsi="Calibri"/>
                <w:color w:val="000000"/>
              </w:rPr>
            </w:pPr>
            <w:r>
              <w:rPr>
                <w:rFonts w:ascii="Calibri" w:hAnsi="Calibri"/>
                <w:color w:val="000000"/>
              </w:rPr>
              <w:t>deep</w:t>
            </w:r>
          </w:p>
        </w:tc>
        <w:tc>
          <w:tcPr>
            <w:tcW w:w="1133" w:type="dxa"/>
            <w:tcBorders>
              <w:top w:val="nil"/>
              <w:left w:val="nil"/>
              <w:bottom w:val="single" w:sz="4" w:space="0" w:color="auto"/>
              <w:right w:val="single" w:sz="4" w:space="0" w:color="auto"/>
            </w:tcBorders>
            <w:shd w:val="clear" w:color="auto" w:fill="auto"/>
            <w:noWrap/>
            <w:vAlign w:val="bottom"/>
            <w:hideMark/>
          </w:tcPr>
          <w:p w14:paraId="7CBF7589" w14:textId="77777777" w:rsidR="00AD2F03" w:rsidRPr="00BB4BAB" w:rsidRDefault="00AD2F03" w:rsidP="00E65C03">
            <w:pPr>
              <w:spacing w:line="240" w:lineRule="auto"/>
              <w:rPr>
                <w:rFonts w:ascii="Calibri" w:hAnsi="Calibri"/>
                <w:color w:val="000000"/>
              </w:rPr>
            </w:pPr>
            <w:r>
              <w:rPr>
                <w:rFonts w:ascii="Calibri" w:hAnsi="Calibri"/>
                <w:color w:val="000000"/>
              </w:rPr>
              <w:t>fine tune</w:t>
            </w:r>
          </w:p>
        </w:tc>
        <w:tc>
          <w:tcPr>
            <w:tcW w:w="1040" w:type="dxa"/>
            <w:tcBorders>
              <w:top w:val="nil"/>
              <w:left w:val="nil"/>
              <w:bottom w:val="single" w:sz="4" w:space="0" w:color="auto"/>
              <w:right w:val="single" w:sz="4" w:space="0" w:color="auto"/>
            </w:tcBorders>
            <w:shd w:val="clear" w:color="auto" w:fill="auto"/>
            <w:noWrap/>
            <w:vAlign w:val="bottom"/>
            <w:hideMark/>
          </w:tcPr>
          <w:p w14:paraId="580D01A1" w14:textId="77777777" w:rsidR="00AD2F03" w:rsidRPr="00BB4BAB" w:rsidRDefault="00AD2F03" w:rsidP="00E65C03">
            <w:pPr>
              <w:spacing w:line="240" w:lineRule="auto"/>
              <w:jc w:val="right"/>
              <w:rPr>
                <w:rFonts w:ascii="Calibri" w:hAnsi="Calibri"/>
                <w:color w:val="000000"/>
              </w:rPr>
            </w:pPr>
            <w:r>
              <w:rPr>
                <w:rFonts w:ascii="Calibri" w:hAnsi="Calibri"/>
                <w:color w:val="000000"/>
              </w:rPr>
              <w:t>0.981</w:t>
            </w:r>
          </w:p>
        </w:tc>
      </w:tr>
    </w:tbl>
    <w:p w14:paraId="6F85C3F6" w14:textId="77777777" w:rsidR="00AD2F03" w:rsidRDefault="00AD2F03" w:rsidP="00AD2F03"/>
    <w:p w14:paraId="79BBA67B" w14:textId="77777777" w:rsidR="00AD2F03" w:rsidRDefault="00AD2F03" w:rsidP="00607DF1">
      <w:pPr>
        <w:pStyle w:val="Caption"/>
      </w:pPr>
      <w:bookmarkStart w:id="270" w:name="_Ref21124745"/>
      <w:bookmarkStart w:id="271" w:name="_Toc26534552"/>
      <w:r>
        <w:t xml:space="preserve">Table </w:t>
      </w:r>
      <w:r w:rsidR="00CE1F3C">
        <w:fldChar w:fldCharType="begin"/>
      </w:r>
      <w:r w:rsidR="00CE1F3C">
        <w:instrText xml:space="preserve"> SEQ Table \* ARABIC </w:instrText>
      </w:r>
      <w:r w:rsidR="00CE1F3C">
        <w:fldChar w:fldCharType="separate"/>
      </w:r>
      <w:r w:rsidR="001C535D">
        <w:rPr>
          <w:noProof/>
        </w:rPr>
        <w:t>15</w:t>
      </w:r>
      <w:r w:rsidR="00CE1F3C">
        <w:rPr>
          <w:noProof/>
        </w:rPr>
        <w:fldChar w:fldCharType="end"/>
      </w:r>
      <w:bookmarkEnd w:id="270"/>
      <w:r>
        <w:t xml:space="preserve">: </w:t>
      </w:r>
      <w:r w:rsidRPr="00BB4BAB">
        <w:t xml:space="preserve">Best </w:t>
      </w:r>
      <w:r>
        <w:t>test set accuracy for Inception V3</w:t>
      </w:r>
      <w:r w:rsidRPr="00BB4BAB">
        <w:t xml:space="preserve"> and VGG19 version for each Dataset</w:t>
      </w:r>
      <w:r>
        <w:t xml:space="preserve"> using </w:t>
      </w:r>
      <w:r w:rsidRPr="00BB6E89">
        <w:t>SGD (1e-3) momentum 0.9</w:t>
      </w:r>
      <w:r>
        <w:t xml:space="preserve"> optimizer to perform transfer learning on models initially trained on PatternNet.</w:t>
      </w:r>
      <w:bookmarkEnd w:id="271"/>
    </w:p>
    <w:tbl>
      <w:tblPr>
        <w:tblW w:w="5817" w:type="dxa"/>
        <w:tblLook w:val="04A0" w:firstRow="1" w:lastRow="0" w:firstColumn="1" w:lastColumn="0" w:noHBand="0" w:noVBand="1"/>
      </w:tblPr>
      <w:tblGrid>
        <w:gridCol w:w="1254"/>
        <w:gridCol w:w="1396"/>
        <w:gridCol w:w="1488"/>
        <w:gridCol w:w="960"/>
        <w:gridCol w:w="1083"/>
      </w:tblGrid>
      <w:tr w:rsidR="00AD2F03" w:rsidRPr="00E84FF6" w14:paraId="258247BE" w14:textId="77777777" w:rsidTr="00E65C03">
        <w:trPr>
          <w:trHeight w:val="288"/>
        </w:trPr>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EEAF1A" w14:textId="77777777" w:rsidR="00AD2F03" w:rsidRPr="00E84FF6" w:rsidRDefault="00AD2F03" w:rsidP="00E65C03">
            <w:pPr>
              <w:spacing w:line="240" w:lineRule="auto"/>
              <w:rPr>
                <w:rFonts w:ascii="Calibri" w:hAnsi="Calibri" w:cs="Calibri"/>
                <w:b/>
                <w:bCs/>
                <w:color w:val="000000"/>
              </w:rPr>
            </w:pPr>
            <w:r w:rsidRPr="00E84FF6">
              <w:rPr>
                <w:rFonts w:ascii="Calibri" w:hAnsi="Calibri" w:cs="Calibri"/>
                <w:b/>
                <w:bCs/>
                <w:color w:val="000000"/>
              </w:rPr>
              <w:t>Dataset</w:t>
            </w:r>
          </w:p>
        </w:tc>
        <w:tc>
          <w:tcPr>
            <w:tcW w:w="1298" w:type="dxa"/>
            <w:tcBorders>
              <w:top w:val="single" w:sz="4" w:space="0" w:color="auto"/>
              <w:left w:val="nil"/>
              <w:bottom w:val="single" w:sz="4" w:space="0" w:color="auto"/>
              <w:right w:val="single" w:sz="4" w:space="0" w:color="auto"/>
            </w:tcBorders>
            <w:shd w:val="clear" w:color="auto" w:fill="auto"/>
            <w:noWrap/>
            <w:vAlign w:val="bottom"/>
            <w:hideMark/>
          </w:tcPr>
          <w:p w14:paraId="15C03A03" w14:textId="77777777" w:rsidR="00AD2F03" w:rsidRPr="00E84FF6" w:rsidRDefault="00AD2F03" w:rsidP="00E65C03">
            <w:pPr>
              <w:spacing w:line="240" w:lineRule="auto"/>
              <w:rPr>
                <w:rFonts w:ascii="Calibri" w:hAnsi="Calibri" w:cs="Calibri"/>
                <w:b/>
                <w:bCs/>
                <w:color w:val="000000"/>
              </w:rPr>
            </w:pPr>
            <w:r w:rsidRPr="00E84FF6">
              <w:rPr>
                <w:rFonts w:ascii="Calibri" w:hAnsi="Calibri" w:cs="Calibri"/>
                <w:b/>
                <w:bCs/>
                <w:color w:val="000000"/>
              </w:rPr>
              <w:t>model</w:t>
            </w:r>
          </w:p>
        </w:tc>
        <w:tc>
          <w:tcPr>
            <w:tcW w:w="1382" w:type="dxa"/>
            <w:tcBorders>
              <w:top w:val="single" w:sz="4" w:space="0" w:color="auto"/>
              <w:left w:val="nil"/>
              <w:bottom w:val="single" w:sz="4" w:space="0" w:color="auto"/>
              <w:right w:val="single" w:sz="4" w:space="0" w:color="auto"/>
            </w:tcBorders>
            <w:shd w:val="clear" w:color="auto" w:fill="auto"/>
            <w:noWrap/>
            <w:vAlign w:val="bottom"/>
            <w:hideMark/>
          </w:tcPr>
          <w:p w14:paraId="0A7E3619" w14:textId="77777777" w:rsidR="00AD2F03" w:rsidRPr="00E84FF6" w:rsidRDefault="00AD2F03" w:rsidP="00E65C03">
            <w:pPr>
              <w:spacing w:line="240" w:lineRule="auto"/>
              <w:rPr>
                <w:rFonts w:ascii="Calibri" w:hAnsi="Calibri" w:cs="Calibri"/>
                <w:b/>
                <w:bCs/>
                <w:color w:val="000000"/>
              </w:rPr>
            </w:pPr>
            <w:r w:rsidRPr="00E84FF6">
              <w:rPr>
                <w:rFonts w:ascii="Calibri" w:hAnsi="Calibri" w:cs="Calibri"/>
                <w:b/>
                <w:bCs/>
                <w:color w:val="000000"/>
              </w:rPr>
              <w:t>depth</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6EE089E" w14:textId="77777777" w:rsidR="00AD2F03" w:rsidRPr="00E84FF6" w:rsidRDefault="00AD2F03" w:rsidP="00E65C03">
            <w:pPr>
              <w:spacing w:line="240" w:lineRule="auto"/>
              <w:rPr>
                <w:rFonts w:ascii="Calibri" w:hAnsi="Calibri" w:cs="Calibri"/>
                <w:b/>
                <w:bCs/>
                <w:color w:val="000000"/>
              </w:rPr>
            </w:pPr>
            <w:r w:rsidRPr="00E84FF6">
              <w:rPr>
                <w:rFonts w:ascii="Calibri" w:hAnsi="Calibri" w:cs="Calibri"/>
                <w:b/>
                <w:bCs/>
                <w:color w:val="000000"/>
              </w:rPr>
              <w:t>mode</w:t>
            </w:r>
          </w:p>
        </w:tc>
        <w:tc>
          <w:tcPr>
            <w:tcW w:w="1010" w:type="dxa"/>
            <w:tcBorders>
              <w:top w:val="single" w:sz="4" w:space="0" w:color="auto"/>
              <w:left w:val="nil"/>
              <w:bottom w:val="single" w:sz="4" w:space="0" w:color="auto"/>
              <w:right w:val="single" w:sz="4" w:space="0" w:color="auto"/>
            </w:tcBorders>
            <w:shd w:val="clear" w:color="auto" w:fill="auto"/>
            <w:noWrap/>
            <w:vAlign w:val="bottom"/>
            <w:hideMark/>
          </w:tcPr>
          <w:p w14:paraId="14CD5D55" w14:textId="77777777" w:rsidR="00AD2F03" w:rsidRPr="00E84FF6" w:rsidRDefault="00AD2F03" w:rsidP="00E65C03">
            <w:pPr>
              <w:spacing w:line="240" w:lineRule="auto"/>
              <w:jc w:val="right"/>
              <w:rPr>
                <w:rFonts w:ascii="Calibri" w:hAnsi="Calibri" w:cs="Calibri"/>
                <w:b/>
                <w:bCs/>
                <w:color w:val="000000"/>
              </w:rPr>
            </w:pPr>
            <w:r w:rsidRPr="00E84FF6">
              <w:rPr>
                <w:rFonts w:ascii="Calibri" w:hAnsi="Calibri" w:cs="Calibri"/>
                <w:b/>
                <w:bCs/>
                <w:color w:val="000000"/>
              </w:rPr>
              <w:t>accuracy</w:t>
            </w:r>
          </w:p>
        </w:tc>
      </w:tr>
      <w:tr w:rsidR="00AD2F03" w:rsidRPr="00E84FF6" w14:paraId="43FBAFF0" w14:textId="77777777" w:rsidTr="00E65C03">
        <w:trPr>
          <w:trHeight w:val="288"/>
        </w:trPr>
        <w:tc>
          <w:tcPr>
            <w:tcW w:w="11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20710E7" w14:textId="77777777" w:rsidR="00AD2F03" w:rsidRPr="00E84FF6" w:rsidRDefault="00AD2F03" w:rsidP="00E65C03">
            <w:pPr>
              <w:spacing w:line="240" w:lineRule="auto"/>
              <w:rPr>
                <w:rFonts w:ascii="Calibri" w:hAnsi="Calibri" w:cs="Calibri"/>
                <w:color w:val="000000"/>
              </w:rPr>
            </w:pPr>
            <w:r w:rsidRPr="00E84FF6">
              <w:rPr>
                <w:rFonts w:ascii="Calibri" w:hAnsi="Calibri" w:cs="Calibri"/>
                <w:color w:val="000000"/>
              </w:rPr>
              <w:t>AID</w:t>
            </w:r>
          </w:p>
        </w:tc>
        <w:tc>
          <w:tcPr>
            <w:tcW w:w="1298" w:type="dxa"/>
            <w:tcBorders>
              <w:top w:val="nil"/>
              <w:left w:val="nil"/>
              <w:bottom w:val="single" w:sz="4" w:space="0" w:color="auto"/>
              <w:right w:val="single" w:sz="4" w:space="0" w:color="auto"/>
            </w:tcBorders>
            <w:shd w:val="clear" w:color="auto" w:fill="auto"/>
            <w:noWrap/>
            <w:vAlign w:val="bottom"/>
            <w:hideMark/>
          </w:tcPr>
          <w:p w14:paraId="34202F55" w14:textId="77777777" w:rsidR="00AD2F03" w:rsidRPr="00E84FF6" w:rsidRDefault="00AD2F03" w:rsidP="00E65C03">
            <w:pPr>
              <w:spacing w:line="240" w:lineRule="auto"/>
              <w:rPr>
                <w:rFonts w:ascii="Calibri" w:hAnsi="Calibri" w:cs="Calibri"/>
                <w:color w:val="000000"/>
              </w:rPr>
            </w:pPr>
            <w:r w:rsidRPr="00E84FF6">
              <w:rPr>
                <w:rFonts w:ascii="Calibri" w:hAnsi="Calibri" w:cs="Calibri"/>
                <w:color w:val="000000"/>
              </w:rPr>
              <w:t>InceptionV3</w:t>
            </w:r>
          </w:p>
        </w:tc>
        <w:tc>
          <w:tcPr>
            <w:tcW w:w="1382" w:type="dxa"/>
            <w:tcBorders>
              <w:top w:val="nil"/>
              <w:left w:val="nil"/>
              <w:bottom w:val="single" w:sz="4" w:space="0" w:color="auto"/>
              <w:right w:val="single" w:sz="4" w:space="0" w:color="auto"/>
            </w:tcBorders>
            <w:shd w:val="clear" w:color="auto" w:fill="auto"/>
            <w:noWrap/>
            <w:vAlign w:val="bottom"/>
            <w:hideMark/>
          </w:tcPr>
          <w:p w14:paraId="51C4994F" w14:textId="77777777" w:rsidR="00AD2F03" w:rsidRPr="00E84FF6" w:rsidRDefault="00AD2F03" w:rsidP="00E65C03">
            <w:pPr>
              <w:spacing w:line="240" w:lineRule="auto"/>
              <w:rPr>
                <w:rFonts w:ascii="Calibri" w:hAnsi="Calibri" w:cs="Calibri"/>
                <w:color w:val="000000"/>
              </w:rPr>
            </w:pPr>
            <w:r w:rsidRPr="00E84FF6">
              <w:rPr>
                <w:rFonts w:ascii="Calibri" w:hAnsi="Calibri" w:cs="Calibri"/>
                <w:color w:val="000000"/>
              </w:rPr>
              <w:t>deep</w:t>
            </w:r>
          </w:p>
        </w:tc>
        <w:tc>
          <w:tcPr>
            <w:tcW w:w="960" w:type="dxa"/>
            <w:tcBorders>
              <w:top w:val="nil"/>
              <w:left w:val="nil"/>
              <w:bottom w:val="single" w:sz="4" w:space="0" w:color="auto"/>
              <w:right w:val="single" w:sz="4" w:space="0" w:color="auto"/>
            </w:tcBorders>
            <w:shd w:val="clear" w:color="auto" w:fill="auto"/>
            <w:noWrap/>
            <w:vAlign w:val="bottom"/>
            <w:hideMark/>
          </w:tcPr>
          <w:p w14:paraId="7E3A45D6" w14:textId="77777777" w:rsidR="00AD2F03" w:rsidRPr="00E84FF6" w:rsidRDefault="00AD2F03" w:rsidP="00E65C03">
            <w:pPr>
              <w:spacing w:line="240" w:lineRule="auto"/>
              <w:rPr>
                <w:rFonts w:ascii="Calibri" w:hAnsi="Calibri" w:cs="Calibri"/>
                <w:color w:val="000000"/>
              </w:rPr>
            </w:pPr>
            <w:r w:rsidRPr="00E84FF6">
              <w:rPr>
                <w:rFonts w:ascii="Calibri" w:hAnsi="Calibri" w:cs="Calibri"/>
                <w:color w:val="000000"/>
              </w:rPr>
              <w:t>fine tune</w:t>
            </w:r>
          </w:p>
        </w:tc>
        <w:tc>
          <w:tcPr>
            <w:tcW w:w="1010" w:type="dxa"/>
            <w:tcBorders>
              <w:top w:val="nil"/>
              <w:left w:val="nil"/>
              <w:bottom w:val="single" w:sz="4" w:space="0" w:color="auto"/>
              <w:right w:val="single" w:sz="4" w:space="0" w:color="auto"/>
            </w:tcBorders>
            <w:shd w:val="clear" w:color="auto" w:fill="auto"/>
            <w:noWrap/>
            <w:vAlign w:val="bottom"/>
            <w:hideMark/>
          </w:tcPr>
          <w:p w14:paraId="1C96104A" w14:textId="77777777" w:rsidR="00AD2F03" w:rsidRPr="00E84FF6" w:rsidRDefault="00AD2F03" w:rsidP="00E65C03">
            <w:pPr>
              <w:spacing w:line="240" w:lineRule="auto"/>
              <w:jc w:val="right"/>
              <w:rPr>
                <w:rFonts w:ascii="Calibri" w:hAnsi="Calibri" w:cs="Calibri"/>
                <w:b/>
                <w:bCs/>
                <w:color w:val="000000"/>
              </w:rPr>
            </w:pPr>
            <w:r w:rsidRPr="00E84FF6">
              <w:rPr>
                <w:rFonts w:ascii="Calibri" w:hAnsi="Calibri" w:cs="Calibri"/>
                <w:b/>
                <w:bCs/>
                <w:color w:val="000000"/>
              </w:rPr>
              <w:t>0.838</w:t>
            </w:r>
          </w:p>
        </w:tc>
      </w:tr>
      <w:tr w:rsidR="00AD2F03" w:rsidRPr="00E84FF6" w14:paraId="35F6E796" w14:textId="77777777" w:rsidTr="00E65C03">
        <w:trPr>
          <w:trHeight w:val="288"/>
        </w:trPr>
        <w:tc>
          <w:tcPr>
            <w:tcW w:w="1167" w:type="dxa"/>
            <w:vMerge/>
            <w:tcBorders>
              <w:top w:val="nil"/>
              <w:left w:val="single" w:sz="4" w:space="0" w:color="auto"/>
              <w:bottom w:val="single" w:sz="4" w:space="0" w:color="auto"/>
              <w:right w:val="single" w:sz="4" w:space="0" w:color="auto"/>
            </w:tcBorders>
            <w:vAlign w:val="center"/>
            <w:hideMark/>
          </w:tcPr>
          <w:p w14:paraId="299967D9" w14:textId="77777777" w:rsidR="00AD2F03" w:rsidRPr="00E84FF6" w:rsidRDefault="00AD2F03" w:rsidP="00E65C03">
            <w:pPr>
              <w:spacing w:line="240" w:lineRule="auto"/>
              <w:rPr>
                <w:rFonts w:ascii="Calibri" w:hAnsi="Calibri" w:cs="Calibri"/>
                <w:color w:val="000000"/>
              </w:rPr>
            </w:pPr>
          </w:p>
        </w:tc>
        <w:tc>
          <w:tcPr>
            <w:tcW w:w="1298" w:type="dxa"/>
            <w:tcBorders>
              <w:top w:val="nil"/>
              <w:left w:val="nil"/>
              <w:bottom w:val="single" w:sz="4" w:space="0" w:color="auto"/>
              <w:right w:val="single" w:sz="4" w:space="0" w:color="auto"/>
            </w:tcBorders>
            <w:shd w:val="clear" w:color="auto" w:fill="auto"/>
            <w:noWrap/>
            <w:vAlign w:val="bottom"/>
            <w:hideMark/>
          </w:tcPr>
          <w:p w14:paraId="7D31CB9E" w14:textId="77777777" w:rsidR="00AD2F03" w:rsidRPr="00E84FF6" w:rsidRDefault="00AD2F03" w:rsidP="00E65C03">
            <w:pPr>
              <w:spacing w:line="240" w:lineRule="auto"/>
              <w:rPr>
                <w:rFonts w:ascii="Calibri" w:hAnsi="Calibri" w:cs="Calibri"/>
                <w:color w:val="000000"/>
              </w:rPr>
            </w:pPr>
            <w:r w:rsidRPr="00E84FF6">
              <w:rPr>
                <w:rFonts w:ascii="Calibri" w:hAnsi="Calibri" w:cs="Calibri"/>
                <w:color w:val="000000"/>
              </w:rPr>
              <w:t>VGG19</w:t>
            </w:r>
          </w:p>
        </w:tc>
        <w:tc>
          <w:tcPr>
            <w:tcW w:w="1382" w:type="dxa"/>
            <w:tcBorders>
              <w:top w:val="nil"/>
              <w:left w:val="nil"/>
              <w:bottom w:val="single" w:sz="4" w:space="0" w:color="auto"/>
              <w:right w:val="single" w:sz="4" w:space="0" w:color="auto"/>
            </w:tcBorders>
            <w:shd w:val="clear" w:color="auto" w:fill="auto"/>
            <w:noWrap/>
            <w:vAlign w:val="bottom"/>
            <w:hideMark/>
          </w:tcPr>
          <w:p w14:paraId="7A5D59CA" w14:textId="77777777" w:rsidR="00AD2F03" w:rsidRPr="00E84FF6" w:rsidRDefault="00AD2F03" w:rsidP="00E65C03">
            <w:pPr>
              <w:spacing w:line="240" w:lineRule="auto"/>
              <w:rPr>
                <w:rFonts w:ascii="Calibri" w:hAnsi="Calibri" w:cs="Calibri"/>
                <w:color w:val="000000"/>
              </w:rPr>
            </w:pPr>
            <w:r w:rsidRPr="00E84FF6">
              <w:rPr>
                <w:rFonts w:ascii="Calibri" w:hAnsi="Calibri" w:cs="Calibri"/>
                <w:color w:val="000000"/>
              </w:rPr>
              <w:t>intermediate</w:t>
            </w:r>
          </w:p>
        </w:tc>
        <w:tc>
          <w:tcPr>
            <w:tcW w:w="960" w:type="dxa"/>
            <w:tcBorders>
              <w:top w:val="nil"/>
              <w:left w:val="nil"/>
              <w:bottom w:val="single" w:sz="4" w:space="0" w:color="auto"/>
              <w:right w:val="single" w:sz="4" w:space="0" w:color="auto"/>
            </w:tcBorders>
            <w:shd w:val="clear" w:color="auto" w:fill="auto"/>
            <w:noWrap/>
            <w:vAlign w:val="bottom"/>
            <w:hideMark/>
          </w:tcPr>
          <w:p w14:paraId="6A4AA213" w14:textId="77777777" w:rsidR="00AD2F03" w:rsidRPr="00E84FF6" w:rsidRDefault="00AD2F03" w:rsidP="00E65C03">
            <w:pPr>
              <w:spacing w:line="240" w:lineRule="auto"/>
              <w:rPr>
                <w:rFonts w:ascii="Calibri" w:hAnsi="Calibri" w:cs="Calibri"/>
                <w:color w:val="000000"/>
              </w:rPr>
            </w:pPr>
            <w:r w:rsidRPr="00E84FF6">
              <w:rPr>
                <w:rFonts w:ascii="Calibri" w:hAnsi="Calibri" w:cs="Calibri"/>
                <w:color w:val="000000"/>
              </w:rPr>
              <w:t>fine tune</w:t>
            </w:r>
          </w:p>
        </w:tc>
        <w:tc>
          <w:tcPr>
            <w:tcW w:w="1010" w:type="dxa"/>
            <w:tcBorders>
              <w:top w:val="nil"/>
              <w:left w:val="nil"/>
              <w:bottom w:val="single" w:sz="4" w:space="0" w:color="auto"/>
              <w:right w:val="single" w:sz="4" w:space="0" w:color="auto"/>
            </w:tcBorders>
            <w:shd w:val="clear" w:color="auto" w:fill="auto"/>
            <w:noWrap/>
            <w:vAlign w:val="bottom"/>
            <w:hideMark/>
          </w:tcPr>
          <w:p w14:paraId="4C38B14E" w14:textId="77777777" w:rsidR="00AD2F03" w:rsidRPr="00E84FF6" w:rsidRDefault="00AD2F03" w:rsidP="00E65C03">
            <w:pPr>
              <w:spacing w:line="240" w:lineRule="auto"/>
              <w:jc w:val="right"/>
              <w:rPr>
                <w:rFonts w:ascii="Calibri" w:hAnsi="Calibri" w:cs="Calibri"/>
                <w:color w:val="000000"/>
              </w:rPr>
            </w:pPr>
            <w:r w:rsidRPr="00E84FF6">
              <w:rPr>
                <w:rFonts w:ascii="Calibri" w:hAnsi="Calibri" w:cs="Calibri"/>
                <w:color w:val="000000"/>
              </w:rPr>
              <w:t>0.833</w:t>
            </w:r>
          </w:p>
        </w:tc>
      </w:tr>
      <w:tr w:rsidR="00AD2F03" w:rsidRPr="00E84FF6" w14:paraId="70E3FD77" w14:textId="77777777" w:rsidTr="00E65C03">
        <w:trPr>
          <w:trHeight w:val="288"/>
        </w:trPr>
        <w:tc>
          <w:tcPr>
            <w:tcW w:w="116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C1F2EB2" w14:textId="77777777" w:rsidR="00AD2F03" w:rsidRPr="00E84FF6" w:rsidRDefault="00AD2F03" w:rsidP="00E65C03">
            <w:pPr>
              <w:spacing w:line="240" w:lineRule="auto"/>
              <w:rPr>
                <w:rFonts w:ascii="Calibri" w:hAnsi="Calibri" w:cs="Calibri"/>
                <w:color w:val="000000"/>
              </w:rPr>
            </w:pPr>
            <w:r w:rsidRPr="00E84FF6">
              <w:rPr>
                <w:rFonts w:ascii="Calibri" w:hAnsi="Calibri" w:cs="Calibri"/>
                <w:color w:val="000000"/>
              </w:rPr>
              <w:t>UCMerced</w:t>
            </w:r>
          </w:p>
        </w:tc>
        <w:tc>
          <w:tcPr>
            <w:tcW w:w="1298" w:type="dxa"/>
            <w:tcBorders>
              <w:top w:val="nil"/>
              <w:left w:val="nil"/>
              <w:bottom w:val="single" w:sz="4" w:space="0" w:color="auto"/>
              <w:right w:val="single" w:sz="4" w:space="0" w:color="auto"/>
            </w:tcBorders>
            <w:shd w:val="clear" w:color="auto" w:fill="auto"/>
            <w:noWrap/>
            <w:vAlign w:val="bottom"/>
            <w:hideMark/>
          </w:tcPr>
          <w:p w14:paraId="334F4E43" w14:textId="77777777" w:rsidR="00AD2F03" w:rsidRPr="00E84FF6" w:rsidRDefault="00AD2F03" w:rsidP="00E65C03">
            <w:pPr>
              <w:spacing w:line="240" w:lineRule="auto"/>
              <w:rPr>
                <w:rFonts w:ascii="Calibri" w:hAnsi="Calibri" w:cs="Calibri"/>
                <w:color w:val="000000"/>
              </w:rPr>
            </w:pPr>
            <w:r w:rsidRPr="00E84FF6">
              <w:rPr>
                <w:rFonts w:ascii="Calibri" w:hAnsi="Calibri" w:cs="Calibri"/>
                <w:color w:val="000000"/>
              </w:rPr>
              <w:t>InceptionV3</w:t>
            </w:r>
          </w:p>
        </w:tc>
        <w:tc>
          <w:tcPr>
            <w:tcW w:w="1382" w:type="dxa"/>
            <w:tcBorders>
              <w:top w:val="nil"/>
              <w:left w:val="nil"/>
              <w:bottom w:val="single" w:sz="4" w:space="0" w:color="auto"/>
              <w:right w:val="single" w:sz="4" w:space="0" w:color="auto"/>
            </w:tcBorders>
            <w:shd w:val="clear" w:color="auto" w:fill="auto"/>
            <w:noWrap/>
            <w:vAlign w:val="bottom"/>
            <w:hideMark/>
          </w:tcPr>
          <w:p w14:paraId="047A33E4" w14:textId="77777777" w:rsidR="00AD2F03" w:rsidRPr="00E84FF6" w:rsidRDefault="00AD2F03" w:rsidP="00E65C03">
            <w:pPr>
              <w:spacing w:line="240" w:lineRule="auto"/>
              <w:rPr>
                <w:rFonts w:ascii="Calibri" w:hAnsi="Calibri" w:cs="Calibri"/>
                <w:color w:val="000000"/>
              </w:rPr>
            </w:pPr>
            <w:r w:rsidRPr="00E84FF6">
              <w:rPr>
                <w:rFonts w:ascii="Calibri" w:hAnsi="Calibri" w:cs="Calibri"/>
                <w:color w:val="000000"/>
              </w:rPr>
              <w:t>intermediate</w:t>
            </w:r>
          </w:p>
        </w:tc>
        <w:tc>
          <w:tcPr>
            <w:tcW w:w="960" w:type="dxa"/>
            <w:tcBorders>
              <w:top w:val="nil"/>
              <w:left w:val="nil"/>
              <w:bottom w:val="single" w:sz="4" w:space="0" w:color="auto"/>
              <w:right w:val="single" w:sz="4" w:space="0" w:color="auto"/>
            </w:tcBorders>
            <w:shd w:val="clear" w:color="auto" w:fill="auto"/>
            <w:noWrap/>
            <w:vAlign w:val="bottom"/>
            <w:hideMark/>
          </w:tcPr>
          <w:p w14:paraId="5F25533F" w14:textId="77777777" w:rsidR="00AD2F03" w:rsidRPr="00E84FF6" w:rsidRDefault="00AD2F03" w:rsidP="00E65C03">
            <w:pPr>
              <w:spacing w:line="240" w:lineRule="auto"/>
              <w:rPr>
                <w:rFonts w:ascii="Calibri" w:hAnsi="Calibri" w:cs="Calibri"/>
                <w:color w:val="000000"/>
              </w:rPr>
            </w:pPr>
            <w:r w:rsidRPr="00E84FF6">
              <w:rPr>
                <w:rFonts w:ascii="Calibri" w:hAnsi="Calibri" w:cs="Calibri"/>
                <w:color w:val="000000"/>
              </w:rPr>
              <w:t>fine tune</w:t>
            </w:r>
          </w:p>
        </w:tc>
        <w:tc>
          <w:tcPr>
            <w:tcW w:w="1010" w:type="dxa"/>
            <w:tcBorders>
              <w:top w:val="nil"/>
              <w:left w:val="nil"/>
              <w:bottom w:val="single" w:sz="4" w:space="0" w:color="auto"/>
              <w:right w:val="single" w:sz="4" w:space="0" w:color="auto"/>
            </w:tcBorders>
            <w:shd w:val="clear" w:color="auto" w:fill="auto"/>
            <w:noWrap/>
            <w:vAlign w:val="bottom"/>
            <w:hideMark/>
          </w:tcPr>
          <w:p w14:paraId="35F7722D" w14:textId="77777777" w:rsidR="00AD2F03" w:rsidRPr="00E84FF6" w:rsidRDefault="00AD2F03" w:rsidP="00E65C03">
            <w:pPr>
              <w:spacing w:line="240" w:lineRule="auto"/>
              <w:jc w:val="right"/>
              <w:rPr>
                <w:rFonts w:ascii="Calibri" w:hAnsi="Calibri" w:cs="Calibri"/>
                <w:b/>
                <w:bCs/>
                <w:color w:val="000000"/>
              </w:rPr>
            </w:pPr>
            <w:r w:rsidRPr="00E84FF6">
              <w:rPr>
                <w:rFonts w:ascii="Calibri" w:hAnsi="Calibri" w:cs="Calibri"/>
                <w:b/>
                <w:bCs/>
                <w:color w:val="000000"/>
              </w:rPr>
              <w:t>0.948</w:t>
            </w:r>
          </w:p>
        </w:tc>
      </w:tr>
      <w:tr w:rsidR="00AD2F03" w:rsidRPr="00E84FF6" w14:paraId="16A01CC7" w14:textId="77777777" w:rsidTr="00E65C03">
        <w:trPr>
          <w:trHeight w:val="288"/>
        </w:trPr>
        <w:tc>
          <w:tcPr>
            <w:tcW w:w="1167" w:type="dxa"/>
            <w:vMerge/>
            <w:tcBorders>
              <w:top w:val="nil"/>
              <w:left w:val="single" w:sz="4" w:space="0" w:color="auto"/>
              <w:bottom w:val="single" w:sz="4" w:space="0" w:color="auto"/>
              <w:right w:val="single" w:sz="4" w:space="0" w:color="auto"/>
            </w:tcBorders>
            <w:vAlign w:val="center"/>
            <w:hideMark/>
          </w:tcPr>
          <w:p w14:paraId="757FA541" w14:textId="77777777" w:rsidR="00AD2F03" w:rsidRPr="00E84FF6" w:rsidRDefault="00AD2F03" w:rsidP="00E65C03">
            <w:pPr>
              <w:spacing w:line="240" w:lineRule="auto"/>
              <w:rPr>
                <w:rFonts w:ascii="Calibri" w:hAnsi="Calibri" w:cs="Calibri"/>
                <w:color w:val="000000"/>
              </w:rPr>
            </w:pPr>
          </w:p>
        </w:tc>
        <w:tc>
          <w:tcPr>
            <w:tcW w:w="1298" w:type="dxa"/>
            <w:tcBorders>
              <w:top w:val="nil"/>
              <w:left w:val="nil"/>
              <w:bottom w:val="single" w:sz="4" w:space="0" w:color="auto"/>
              <w:right w:val="single" w:sz="4" w:space="0" w:color="auto"/>
            </w:tcBorders>
            <w:shd w:val="clear" w:color="auto" w:fill="auto"/>
            <w:noWrap/>
            <w:vAlign w:val="bottom"/>
            <w:hideMark/>
          </w:tcPr>
          <w:p w14:paraId="3CF3A586" w14:textId="77777777" w:rsidR="00AD2F03" w:rsidRPr="00E84FF6" w:rsidRDefault="00AD2F03" w:rsidP="00E65C03">
            <w:pPr>
              <w:spacing w:line="240" w:lineRule="auto"/>
              <w:rPr>
                <w:rFonts w:ascii="Calibri" w:hAnsi="Calibri" w:cs="Calibri"/>
                <w:color w:val="000000"/>
              </w:rPr>
            </w:pPr>
            <w:r w:rsidRPr="00E84FF6">
              <w:rPr>
                <w:rFonts w:ascii="Calibri" w:hAnsi="Calibri" w:cs="Calibri"/>
                <w:color w:val="000000"/>
              </w:rPr>
              <w:t>VGG19</w:t>
            </w:r>
          </w:p>
        </w:tc>
        <w:tc>
          <w:tcPr>
            <w:tcW w:w="1382" w:type="dxa"/>
            <w:tcBorders>
              <w:top w:val="nil"/>
              <w:left w:val="nil"/>
              <w:bottom w:val="single" w:sz="4" w:space="0" w:color="auto"/>
              <w:right w:val="single" w:sz="4" w:space="0" w:color="auto"/>
            </w:tcBorders>
            <w:shd w:val="clear" w:color="auto" w:fill="auto"/>
            <w:noWrap/>
            <w:vAlign w:val="bottom"/>
            <w:hideMark/>
          </w:tcPr>
          <w:p w14:paraId="6A21E9B5" w14:textId="77777777" w:rsidR="00AD2F03" w:rsidRPr="00E84FF6" w:rsidRDefault="00AD2F03" w:rsidP="00E65C03">
            <w:pPr>
              <w:spacing w:line="240" w:lineRule="auto"/>
              <w:rPr>
                <w:rFonts w:ascii="Calibri" w:hAnsi="Calibri" w:cs="Calibri"/>
                <w:color w:val="000000"/>
              </w:rPr>
            </w:pPr>
            <w:r w:rsidRPr="00E84FF6">
              <w:rPr>
                <w:rFonts w:ascii="Calibri" w:hAnsi="Calibri" w:cs="Calibri"/>
                <w:color w:val="000000"/>
              </w:rPr>
              <w:t>deep</w:t>
            </w:r>
          </w:p>
        </w:tc>
        <w:tc>
          <w:tcPr>
            <w:tcW w:w="960" w:type="dxa"/>
            <w:tcBorders>
              <w:top w:val="nil"/>
              <w:left w:val="nil"/>
              <w:bottom w:val="single" w:sz="4" w:space="0" w:color="auto"/>
              <w:right w:val="single" w:sz="4" w:space="0" w:color="auto"/>
            </w:tcBorders>
            <w:shd w:val="clear" w:color="auto" w:fill="auto"/>
            <w:noWrap/>
            <w:vAlign w:val="bottom"/>
            <w:hideMark/>
          </w:tcPr>
          <w:p w14:paraId="320FB167" w14:textId="77777777" w:rsidR="00AD2F03" w:rsidRPr="00E84FF6" w:rsidRDefault="00AD2F03" w:rsidP="00E65C03">
            <w:pPr>
              <w:spacing w:line="240" w:lineRule="auto"/>
              <w:rPr>
                <w:rFonts w:ascii="Calibri" w:hAnsi="Calibri" w:cs="Calibri"/>
                <w:color w:val="000000"/>
              </w:rPr>
            </w:pPr>
            <w:r w:rsidRPr="00E84FF6">
              <w:rPr>
                <w:rFonts w:ascii="Calibri" w:hAnsi="Calibri" w:cs="Calibri"/>
                <w:color w:val="000000"/>
              </w:rPr>
              <w:t>fine tune</w:t>
            </w:r>
          </w:p>
        </w:tc>
        <w:tc>
          <w:tcPr>
            <w:tcW w:w="1010" w:type="dxa"/>
            <w:tcBorders>
              <w:top w:val="nil"/>
              <w:left w:val="nil"/>
              <w:bottom w:val="single" w:sz="4" w:space="0" w:color="auto"/>
              <w:right w:val="single" w:sz="4" w:space="0" w:color="auto"/>
            </w:tcBorders>
            <w:shd w:val="clear" w:color="auto" w:fill="auto"/>
            <w:noWrap/>
            <w:vAlign w:val="bottom"/>
            <w:hideMark/>
          </w:tcPr>
          <w:p w14:paraId="1F157E6F" w14:textId="77777777" w:rsidR="00AD2F03" w:rsidRPr="00E84FF6" w:rsidRDefault="00AD2F03" w:rsidP="00E65C03">
            <w:pPr>
              <w:spacing w:line="240" w:lineRule="auto"/>
              <w:jc w:val="right"/>
              <w:rPr>
                <w:rFonts w:ascii="Calibri" w:hAnsi="Calibri" w:cs="Calibri"/>
                <w:color w:val="000000"/>
              </w:rPr>
            </w:pPr>
            <w:r w:rsidRPr="00E84FF6">
              <w:rPr>
                <w:rFonts w:ascii="Calibri" w:hAnsi="Calibri" w:cs="Calibri"/>
                <w:color w:val="000000"/>
              </w:rPr>
              <w:t>0.886</w:t>
            </w:r>
          </w:p>
        </w:tc>
      </w:tr>
    </w:tbl>
    <w:p w14:paraId="177CB777" w14:textId="77777777" w:rsidR="00AD2F03" w:rsidRDefault="00AD2F03" w:rsidP="00AD2F03"/>
    <w:p w14:paraId="01175CDA" w14:textId="77777777" w:rsidR="002F1077" w:rsidRDefault="002F1077">
      <w:pPr>
        <w:spacing w:line="240" w:lineRule="auto"/>
        <w:rPr>
          <w:rFonts w:ascii="Times New Roman" w:hAnsi="Times New Roman"/>
          <w:bCs/>
          <w:iCs/>
        </w:rPr>
      </w:pPr>
      <w:bookmarkStart w:id="272" w:name="_Ref21697335"/>
      <w:r>
        <w:br w:type="page"/>
      </w:r>
    </w:p>
    <w:p w14:paraId="26971A69" w14:textId="6AE227A2" w:rsidR="00AD2F03" w:rsidRDefault="00AD2F03" w:rsidP="00607DF1">
      <w:pPr>
        <w:pStyle w:val="Caption"/>
      </w:pPr>
      <w:bookmarkStart w:id="273" w:name="_Toc26534553"/>
      <w:r>
        <w:lastRenderedPageBreak/>
        <w:t xml:space="preserve">Table </w:t>
      </w:r>
      <w:r w:rsidR="00CE1F3C">
        <w:fldChar w:fldCharType="begin"/>
      </w:r>
      <w:r w:rsidR="00CE1F3C">
        <w:instrText xml:space="preserve"> SEQ Table \* ARABIC </w:instrText>
      </w:r>
      <w:r w:rsidR="00CE1F3C">
        <w:fldChar w:fldCharType="separate"/>
      </w:r>
      <w:r w:rsidR="001C535D">
        <w:rPr>
          <w:noProof/>
        </w:rPr>
        <w:t>16</w:t>
      </w:r>
      <w:r w:rsidR="00CE1F3C">
        <w:rPr>
          <w:noProof/>
        </w:rPr>
        <w:fldChar w:fldCharType="end"/>
      </w:r>
      <w:bookmarkEnd w:id="272"/>
      <w:r>
        <w:t xml:space="preserve">: </w:t>
      </w:r>
      <w:r w:rsidRPr="00BB4BAB">
        <w:t xml:space="preserve">Best </w:t>
      </w:r>
      <w:r>
        <w:t>test set accuracy for Inception V3</w:t>
      </w:r>
      <w:r w:rsidRPr="00BB4BAB">
        <w:t xml:space="preserve"> and VGG19 version for each Dataset</w:t>
      </w:r>
      <w:r>
        <w:t xml:space="preserve"> using </w:t>
      </w:r>
      <w:r w:rsidRPr="00B23D82">
        <w:rPr>
          <w:rFonts w:ascii="Calibri" w:hAnsi="Calibri"/>
          <w:color w:val="000000"/>
        </w:rPr>
        <w:t>Adamax (2e-3)</w:t>
      </w:r>
      <w:r>
        <w:t xml:space="preserve"> optimizer.</w:t>
      </w:r>
      <w:bookmarkEnd w:id="273"/>
    </w:p>
    <w:tbl>
      <w:tblPr>
        <w:tblW w:w="7032" w:type="dxa"/>
        <w:tblLook w:val="04A0" w:firstRow="1" w:lastRow="0" w:firstColumn="1" w:lastColumn="0" w:noHBand="0" w:noVBand="1"/>
      </w:tblPr>
      <w:tblGrid>
        <w:gridCol w:w="1283"/>
        <w:gridCol w:w="1457"/>
        <w:gridCol w:w="1416"/>
        <w:gridCol w:w="1943"/>
        <w:gridCol w:w="1083"/>
      </w:tblGrid>
      <w:tr w:rsidR="00AD2F03" w:rsidRPr="00BB4BAB" w14:paraId="68744D9C" w14:textId="77777777" w:rsidTr="00E65C03">
        <w:trPr>
          <w:trHeight w:val="288"/>
        </w:trPr>
        <w:tc>
          <w:tcPr>
            <w:tcW w:w="12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DD013E" w14:textId="77777777" w:rsidR="00AD2F03" w:rsidRPr="00BB4BAB" w:rsidRDefault="00AD2F03" w:rsidP="00E65C03">
            <w:pPr>
              <w:spacing w:line="240" w:lineRule="auto"/>
              <w:rPr>
                <w:rFonts w:ascii="Calibri" w:hAnsi="Calibri"/>
                <w:b/>
                <w:bCs/>
                <w:color w:val="000000"/>
              </w:rPr>
            </w:pPr>
            <w:r>
              <w:rPr>
                <w:rFonts w:ascii="Calibri" w:hAnsi="Calibri"/>
                <w:b/>
                <w:bCs/>
                <w:color w:val="000000"/>
              </w:rPr>
              <w:t>Dataset</w:t>
            </w:r>
          </w:p>
        </w:tc>
        <w:tc>
          <w:tcPr>
            <w:tcW w:w="1457" w:type="dxa"/>
            <w:tcBorders>
              <w:top w:val="single" w:sz="4" w:space="0" w:color="auto"/>
              <w:left w:val="nil"/>
              <w:bottom w:val="single" w:sz="4" w:space="0" w:color="auto"/>
              <w:right w:val="single" w:sz="4" w:space="0" w:color="auto"/>
            </w:tcBorders>
            <w:shd w:val="clear" w:color="auto" w:fill="auto"/>
            <w:noWrap/>
            <w:vAlign w:val="bottom"/>
            <w:hideMark/>
          </w:tcPr>
          <w:p w14:paraId="72856BDB" w14:textId="77777777" w:rsidR="00AD2F03" w:rsidRPr="00BB4BAB" w:rsidRDefault="00AD2F03" w:rsidP="00E65C03">
            <w:pPr>
              <w:spacing w:line="240" w:lineRule="auto"/>
              <w:rPr>
                <w:rFonts w:ascii="Calibri" w:hAnsi="Calibri"/>
                <w:b/>
                <w:bCs/>
                <w:color w:val="000000"/>
              </w:rPr>
            </w:pPr>
            <w:r>
              <w:rPr>
                <w:rFonts w:ascii="Calibri" w:hAnsi="Calibri"/>
                <w:b/>
                <w:bCs/>
                <w:color w:val="000000"/>
              </w:rPr>
              <w:t>model</w:t>
            </w:r>
          </w:p>
        </w:tc>
        <w:tc>
          <w:tcPr>
            <w:tcW w:w="1382" w:type="dxa"/>
            <w:tcBorders>
              <w:top w:val="single" w:sz="4" w:space="0" w:color="auto"/>
              <w:left w:val="nil"/>
              <w:bottom w:val="single" w:sz="4" w:space="0" w:color="auto"/>
              <w:right w:val="single" w:sz="4" w:space="0" w:color="auto"/>
            </w:tcBorders>
            <w:shd w:val="clear" w:color="auto" w:fill="auto"/>
            <w:noWrap/>
            <w:vAlign w:val="bottom"/>
            <w:hideMark/>
          </w:tcPr>
          <w:p w14:paraId="0387A394" w14:textId="77777777" w:rsidR="00AD2F03" w:rsidRPr="00BB4BAB" w:rsidRDefault="00AD2F03" w:rsidP="00E65C03">
            <w:pPr>
              <w:spacing w:line="240" w:lineRule="auto"/>
              <w:rPr>
                <w:rFonts w:ascii="Calibri" w:hAnsi="Calibri"/>
                <w:b/>
                <w:bCs/>
                <w:color w:val="000000"/>
              </w:rPr>
            </w:pPr>
            <w:r>
              <w:rPr>
                <w:rFonts w:ascii="Calibri" w:hAnsi="Calibri"/>
                <w:b/>
                <w:bCs/>
                <w:color w:val="000000"/>
              </w:rPr>
              <w:t>depth</w:t>
            </w:r>
          </w:p>
        </w:tc>
        <w:tc>
          <w:tcPr>
            <w:tcW w:w="1943" w:type="dxa"/>
            <w:tcBorders>
              <w:top w:val="single" w:sz="4" w:space="0" w:color="auto"/>
              <w:left w:val="nil"/>
              <w:bottom w:val="single" w:sz="4" w:space="0" w:color="auto"/>
              <w:right w:val="single" w:sz="4" w:space="0" w:color="auto"/>
            </w:tcBorders>
            <w:shd w:val="clear" w:color="auto" w:fill="auto"/>
            <w:noWrap/>
            <w:vAlign w:val="bottom"/>
            <w:hideMark/>
          </w:tcPr>
          <w:p w14:paraId="059B115A" w14:textId="77777777" w:rsidR="00AD2F03" w:rsidRPr="00BB4BAB" w:rsidRDefault="00AD2F03" w:rsidP="00E65C03">
            <w:pPr>
              <w:spacing w:line="240" w:lineRule="auto"/>
              <w:rPr>
                <w:rFonts w:ascii="Calibri" w:hAnsi="Calibri"/>
                <w:b/>
                <w:bCs/>
                <w:color w:val="000000"/>
              </w:rPr>
            </w:pPr>
            <w:r>
              <w:rPr>
                <w:rFonts w:ascii="Calibri" w:hAnsi="Calibri"/>
                <w:b/>
                <w:bCs/>
                <w:color w:val="000000"/>
              </w:rPr>
              <w:t>mode</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14:paraId="28F56018" w14:textId="77777777" w:rsidR="00AD2F03" w:rsidRPr="00BB4BAB" w:rsidRDefault="00AD2F03" w:rsidP="00E65C03">
            <w:pPr>
              <w:spacing w:line="240" w:lineRule="auto"/>
              <w:jc w:val="right"/>
              <w:rPr>
                <w:rFonts w:ascii="Calibri" w:hAnsi="Calibri"/>
                <w:b/>
                <w:bCs/>
                <w:color w:val="000000"/>
              </w:rPr>
            </w:pPr>
            <w:r>
              <w:rPr>
                <w:rFonts w:ascii="Calibri" w:hAnsi="Calibri"/>
                <w:b/>
                <w:bCs/>
                <w:color w:val="000000"/>
              </w:rPr>
              <w:t>accuracy</w:t>
            </w:r>
          </w:p>
        </w:tc>
      </w:tr>
      <w:tr w:rsidR="00AD2F03" w:rsidRPr="00BB4BAB" w14:paraId="256A8AAD" w14:textId="77777777" w:rsidTr="00E65C03">
        <w:trPr>
          <w:trHeight w:val="288"/>
        </w:trPr>
        <w:tc>
          <w:tcPr>
            <w:tcW w:w="1210" w:type="dxa"/>
            <w:vMerge w:val="restart"/>
            <w:tcBorders>
              <w:top w:val="nil"/>
              <w:left w:val="single" w:sz="4" w:space="0" w:color="auto"/>
              <w:bottom w:val="single" w:sz="4" w:space="0" w:color="auto"/>
              <w:right w:val="single" w:sz="4" w:space="0" w:color="auto"/>
            </w:tcBorders>
            <w:shd w:val="clear" w:color="auto" w:fill="auto"/>
            <w:noWrap/>
            <w:hideMark/>
          </w:tcPr>
          <w:p w14:paraId="50D25228" w14:textId="77777777" w:rsidR="00AD2F03" w:rsidRPr="00BB4BAB" w:rsidRDefault="00AD2F03" w:rsidP="00E65C03">
            <w:pPr>
              <w:spacing w:line="240" w:lineRule="auto"/>
              <w:rPr>
                <w:rFonts w:ascii="Calibri" w:hAnsi="Calibri"/>
                <w:color w:val="000000"/>
              </w:rPr>
            </w:pPr>
            <w:r w:rsidRPr="00233446">
              <w:t>PatternNet</w:t>
            </w:r>
          </w:p>
          <w:p w14:paraId="2FA6A55E" w14:textId="77777777" w:rsidR="00AD2F03" w:rsidRPr="00BB4BAB" w:rsidRDefault="00AD2F03" w:rsidP="00E65C03">
            <w:pPr>
              <w:spacing w:line="240" w:lineRule="auto"/>
              <w:rPr>
                <w:rFonts w:ascii="Calibri" w:hAnsi="Calibri"/>
                <w:color w:val="000000"/>
              </w:rPr>
            </w:pPr>
          </w:p>
        </w:tc>
        <w:tc>
          <w:tcPr>
            <w:tcW w:w="1457" w:type="dxa"/>
            <w:tcBorders>
              <w:top w:val="nil"/>
              <w:left w:val="nil"/>
              <w:bottom w:val="single" w:sz="4" w:space="0" w:color="auto"/>
              <w:right w:val="single" w:sz="4" w:space="0" w:color="auto"/>
            </w:tcBorders>
            <w:shd w:val="clear" w:color="auto" w:fill="auto"/>
            <w:noWrap/>
            <w:hideMark/>
          </w:tcPr>
          <w:p w14:paraId="2722E303" w14:textId="77777777" w:rsidR="00AD2F03" w:rsidRPr="00BB4BAB" w:rsidRDefault="00AD2F03" w:rsidP="00E65C03">
            <w:pPr>
              <w:spacing w:line="240" w:lineRule="auto"/>
              <w:rPr>
                <w:rFonts w:ascii="Calibri" w:hAnsi="Calibri"/>
                <w:color w:val="000000"/>
              </w:rPr>
            </w:pPr>
            <w:r w:rsidRPr="00233446">
              <w:t>InceptionV3</w:t>
            </w:r>
          </w:p>
        </w:tc>
        <w:tc>
          <w:tcPr>
            <w:tcW w:w="1382" w:type="dxa"/>
            <w:tcBorders>
              <w:top w:val="nil"/>
              <w:left w:val="nil"/>
              <w:bottom w:val="single" w:sz="4" w:space="0" w:color="auto"/>
              <w:right w:val="single" w:sz="4" w:space="0" w:color="auto"/>
            </w:tcBorders>
            <w:shd w:val="clear" w:color="auto" w:fill="auto"/>
            <w:noWrap/>
            <w:hideMark/>
          </w:tcPr>
          <w:p w14:paraId="006BB818" w14:textId="77777777" w:rsidR="00AD2F03" w:rsidRPr="00BB4BAB" w:rsidRDefault="00AD2F03" w:rsidP="00E65C03">
            <w:pPr>
              <w:spacing w:line="240" w:lineRule="auto"/>
              <w:rPr>
                <w:rFonts w:ascii="Calibri" w:hAnsi="Calibri"/>
                <w:color w:val="000000"/>
              </w:rPr>
            </w:pPr>
            <w:r w:rsidRPr="00233446">
              <w:t>intermediate</w:t>
            </w:r>
          </w:p>
        </w:tc>
        <w:tc>
          <w:tcPr>
            <w:tcW w:w="1943" w:type="dxa"/>
            <w:tcBorders>
              <w:top w:val="nil"/>
              <w:left w:val="nil"/>
              <w:bottom w:val="single" w:sz="4" w:space="0" w:color="auto"/>
              <w:right w:val="single" w:sz="4" w:space="0" w:color="auto"/>
            </w:tcBorders>
            <w:shd w:val="clear" w:color="auto" w:fill="auto"/>
            <w:noWrap/>
            <w:hideMark/>
          </w:tcPr>
          <w:p w14:paraId="3F822791" w14:textId="77777777" w:rsidR="00AD2F03" w:rsidRPr="00BB4BAB" w:rsidRDefault="00AD2F03" w:rsidP="00E65C03">
            <w:pPr>
              <w:spacing w:line="240" w:lineRule="auto"/>
              <w:rPr>
                <w:rFonts w:ascii="Calibri" w:hAnsi="Calibri"/>
                <w:color w:val="000000"/>
              </w:rPr>
            </w:pPr>
            <w:r w:rsidRPr="00233446">
              <w:t>fine tune</w:t>
            </w:r>
          </w:p>
        </w:tc>
        <w:tc>
          <w:tcPr>
            <w:tcW w:w="1040" w:type="dxa"/>
            <w:tcBorders>
              <w:top w:val="nil"/>
              <w:left w:val="nil"/>
              <w:bottom w:val="single" w:sz="4" w:space="0" w:color="auto"/>
              <w:right w:val="single" w:sz="4" w:space="0" w:color="auto"/>
            </w:tcBorders>
            <w:shd w:val="clear" w:color="auto" w:fill="auto"/>
            <w:noWrap/>
            <w:hideMark/>
          </w:tcPr>
          <w:p w14:paraId="7F34BE04" w14:textId="77777777" w:rsidR="00AD2F03" w:rsidRPr="009D6AF7" w:rsidRDefault="00AD2F03" w:rsidP="00E65C03">
            <w:pPr>
              <w:spacing w:line="240" w:lineRule="auto"/>
              <w:jc w:val="right"/>
              <w:rPr>
                <w:rFonts w:ascii="Calibri" w:hAnsi="Calibri"/>
                <w:b/>
                <w:bCs/>
                <w:color w:val="000000"/>
              </w:rPr>
            </w:pPr>
            <w:r w:rsidRPr="009D6AF7">
              <w:rPr>
                <w:b/>
                <w:bCs/>
              </w:rPr>
              <w:t>0.993</w:t>
            </w:r>
          </w:p>
        </w:tc>
      </w:tr>
      <w:tr w:rsidR="00AD2F03" w:rsidRPr="00BB4BAB" w14:paraId="70F1374F" w14:textId="77777777" w:rsidTr="00E65C03">
        <w:trPr>
          <w:trHeight w:val="288"/>
        </w:trPr>
        <w:tc>
          <w:tcPr>
            <w:tcW w:w="1210" w:type="dxa"/>
            <w:vMerge/>
            <w:tcBorders>
              <w:top w:val="nil"/>
              <w:left w:val="single" w:sz="4" w:space="0" w:color="auto"/>
              <w:bottom w:val="single" w:sz="4" w:space="0" w:color="auto"/>
              <w:right w:val="single" w:sz="4" w:space="0" w:color="auto"/>
            </w:tcBorders>
            <w:hideMark/>
          </w:tcPr>
          <w:p w14:paraId="0356E5FE" w14:textId="77777777" w:rsidR="00AD2F03" w:rsidRPr="00BB4BAB" w:rsidRDefault="00AD2F03" w:rsidP="00E65C03">
            <w:pPr>
              <w:spacing w:line="240" w:lineRule="auto"/>
              <w:rPr>
                <w:rFonts w:ascii="Calibri" w:hAnsi="Calibri"/>
                <w:color w:val="000000"/>
              </w:rPr>
            </w:pPr>
          </w:p>
        </w:tc>
        <w:tc>
          <w:tcPr>
            <w:tcW w:w="1457" w:type="dxa"/>
            <w:tcBorders>
              <w:top w:val="nil"/>
              <w:left w:val="nil"/>
              <w:bottom w:val="single" w:sz="4" w:space="0" w:color="auto"/>
              <w:right w:val="single" w:sz="4" w:space="0" w:color="auto"/>
            </w:tcBorders>
            <w:shd w:val="clear" w:color="auto" w:fill="auto"/>
            <w:noWrap/>
            <w:hideMark/>
          </w:tcPr>
          <w:p w14:paraId="37C1FE44" w14:textId="77777777" w:rsidR="00AD2F03" w:rsidRPr="00BB4BAB" w:rsidRDefault="00AD2F03" w:rsidP="00E65C03">
            <w:pPr>
              <w:spacing w:line="240" w:lineRule="auto"/>
              <w:rPr>
                <w:rFonts w:ascii="Calibri" w:hAnsi="Calibri"/>
                <w:color w:val="000000"/>
              </w:rPr>
            </w:pPr>
            <w:r w:rsidRPr="00233446">
              <w:t>VGG19</w:t>
            </w:r>
          </w:p>
        </w:tc>
        <w:tc>
          <w:tcPr>
            <w:tcW w:w="1382" w:type="dxa"/>
            <w:tcBorders>
              <w:top w:val="nil"/>
              <w:left w:val="nil"/>
              <w:bottom w:val="single" w:sz="4" w:space="0" w:color="auto"/>
              <w:right w:val="single" w:sz="4" w:space="0" w:color="auto"/>
            </w:tcBorders>
            <w:shd w:val="clear" w:color="auto" w:fill="auto"/>
            <w:noWrap/>
            <w:hideMark/>
          </w:tcPr>
          <w:p w14:paraId="28444B00" w14:textId="77777777" w:rsidR="00AD2F03" w:rsidRPr="00BB4BAB" w:rsidRDefault="00AD2F03" w:rsidP="00E65C03">
            <w:pPr>
              <w:spacing w:line="240" w:lineRule="auto"/>
              <w:rPr>
                <w:rFonts w:ascii="Calibri" w:hAnsi="Calibri"/>
                <w:color w:val="000000"/>
              </w:rPr>
            </w:pPr>
            <w:r w:rsidRPr="00233446">
              <w:t>deep</w:t>
            </w:r>
          </w:p>
        </w:tc>
        <w:tc>
          <w:tcPr>
            <w:tcW w:w="1943" w:type="dxa"/>
            <w:tcBorders>
              <w:top w:val="nil"/>
              <w:left w:val="nil"/>
              <w:bottom w:val="single" w:sz="4" w:space="0" w:color="auto"/>
              <w:right w:val="single" w:sz="4" w:space="0" w:color="auto"/>
            </w:tcBorders>
            <w:shd w:val="clear" w:color="auto" w:fill="auto"/>
            <w:noWrap/>
            <w:hideMark/>
          </w:tcPr>
          <w:p w14:paraId="5EFDFFBD" w14:textId="77777777" w:rsidR="00AD2F03" w:rsidRPr="00BB4BAB" w:rsidRDefault="00AD2F03" w:rsidP="00E65C03">
            <w:pPr>
              <w:spacing w:line="240" w:lineRule="auto"/>
              <w:rPr>
                <w:rFonts w:ascii="Calibri" w:hAnsi="Calibri"/>
                <w:color w:val="000000"/>
              </w:rPr>
            </w:pPr>
            <w:r w:rsidRPr="00233446">
              <w:t>feature extraction</w:t>
            </w:r>
          </w:p>
        </w:tc>
        <w:tc>
          <w:tcPr>
            <w:tcW w:w="1040" w:type="dxa"/>
            <w:tcBorders>
              <w:top w:val="nil"/>
              <w:left w:val="nil"/>
              <w:bottom w:val="single" w:sz="4" w:space="0" w:color="auto"/>
              <w:right w:val="single" w:sz="4" w:space="0" w:color="auto"/>
            </w:tcBorders>
            <w:shd w:val="clear" w:color="auto" w:fill="auto"/>
            <w:noWrap/>
            <w:hideMark/>
          </w:tcPr>
          <w:p w14:paraId="5148CD1A" w14:textId="77777777" w:rsidR="00AD2F03" w:rsidRPr="00BB4BAB" w:rsidRDefault="00AD2F03" w:rsidP="00E65C03">
            <w:pPr>
              <w:spacing w:line="240" w:lineRule="auto"/>
              <w:jc w:val="right"/>
              <w:rPr>
                <w:rFonts w:ascii="Calibri" w:hAnsi="Calibri"/>
                <w:color w:val="000000"/>
              </w:rPr>
            </w:pPr>
            <w:r w:rsidRPr="00233446">
              <w:t>0.983</w:t>
            </w:r>
          </w:p>
        </w:tc>
      </w:tr>
      <w:tr w:rsidR="00AD2F03" w:rsidRPr="00BB4BAB" w14:paraId="6620005F" w14:textId="77777777" w:rsidTr="00E65C03">
        <w:trPr>
          <w:trHeight w:val="288"/>
        </w:trPr>
        <w:tc>
          <w:tcPr>
            <w:tcW w:w="1210" w:type="dxa"/>
            <w:vMerge w:val="restart"/>
            <w:tcBorders>
              <w:top w:val="nil"/>
              <w:left w:val="single" w:sz="4" w:space="0" w:color="auto"/>
              <w:bottom w:val="single" w:sz="4" w:space="0" w:color="auto"/>
              <w:right w:val="single" w:sz="4" w:space="0" w:color="auto"/>
            </w:tcBorders>
            <w:shd w:val="clear" w:color="auto" w:fill="auto"/>
            <w:noWrap/>
            <w:hideMark/>
          </w:tcPr>
          <w:p w14:paraId="70E3BBDF" w14:textId="77777777" w:rsidR="00AD2F03" w:rsidRPr="00BB4BAB" w:rsidRDefault="00AD2F03" w:rsidP="00E65C03">
            <w:pPr>
              <w:spacing w:line="240" w:lineRule="auto"/>
              <w:rPr>
                <w:rFonts w:ascii="Calibri" w:hAnsi="Calibri"/>
                <w:color w:val="000000"/>
              </w:rPr>
            </w:pPr>
            <w:r w:rsidRPr="00233446">
              <w:t>AID</w:t>
            </w:r>
          </w:p>
          <w:p w14:paraId="6BAB42AF" w14:textId="77777777" w:rsidR="00AD2F03" w:rsidRPr="00BB4BAB" w:rsidRDefault="00AD2F03" w:rsidP="00E65C03">
            <w:pPr>
              <w:spacing w:line="240" w:lineRule="auto"/>
              <w:rPr>
                <w:rFonts w:ascii="Calibri" w:hAnsi="Calibri"/>
                <w:color w:val="000000"/>
              </w:rPr>
            </w:pPr>
          </w:p>
        </w:tc>
        <w:tc>
          <w:tcPr>
            <w:tcW w:w="1457" w:type="dxa"/>
            <w:tcBorders>
              <w:top w:val="nil"/>
              <w:left w:val="nil"/>
              <w:bottom w:val="single" w:sz="4" w:space="0" w:color="auto"/>
              <w:right w:val="single" w:sz="4" w:space="0" w:color="auto"/>
            </w:tcBorders>
            <w:shd w:val="clear" w:color="auto" w:fill="auto"/>
            <w:noWrap/>
            <w:hideMark/>
          </w:tcPr>
          <w:p w14:paraId="242A2A56" w14:textId="77777777" w:rsidR="00AD2F03" w:rsidRPr="00BB4BAB" w:rsidRDefault="00AD2F03" w:rsidP="00E65C03">
            <w:pPr>
              <w:spacing w:line="240" w:lineRule="auto"/>
              <w:rPr>
                <w:rFonts w:ascii="Calibri" w:hAnsi="Calibri"/>
                <w:color w:val="000000"/>
              </w:rPr>
            </w:pPr>
            <w:r w:rsidRPr="00233446">
              <w:t>InceptionV3</w:t>
            </w:r>
          </w:p>
        </w:tc>
        <w:tc>
          <w:tcPr>
            <w:tcW w:w="1382" w:type="dxa"/>
            <w:tcBorders>
              <w:top w:val="nil"/>
              <w:left w:val="nil"/>
              <w:bottom w:val="single" w:sz="4" w:space="0" w:color="auto"/>
              <w:right w:val="single" w:sz="4" w:space="0" w:color="auto"/>
            </w:tcBorders>
            <w:shd w:val="clear" w:color="auto" w:fill="auto"/>
            <w:noWrap/>
            <w:hideMark/>
          </w:tcPr>
          <w:p w14:paraId="00A6FB57" w14:textId="77777777" w:rsidR="00AD2F03" w:rsidRPr="00BB4BAB" w:rsidRDefault="00AD2F03" w:rsidP="00E65C03">
            <w:pPr>
              <w:spacing w:line="240" w:lineRule="auto"/>
              <w:rPr>
                <w:rFonts w:ascii="Calibri" w:hAnsi="Calibri"/>
                <w:color w:val="000000"/>
              </w:rPr>
            </w:pPr>
            <w:r w:rsidRPr="00233446">
              <w:t>intermediate</w:t>
            </w:r>
          </w:p>
        </w:tc>
        <w:tc>
          <w:tcPr>
            <w:tcW w:w="1943" w:type="dxa"/>
            <w:tcBorders>
              <w:top w:val="nil"/>
              <w:left w:val="nil"/>
              <w:bottom w:val="single" w:sz="4" w:space="0" w:color="auto"/>
              <w:right w:val="single" w:sz="4" w:space="0" w:color="auto"/>
            </w:tcBorders>
            <w:shd w:val="clear" w:color="auto" w:fill="auto"/>
            <w:noWrap/>
            <w:hideMark/>
          </w:tcPr>
          <w:p w14:paraId="2104E0C5" w14:textId="77777777" w:rsidR="00AD2F03" w:rsidRPr="00BB4BAB" w:rsidRDefault="00AD2F03" w:rsidP="00E65C03">
            <w:pPr>
              <w:spacing w:line="240" w:lineRule="auto"/>
              <w:rPr>
                <w:rFonts w:ascii="Calibri" w:hAnsi="Calibri"/>
                <w:color w:val="000000"/>
              </w:rPr>
            </w:pPr>
            <w:r w:rsidRPr="00233446">
              <w:t>fine tune</w:t>
            </w:r>
          </w:p>
        </w:tc>
        <w:tc>
          <w:tcPr>
            <w:tcW w:w="1040" w:type="dxa"/>
            <w:tcBorders>
              <w:top w:val="nil"/>
              <w:left w:val="nil"/>
              <w:bottom w:val="single" w:sz="4" w:space="0" w:color="auto"/>
              <w:right w:val="single" w:sz="4" w:space="0" w:color="auto"/>
            </w:tcBorders>
            <w:shd w:val="clear" w:color="auto" w:fill="auto"/>
            <w:noWrap/>
            <w:hideMark/>
          </w:tcPr>
          <w:p w14:paraId="532FA6D4" w14:textId="77777777" w:rsidR="00AD2F03" w:rsidRPr="009D6AF7" w:rsidRDefault="00AD2F03" w:rsidP="00E65C03">
            <w:pPr>
              <w:spacing w:line="240" w:lineRule="auto"/>
              <w:jc w:val="right"/>
              <w:rPr>
                <w:rFonts w:ascii="Calibri" w:hAnsi="Calibri"/>
                <w:b/>
                <w:bCs/>
                <w:color w:val="000000"/>
              </w:rPr>
            </w:pPr>
            <w:r w:rsidRPr="009D6AF7">
              <w:rPr>
                <w:b/>
                <w:bCs/>
              </w:rPr>
              <w:t>0.941</w:t>
            </w:r>
          </w:p>
        </w:tc>
      </w:tr>
      <w:tr w:rsidR="00AD2F03" w:rsidRPr="00BB4BAB" w14:paraId="44E0D09E" w14:textId="77777777" w:rsidTr="00E65C03">
        <w:trPr>
          <w:trHeight w:val="288"/>
        </w:trPr>
        <w:tc>
          <w:tcPr>
            <w:tcW w:w="1210" w:type="dxa"/>
            <w:vMerge/>
            <w:tcBorders>
              <w:top w:val="nil"/>
              <w:left w:val="single" w:sz="4" w:space="0" w:color="auto"/>
              <w:bottom w:val="single" w:sz="4" w:space="0" w:color="auto"/>
              <w:right w:val="single" w:sz="4" w:space="0" w:color="auto"/>
            </w:tcBorders>
            <w:hideMark/>
          </w:tcPr>
          <w:p w14:paraId="74BB2D80" w14:textId="77777777" w:rsidR="00AD2F03" w:rsidRPr="00BB4BAB" w:rsidRDefault="00AD2F03" w:rsidP="00E65C03">
            <w:pPr>
              <w:spacing w:line="240" w:lineRule="auto"/>
              <w:rPr>
                <w:rFonts w:ascii="Calibri" w:hAnsi="Calibri"/>
                <w:color w:val="000000"/>
              </w:rPr>
            </w:pPr>
          </w:p>
        </w:tc>
        <w:tc>
          <w:tcPr>
            <w:tcW w:w="1457" w:type="dxa"/>
            <w:tcBorders>
              <w:top w:val="nil"/>
              <w:left w:val="nil"/>
              <w:bottom w:val="single" w:sz="4" w:space="0" w:color="auto"/>
              <w:right w:val="single" w:sz="4" w:space="0" w:color="auto"/>
            </w:tcBorders>
            <w:shd w:val="clear" w:color="auto" w:fill="auto"/>
            <w:noWrap/>
            <w:hideMark/>
          </w:tcPr>
          <w:p w14:paraId="4BCD8468" w14:textId="77777777" w:rsidR="00AD2F03" w:rsidRPr="00BB4BAB" w:rsidRDefault="00AD2F03" w:rsidP="00E65C03">
            <w:pPr>
              <w:spacing w:line="240" w:lineRule="auto"/>
              <w:rPr>
                <w:rFonts w:ascii="Calibri" w:hAnsi="Calibri"/>
                <w:color w:val="000000"/>
              </w:rPr>
            </w:pPr>
            <w:r w:rsidRPr="00233446">
              <w:t>VGG19</w:t>
            </w:r>
          </w:p>
        </w:tc>
        <w:tc>
          <w:tcPr>
            <w:tcW w:w="1382" w:type="dxa"/>
            <w:tcBorders>
              <w:top w:val="nil"/>
              <w:left w:val="nil"/>
              <w:bottom w:val="single" w:sz="4" w:space="0" w:color="auto"/>
              <w:right w:val="single" w:sz="4" w:space="0" w:color="auto"/>
            </w:tcBorders>
            <w:shd w:val="clear" w:color="auto" w:fill="auto"/>
            <w:noWrap/>
            <w:hideMark/>
          </w:tcPr>
          <w:p w14:paraId="265D5BD4" w14:textId="77777777" w:rsidR="00AD2F03" w:rsidRPr="00BB4BAB" w:rsidRDefault="00AD2F03" w:rsidP="00E65C03">
            <w:pPr>
              <w:spacing w:line="240" w:lineRule="auto"/>
              <w:rPr>
                <w:rFonts w:ascii="Calibri" w:hAnsi="Calibri"/>
                <w:color w:val="000000"/>
              </w:rPr>
            </w:pPr>
            <w:r w:rsidRPr="00233446">
              <w:t>deep</w:t>
            </w:r>
          </w:p>
        </w:tc>
        <w:tc>
          <w:tcPr>
            <w:tcW w:w="1943" w:type="dxa"/>
            <w:tcBorders>
              <w:top w:val="nil"/>
              <w:left w:val="nil"/>
              <w:bottom w:val="single" w:sz="4" w:space="0" w:color="auto"/>
              <w:right w:val="single" w:sz="4" w:space="0" w:color="auto"/>
            </w:tcBorders>
            <w:shd w:val="clear" w:color="auto" w:fill="auto"/>
            <w:noWrap/>
            <w:hideMark/>
          </w:tcPr>
          <w:p w14:paraId="6698A9E2" w14:textId="77777777" w:rsidR="00AD2F03" w:rsidRPr="00BB4BAB" w:rsidRDefault="00AD2F03" w:rsidP="00E65C03">
            <w:pPr>
              <w:spacing w:line="240" w:lineRule="auto"/>
              <w:rPr>
                <w:rFonts w:ascii="Calibri" w:hAnsi="Calibri"/>
                <w:color w:val="000000"/>
              </w:rPr>
            </w:pPr>
            <w:r w:rsidRPr="00233446">
              <w:t>feature extraction</w:t>
            </w:r>
          </w:p>
        </w:tc>
        <w:tc>
          <w:tcPr>
            <w:tcW w:w="1040" w:type="dxa"/>
            <w:tcBorders>
              <w:top w:val="nil"/>
              <w:left w:val="nil"/>
              <w:bottom w:val="single" w:sz="4" w:space="0" w:color="auto"/>
              <w:right w:val="single" w:sz="4" w:space="0" w:color="auto"/>
            </w:tcBorders>
            <w:shd w:val="clear" w:color="auto" w:fill="auto"/>
            <w:noWrap/>
            <w:hideMark/>
          </w:tcPr>
          <w:p w14:paraId="09BA2317" w14:textId="77777777" w:rsidR="00AD2F03" w:rsidRPr="00BB4BAB" w:rsidRDefault="00AD2F03" w:rsidP="00E65C03">
            <w:pPr>
              <w:spacing w:line="240" w:lineRule="auto"/>
              <w:jc w:val="right"/>
              <w:rPr>
                <w:rFonts w:ascii="Calibri" w:hAnsi="Calibri"/>
                <w:color w:val="000000"/>
              </w:rPr>
            </w:pPr>
            <w:r w:rsidRPr="00233446">
              <w:t>0.889</w:t>
            </w:r>
          </w:p>
        </w:tc>
      </w:tr>
      <w:tr w:rsidR="00AD2F03" w:rsidRPr="00BB4BAB" w14:paraId="2E4E9A27" w14:textId="77777777" w:rsidTr="00E65C03">
        <w:trPr>
          <w:trHeight w:val="288"/>
        </w:trPr>
        <w:tc>
          <w:tcPr>
            <w:tcW w:w="1210" w:type="dxa"/>
            <w:vMerge w:val="restart"/>
            <w:tcBorders>
              <w:top w:val="nil"/>
              <w:left w:val="single" w:sz="4" w:space="0" w:color="auto"/>
              <w:bottom w:val="single" w:sz="4" w:space="0" w:color="auto"/>
              <w:right w:val="single" w:sz="4" w:space="0" w:color="auto"/>
            </w:tcBorders>
            <w:shd w:val="clear" w:color="auto" w:fill="auto"/>
            <w:noWrap/>
            <w:hideMark/>
          </w:tcPr>
          <w:p w14:paraId="7FB01E21" w14:textId="77777777" w:rsidR="00AD2F03" w:rsidRPr="00BB4BAB" w:rsidRDefault="00AD2F03" w:rsidP="00E65C03">
            <w:pPr>
              <w:spacing w:line="240" w:lineRule="auto"/>
              <w:rPr>
                <w:rFonts w:ascii="Calibri" w:hAnsi="Calibri"/>
                <w:color w:val="000000"/>
              </w:rPr>
            </w:pPr>
            <w:r w:rsidRPr="00233446">
              <w:t>UCMerced</w:t>
            </w:r>
          </w:p>
          <w:p w14:paraId="2280C4F0" w14:textId="77777777" w:rsidR="00AD2F03" w:rsidRPr="00BB4BAB" w:rsidRDefault="00AD2F03" w:rsidP="00E65C03">
            <w:pPr>
              <w:spacing w:line="240" w:lineRule="auto"/>
              <w:rPr>
                <w:rFonts w:ascii="Calibri" w:hAnsi="Calibri"/>
                <w:color w:val="000000"/>
              </w:rPr>
            </w:pPr>
          </w:p>
        </w:tc>
        <w:tc>
          <w:tcPr>
            <w:tcW w:w="1457" w:type="dxa"/>
            <w:tcBorders>
              <w:top w:val="nil"/>
              <w:left w:val="nil"/>
              <w:bottom w:val="single" w:sz="4" w:space="0" w:color="auto"/>
              <w:right w:val="single" w:sz="4" w:space="0" w:color="auto"/>
            </w:tcBorders>
            <w:shd w:val="clear" w:color="auto" w:fill="auto"/>
            <w:noWrap/>
            <w:hideMark/>
          </w:tcPr>
          <w:p w14:paraId="410FE2DC" w14:textId="77777777" w:rsidR="00AD2F03" w:rsidRPr="00BB4BAB" w:rsidRDefault="00AD2F03" w:rsidP="00E65C03">
            <w:pPr>
              <w:spacing w:line="240" w:lineRule="auto"/>
              <w:rPr>
                <w:rFonts w:ascii="Calibri" w:hAnsi="Calibri"/>
                <w:color w:val="000000"/>
              </w:rPr>
            </w:pPr>
            <w:r w:rsidRPr="00233446">
              <w:t>InceptionV3</w:t>
            </w:r>
          </w:p>
        </w:tc>
        <w:tc>
          <w:tcPr>
            <w:tcW w:w="1382" w:type="dxa"/>
            <w:tcBorders>
              <w:top w:val="nil"/>
              <w:left w:val="nil"/>
              <w:bottom w:val="single" w:sz="4" w:space="0" w:color="auto"/>
              <w:right w:val="single" w:sz="4" w:space="0" w:color="auto"/>
            </w:tcBorders>
            <w:shd w:val="clear" w:color="auto" w:fill="auto"/>
            <w:noWrap/>
            <w:hideMark/>
          </w:tcPr>
          <w:p w14:paraId="197EEA31" w14:textId="77777777" w:rsidR="00AD2F03" w:rsidRPr="00BB4BAB" w:rsidRDefault="00AD2F03" w:rsidP="00E65C03">
            <w:pPr>
              <w:spacing w:line="240" w:lineRule="auto"/>
              <w:rPr>
                <w:rFonts w:ascii="Calibri" w:hAnsi="Calibri"/>
                <w:color w:val="000000"/>
              </w:rPr>
            </w:pPr>
            <w:r w:rsidRPr="00233446">
              <w:t>deep</w:t>
            </w:r>
          </w:p>
        </w:tc>
        <w:tc>
          <w:tcPr>
            <w:tcW w:w="1943" w:type="dxa"/>
            <w:tcBorders>
              <w:top w:val="nil"/>
              <w:left w:val="nil"/>
              <w:bottom w:val="single" w:sz="4" w:space="0" w:color="auto"/>
              <w:right w:val="single" w:sz="4" w:space="0" w:color="auto"/>
            </w:tcBorders>
            <w:shd w:val="clear" w:color="auto" w:fill="auto"/>
            <w:noWrap/>
            <w:hideMark/>
          </w:tcPr>
          <w:p w14:paraId="34EB0C3B" w14:textId="77777777" w:rsidR="00AD2F03" w:rsidRPr="00BB4BAB" w:rsidRDefault="00AD2F03" w:rsidP="00E65C03">
            <w:pPr>
              <w:spacing w:line="240" w:lineRule="auto"/>
              <w:rPr>
                <w:rFonts w:ascii="Calibri" w:hAnsi="Calibri"/>
                <w:color w:val="000000"/>
              </w:rPr>
            </w:pPr>
            <w:r w:rsidRPr="00233446">
              <w:t>fine tune</w:t>
            </w:r>
          </w:p>
        </w:tc>
        <w:tc>
          <w:tcPr>
            <w:tcW w:w="1040" w:type="dxa"/>
            <w:tcBorders>
              <w:top w:val="nil"/>
              <w:left w:val="nil"/>
              <w:bottom w:val="single" w:sz="4" w:space="0" w:color="auto"/>
              <w:right w:val="single" w:sz="4" w:space="0" w:color="auto"/>
            </w:tcBorders>
            <w:shd w:val="clear" w:color="auto" w:fill="auto"/>
            <w:noWrap/>
            <w:hideMark/>
          </w:tcPr>
          <w:p w14:paraId="3840F047" w14:textId="77777777" w:rsidR="00AD2F03" w:rsidRPr="00BB4BAB" w:rsidRDefault="00AD2F03" w:rsidP="00E65C03">
            <w:pPr>
              <w:spacing w:line="240" w:lineRule="auto"/>
              <w:jc w:val="right"/>
              <w:rPr>
                <w:rFonts w:ascii="Calibri" w:hAnsi="Calibri"/>
                <w:b/>
                <w:bCs/>
                <w:color w:val="000000"/>
              </w:rPr>
            </w:pPr>
            <w:r w:rsidRPr="00233446">
              <w:t>0.910</w:t>
            </w:r>
          </w:p>
        </w:tc>
      </w:tr>
      <w:tr w:rsidR="00AD2F03" w:rsidRPr="00BB4BAB" w14:paraId="6AAC74E8" w14:textId="77777777" w:rsidTr="00E65C03">
        <w:trPr>
          <w:trHeight w:val="288"/>
        </w:trPr>
        <w:tc>
          <w:tcPr>
            <w:tcW w:w="1210" w:type="dxa"/>
            <w:vMerge/>
            <w:tcBorders>
              <w:top w:val="nil"/>
              <w:left w:val="single" w:sz="4" w:space="0" w:color="auto"/>
              <w:bottom w:val="single" w:sz="4" w:space="0" w:color="auto"/>
              <w:right w:val="single" w:sz="4" w:space="0" w:color="auto"/>
            </w:tcBorders>
            <w:hideMark/>
          </w:tcPr>
          <w:p w14:paraId="187C9327" w14:textId="77777777" w:rsidR="00AD2F03" w:rsidRPr="00BB4BAB" w:rsidRDefault="00AD2F03" w:rsidP="00E65C03">
            <w:pPr>
              <w:spacing w:line="240" w:lineRule="auto"/>
              <w:rPr>
                <w:rFonts w:ascii="Calibri" w:hAnsi="Calibri"/>
                <w:color w:val="000000"/>
              </w:rPr>
            </w:pPr>
          </w:p>
        </w:tc>
        <w:tc>
          <w:tcPr>
            <w:tcW w:w="1457" w:type="dxa"/>
            <w:tcBorders>
              <w:top w:val="nil"/>
              <w:left w:val="nil"/>
              <w:bottom w:val="single" w:sz="4" w:space="0" w:color="auto"/>
              <w:right w:val="single" w:sz="4" w:space="0" w:color="auto"/>
            </w:tcBorders>
            <w:shd w:val="clear" w:color="auto" w:fill="auto"/>
            <w:noWrap/>
            <w:hideMark/>
          </w:tcPr>
          <w:p w14:paraId="7E25EF7E" w14:textId="77777777" w:rsidR="00AD2F03" w:rsidRPr="00BB4BAB" w:rsidRDefault="00AD2F03" w:rsidP="00E65C03">
            <w:pPr>
              <w:spacing w:line="240" w:lineRule="auto"/>
              <w:rPr>
                <w:rFonts w:ascii="Calibri" w:hAnsi="Calibri"/>
                <w:color w:val="000000"/>
              </w:rPr>
            </w:pPr>
            <w:r w:rsidRPr="00233446">
              <w:t>VGG19</w:t>
            </w:r>
          </w:p>
        </w:tc>
        <w:tc>
          <w:tcPr>
            <w:tcW w:w="1382" w:type="dxa"/>
            <w:tcBorders>
              <w:top w:val="nil"/>
              <w:left w:val="nil"/>
              <w:bottom w:val="single" w:sz="4" w:space="0" w:color="auto"/>
              <w:right w:val="single" w:sz="4" w:space="0" w:color="auto"/>
            </w:tcBorders>
            <w:shd w:val="clear" w:color="auto" w:fill="auto"/>
            <w:noWrap/>
            <w:hideMark/>
          </w:tcPr>
          <w:p w14:paraId="1061BB0C" w14:textId="77777777" w:rsidR="00AD2F03" w:rsidRPr="00BB4BAB" w:rsidRDefault="00AD2F03" w:rsidP="00E65C03">
            <w:pPr>
              <w:spacing w:line="240" w:lineRule="auto"/>
              <w:rPr>
                <w:rFonts w:ascii="Calibri" w:hAnsi="Calibri"/>
                <w:color w:val="000000"/>
              </w:rPr>
            </w:pPr>
            <w:r w:rsidRPr="00233446">
              <w:t>deep</w:t>
            </w:r>
          </w:p>
        </w:tc>
        <w:tc>
          <w:tcPr>
            <w:tcW w:w="1943" w:type="dxa"/>
            <w:tcBorders>
              <w:top w:val="nil"/>
              <w:left w:val="nil"/>
              <w:bottom w:val="single" w:sz="4" w:space="0" w:color="auto"/>
              <w:right w:val="single" w:sz="4" w:space="0" w:color="auto"/>
            </w:tcBorders>
            <w:shd w:val="clear" w:color="auto" w:fill="auto"/>
            <w:noWrap/>
            <w:hideMark/>
          </w:tcPr>
          <w:p w14:paraId="10518205" w14:textId="77777777" w:rsidR="00AD2F03" w:rsidRPr="00BB4BAB" w:rsidRDefault="00AD2F03" w:rsidP="00E65C03">
            <w:pPr>
              <w:spacing w:line="240" w:lineRule="auto"/>
              <w:rPr>
                <w:rFonts w:ascii="Calibri" w:hAnsi="Calibri"/>
                <w:color w:val="000000"/>
              </w:rPr>
            </w:pPr>
            <w:r w:rsidRPr="00233446">
              <w:t>feature extraction</w:t>
            </w:r>
          </w:p>
        </w:tc>
        <w:tc>
          <w:tcPr>
            <w:tcW w:w="1040" w:type="dxa"/>
            <w:tcBorders>
              <w:top w:val="nil"/>
              <w:left w:val="nil"/>
              <w:bottom w:val="single" w:sz="4" w:space="0" w:color="auto"/>
              <w:right w:val="single" w:sz="4" w:space="0" w:color="auto"/>
            </w:tcBorders>
            <w:shd w:val="clear" w:color="auto" w:fill="auto"/>
            <w:noWrap/>
            <w:hideMark/>
          </w:tcPr>
          <w:p w14:paraId="21F5B84F" w14:textId="77777777" w:rsidR="00AD2F03" w:rsidRPr="009D6AF7" w:rsidRDefault="00AD2F03" w:rsidP="00E65C03">
            <w:pPr>
              <w:spacing w:line="240" w:lineRule="auto"/>
              <w:jc w:val="right"/>
              <w:rPr>
                <w:rFonts w:ascii="Calibri" w:hAnsi="Calibri"/>
                <w:b/>
                <w:bCs/>
                <w:color w:val="000000"/>
              </w:rPr>
            </w:pPr>
            <w:r w:rsidRPr="009D6AF7">
              <w:rPr>
                <w:b/>
                <w:bCs/>
              </w:rPr>
              <w:t>0.943</w:t>
            </w:r>
          </w:p>
        </w:tc>
      </w:tr>
    </w:tbl>
    <w:p w14:paraId="750DC9AF" w14:textId="77777777" w:rsidR="00AD2F03" w:rsidRDefault="00AD2F03" w:rsidP="00AD2F03"/>
    <w:p w14:paraId="2CFF43E0" w14:textId="77777777" w:rsidR="00AD2F03" w:rsidRDefault="00AD2F03" w:rsidP="00AD2F03">
      <w:pPr>
        <w:ind w:firstLine="720"/>
      </w:pPr>
      <w:r>
        <w:rPr>
          <w:noProof/>
          <w:lang w:bidi="ar-SA"/>
        </w:rPr>
        <w:drawing>
          <wp:inline distT="0" distB="0" distL="0" distR="0" wp14:anchorId="0DCC6272" wp14:editId="74E97193">
            <wp:extent cx="2743200" cy="4572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743200" cy="4572000"/>
                    </a:xfrm>
                    <a:prstGeom prst="rect">
                      <a:avLst/>
                    </a:prstGeom>
                    <a:noFill/>
                    <a:ln>
                      <a:noFill/>
                    </a:ln>
                  </pic:spPr>
                </pic:pic>
              </a:graphicData>
            </a:graphic>
          </wp:inline>
        </w:drawing>
      </w:r>
    </w:p>
    <w:p w14:paraId="57DBA13F" w14:textId="77777777" w:rsidR="00AD2F03" w:rsidRPr="00E8704D" w:rsidRDefault="00AD2F03" w:rsidP="00607DF1">
      <w:pPr>
        <w:pStyle w:val="Caption"/>
        <w:rPr>
          <w:i/>
        </w:rPr>
      </w:pPr>
      <w:bookmarkStart w:id="274" w:name="_Ref20768645"/>
      <w:bookmarkStart w:id="275" w:name="_Toc26534520"/>
      <w:r w:rsidRPr="00E8704D">
        <w:t xml:space="preserve">Figure </w:t>
      </w:r>
      <w:r w:rsidR="00CE1F3C">
        <w:fldChar w:fldCharType="begin"/>
      </w:r>
      <w:r w:rsidR="00CE1F3C">
        <w:instrText xml:space="preserve"> SEQ Figure \* ARABIC </w:instrText>
      </w:r>
      <w:r w:rsidR="00CE1F3C">
        <w:fldChar w:fldCharType="separate"/>
      </w:r>
      <w:r w:rsidR="00A82C54">
        <w:rPr>
          <w:noProof/>
        </w:rPr>
        <w:t>20</w:t>
      </w:r>
      <w:r w:rsidR="00CE1F3C">
        <w:rPr>
          <w:noProof/>
        </w:rPr>
        <w:fldChar w:fldCharType="end"/>
      </w:r>
      <w:bookmarkEnd w:id="274"/>
      <w:r w:rsidRPr="00E8704D">
        <w:t>:</w:t>
      </w:r>
      <w:r>
        <w:t xml:space="preserve"> Train and validation loss and accuracy for the Inception V3 intermediate in the fine tune mode trained on the AID dataset using </w:t>
      </w:r>
      <w:r w:rsidRPr="00C611A9">
        <w:t>SGD (1e-3) momentum 0.9</w:t>
      </w:r>
      <w:r>
        <w:t>.</w:t>
      </w:r>
      <w:bookmarkEnd w:id="275"/>
      <w:r>
        <w:t xml:space="preserve">  </w:t>
      </w:r>
    </w:p>
    <w:p w14:paraId="1FC5C28F" w14:textId="77777777" w:rsidR="00AD2F03" w:rsidRDefault="00AD2F03" w:rsidP="00AD2F03">
      <w:pPr>
        <w:ind w:firstLine="720"/>
      </w:pPr>
    </w:p>
    <w:p w14:paraId="00C5A52B" w14:textId="77777777" w:rsidR="00AD2F03" w:rsidRDefault="00AD2F03" w:rsidP="002F1077">
      <w:pPr>
        <w:jc w:val="center"/>
      </w:pPr>
      <w:r>
        <w:rPr>
          <w:noProof/>
          <w:lang w:bidi="ar-SA"/>
        </w:rPr>
        <w:lastRenderedPageBreak/>
        <w:drawing>
          <wp:inline distT="0" distB="0" distL="0" distR="0" wp14:anchorId="3AB6FD27" wp14:editId="191A989D">
            <wp:extent cx="5612130" cy="5050790"/>
            <wp:effectExtent l="0" t="0" r="762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612130" cy="5050790"/>
                    </a:xfrm>
                    <a:prstGeom prst="rect">
                      <a:avLst/>
                    </a:prstGeom>
                    <a:noFill/>
                    <a:ln>
                      <a:noFill/>
                    </a:ln>
                  </pic:spPr>
                </pic:pic>
              </a:graphicData>
            </a:graphic>
          </wp:inline>
        </w:drawing>
      </w:r>
    </w:p>
    <w:p w14:paraId="395E2575" w14:textId="77777777" w:rsidR="00AD2F03" w:rsidRPr="00E8704D" w:rsidRDefault="00AD2F03" w:rsidP="00607DF1">
      <w:pPr>
        <w:pStyle w:val="Caption"/>
        <w:rPr>
          <w:i/>
        </w:rPr>
      </w:pPr>
      <w:bookmarkStart w:id="276" w:name="_Ref20768835"/>
      <w:bookmarkStart w:id="277" w:name="_Toc26534521"/>
      <w:r w:rsidRPr="00E8704D">
        <w:t xml:space="preserve">Figure </w:t>
      </w:r>
      <w:r w:rsidR="00CE1F3C">
        <w:fldChar w:fldCharType="begin"/>
      </w:r>
      <w:r w:rsidR="00CE1F3C">
        <w:instrText xml:space="preserve"> SEQ Figure \* ARABIC </w:instrText>
      </w:r>
      <w:r w:rsidR="00CE1F3C">
        <w:fldChar w:fldCharType="separate"/>
      </w:r>
      <w:r w:rsidR="00A82C54">
        <w:rPr>
          <w:noProof/>
        </w:rPr>
        <w:t>21</w:t>
      </w:r>
      <w:r w:rsidR="00CE1F3C">
        <w:rPr>
          <w:noProof/>
        </w:rPr>
        <w:fldChar w:fldCharType="end"/>
      </w:r>
      <w:bookmarkEnd w:id="276"/>
      <w:r w:rsidRPr="00E8704D">
        <w:t>:</w:t>
      </w:r>
      <w:r>
        <w:t xml:space="preserve"> Confusion matrix for the test set of AID dataset </w:t>
      </w:r>
      <w:r w:rsidRPr="00A2439C">
        <w:t>for the Inception V3 intermediate in the fine tune mode</w:t>
      </w:r>
      <w:r>
        <w:t xml:space="preserve"> using </w:t>
      </w:r>
      <w:r w:rsidRPr="00C611A9">
        <w:t>SGD (1e-3) momentum 0.9</w:t>
      </w:r>
      <w:r w:rsidRPr="00A2439C">
        <w:t>.</w:t>
      </w:r>
      <w:bookmarkEnd w:id="277"/>
      <w:r>
        <w:t xml:space="preserve"> </w:t>
      </w:r>
    </w:p>
    <w:p w14:paraId="6BCFD43E" w14:textId="77777777" w:rsidR="00AD2F03" w:rsidRDefault="00AD2F03" w:rsidP="00AD2F03">
      <w:pPr>
        <w:ind w:firstLine="720"/>
      </w:pPr>
    </w:p>
    <w:p w14:paraId="1F0E328E" w14:textId="77777777" w:rsidR="00AD2F03" w:rsidRDefault="00AD2F03" w:rsidP="00AD2F03"/>
    <w:p w14:paraId="7EB637F1" w14:textId="77777777" w:rsidR="00AD2F03" w:rsidRDefault="00AD2F03" w:rsidP="002F1077">
      <w:pPr>
        <w:jc w:val="center"/>
      </w:pPr>
      <w:r>
        <w:rPr>
          <w:noProof/>
          <w:lang w:bidi="ar-SA"/>
        </w:rPr>
        <w:lastRenderedPageBreak/>
        <w:drawing>
          <wp:inline distT="0" distB="0" distL="0" distR="0" wp14:anchorId="2C5D718A" wp14:editId="17D97EF2">
            <wp:extent cx="5234508" cy="2011680"/>
            <wp:effectExtent l="0" t="0" r="4445"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l="4491"/>
                    <a:stretch/>
                  </pic:blipFill>
                  <pic:spPr bwMode="auto">
                    <a:xfrm>
                      <a:off x="0" y="0"/>
                      <a:ext cx="5234508" cy="2011680"/>
                    </a:xfrm>
                    <a:prstGeom prst="rect">
                      <a:avLst/>
                    </a:prstGeom>
                    <a:noFill/>
                    <a:ln>
                      <a:noFill/>
                    </a:ln>
                    <a:extLst>
                      <a:ext uri="{53640926-AAD7-44D8-BBD7-CCE9431645EC}">
                        <a14:shadowObscured xmlns:a14="http://schemas.microsoft.com/office/drawing/2010/main"/>
                      </a:ext>
                    </a:extLst>
                  </pic:spPr>
                </pic:pic>
              </a:graphicData>
            </a:graphic>
          </wp:inline>
        </w:drawing>
      </w:r>
    </w:p>
    <w:p w14:paraId="2F8D07E5" w14:textId="77777777" w:rsidR="00AD2F03" w:rsidRPr="00E8704D" w:rsidRDefault="00AD2F03" w:rsidP="00607DF1">
      <w:pPr>
        <w:pStyle w:val="Caption"/>
        <w:rPr>
          <w:i/>
        </w:rPr>
      </w:pPr>
      <w:bookmarkStart w:id="278" w:name="_Ref20768906"/>
      <w:bookmarkStart w:id="279" w:name="_Toc26534522"/>
      <w:r w:rsidRPr="00E8704D">
        <w:t xml:space="preserve">Figure </w:t>
      </w:r>
      <w:r w:rsidR="00CE1F3C">
        <w:fldChar w:fldCharType="begin"/>
      </w:r>
      <w:r w:rsidR="00CE1F3C">
        <w:instrText xml:space="preserve"> SEQ Figure \* ARABIC </w:instrText>
      </w:r>
      <w:r w:rsidR="00CE1F3C">
        <w:fldChar w:fldCharType="separate"/>
      </w:r>
      <w:r w:rsidR="00A82C54">
        <w:rPr>
          <w:noProof/>
        </w:rPr>
        <w:t>22</w:t>
      </w:r>
      <w:r w:rsidR="00CE1F3C">
        <w:rPr>
          <w:noProof/>
        </w:rPr>
        <w:fldChar w:fldCharType="end"/>
      </w:r>
      <w:bookmarkEnd w:id="278"/>
      <w:r w:rsidRPr="00E8704D">
        <w:t>:</w:t>
      </w:r>
      <w:r>
        <w:t xml:space="preserve"> Test </w:t>
      </w:r>
      <w:r w:rsidR="00C653C3" w:rsidRPr="00852292">
        <w:t xml:space="preserve">set accuracy for all VGG19 and Inception V3 versions trained with all datasets using SGD (1e-3) momentum 0.9. Left panel shows VGG 19 results, right panel shows Inception V3 results. Note VGG19 shallow and intermediate feature extraction and fine tune versions were trapped in local </w:t>
      </w:r>
      <w:r>
        <w:t>minima.</w:t>
      </w:r>
      <w:bookmarkEnd w:id="279"/>
      <w:r>
        <w:t xml:space="preserve"> </w:t>
      </w:r>
    </w:p>
    <w:p w14:paraId="5074B308" w14:textId="77777777" w:rsidR="00AD2F03" w:rsidRDefault="00AD2F03" w:rsidP="00AD2F03"/>
    <w:p w14:paraId="280527C1" w14:textId="77777777" w:rsidR="00AD2F03" w:rsidRDefault="00AD2F03" w:rsidP="002F1077">
      <w:pPr>
        <w:jc w:val="center"/>
      </w:pPr>
      <w:r>
        <w:rPr>
          <w:noProof/>
          <w:lang w:bidi="ar-SA"/>
        </w:rPr>
        <w:drawing>
          <wp:inline distT="0" distB="0" distL="0" distR="0" wp14:anchorId="0DE7CC27" wp14:editId="108FBD87">
            <wp:extent cx="5267414" cy="2011680"/>
            <wp:effectExtent l="0" t="0" r="9525"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l="3802"/>
                    <a:stretch/>
                  </pic:blipFill>
                  <pic:spPr bwMode="auto">
                    <a:xfrm>
                      <a:off x="0" y="0"/>
                      <a:ext cx="5267414" cy="2011680"/>
                    </a:xfrm>
                    <a:prstGeom prst="rect">
                      <a:avLst/>
                    </a:prstGeom>
                    <a:noFill/>
                    <a:ln>
                      <a:noFill/>
                    </a:ln>
                    <a:extLst>
                      <a:ext uri="{53640926-AAD7-44D8-BBD7-CCE9431645EC}">
                        <a14:shadowObscured xmlns:a14="http://schemas.microsoft.com/office/drawing/2010/main"/>
                      </a:ext>
                    </a:extLst>
                  </pic:spPr>
                </pic:pic>
              </a:graphicData>
            </a:graphic>
          </wp:inline>
        </w:drawing>
      </w:r>
    </w:p>
    <w:p w14:paraId="68D2D587" w14:textId="77777777" w:rsidR="00AD2F03" w:rsidRPr="00E8704D" w:rsidRDefault="00AD2F03" w:rsidP="00607DF1">
      <w:pPr>
        <w:pStyle w:val="Caption"/>
        <w:rPr>
          <w:i/>
        </w:rPr>
      </w:pPr>
      <w:bookmarkStart w:id="280" w:name="_Ref21697676"/>
      <w:bookmarkStart w:id="281" w:name="_Toc26534523"/>
      <w:r w:rsidRPr="00E8704D">
        <w:t xml:space="preserve">Figure </w:t>
      </w:r>
      <w:r w:rsidR="00CE1F3C">
        <w:fldChar w:fldCharType="begin"/>
      </w:r>
      <w:r w:rsidR="00CE1F3C">
        <w:instrText xml:space="preserve"> SEQ Figure \* ARABIC </w:instrText>
      </w:r>
      <w:r w:rsidR="00CE1F3C">
        <w:fldChar w:fldCharType="separate"/>
      </w:r>
      <w:r w:rsidR="00A82C54">
        <w:rPr>
          <w:noProof/>
        </w:rPr>
        <w:t>23</w:t>
      </w:r>
      <w:r w:rsidR="00CE1F3C">
        <w:rPr>
          <w:noProof/>
        </w:rPr>
        <w:fldChar w:fldCharType="end"/>
      </w:r>
      <w:bookmarkEnd w:id="280"/>
      <w:r w:rsidRPr="00E8704D">
        <w:t>:</w:t>
      </w:r>
      <w:r>
        <w:t xml:space="preserve"> Test </w:t>
      </w:r>
      <w:r w:rsidR="00C653C3" w:rsidRPr="00852292">
        <w:t>set accuracy for all VGG19 and Inception V3 versions trained with all datasets using Adamax (2e-3). Left panel shows VGG 19 results, right panel shows Inception V3 results. Note VGG19 shallow and intermediate feature extraction and fine tuning versions were trapped in local</w:t>
      </w:r>
      <w:r>
        <w:t xml:space="preserve"> minima.</w:t>
      </w:r>
      <w:bookmarkEnd w:id="281"/>
      <w:r>
        <w:t xml:space="preserve"> </w:t>
      </w:r>
    </w:p>
    <w:p w14:paraId="7B5681A4" w14:textId="77777777" w:rsidR="00AD2F03" w:rsidRDefault="00AD2F03" w:rsidP="00AD2F03"/>
    <w:p w14:paraId="40B87C78" w14:textId="77777777" w:rsidR="00AD2F03" w:rsidRPr="00751EDD" w:rsidRDefault="0011424B" w:rsidP="0011424B">
      <w:pPr>
        <w:pStyle w:val="Heading2"/>
      </w:pPr>
      <w:bookmarkStart w:id="282" w:name="_Ref20649053"/>
      <w:bookmarkStart w:id="283" w:name="_Toc26534641"/>
      <w:r>
        <w:t>5</w:t>
      </w:r>
      <w:r w:rsidR="00FE43A9">
        <w:t>.</w:t>
      </w:r>
      <w:r>
        <w:t xml:space="preserve"> </w:t>
      </w:r>
      <w:r w:rsidR="00AD2F03" w:rsidRPr="00751EDD">
        <w:t>Discussion</w:t>
      </w:r>
      <w:bookmarkEnd w:id="282"/>
      <w:bookmarkEnd w:id="283"/>
    </w:p>
    <w:p w14:paraId="008BE63B" w14:textId="77777777" w:rsidR="00C653C3" w:rsidRPr="00852292" w:rsidRDefault="00AD2F03" w:rsidP="00C653C3">
      <w:pPr>
        <w:ind w:firstLine="432"/>
        <w:rPr>
          <w:rFonts w:ascii="Times New Roman" w:hAnsi="Times New Roman"/>
        </w:rPr>
      </w:pPr>
      <w:r>
        <w:t xml:space="preserve">Unlike </w:t>
      </w:r>
      <w:r w:rsidR="00C653C3" w:rsidRPr="00852292">
        <w:rPr>
          <w:rFonts w:ascii="Times New Roman" w:hAnsi="Times New Roman"/>
        </w:rPr>
        <w:t xml:space="preserve">the poor generalization performance of adaptive methods compared to SGD optimizers reported by </w:t>
      </w:r>
      <w:r w:rsidR="00C653C3" w:rsidRPr="00852292">
        <w:rPr>
          <w:rFonts w:ascii="Times New Roman" w:hAnsi="Times New Roman"/>
        </w:rPr>
        <w:fldChar w:fldCharType="begin" w:fldLock="1"/>
      </w:r>
      <w:r w:rsidR="00C653C3" w:rsidRPr="00852292">
        <w:rPr>
          <w:rFonts w:ascii="Times New Roman" w:hAnsi="Times New Roman"/>
        </w:rPr>
        <w:instrText>ADDIN CSL_CITATION {"citationItems":[{"id":"ITEM-1","itemData":{"author":[{"dropping-particle":"","family":"Wilson","given":"Ashia C","non-dropping-particle":"","parse-names":false,"suffix":""},{"dropping-particle":"","family":"Roelofs","given":"Rebecca","non-dropping-particle":"","parse-names":false,"suffix":""},{"dropping-particle":"","family":"Stern","given":"Mitchell","non-dropping-particle":"","parse-names":false,"suffix":""},{"dropping-particle":"","family":"Srebro","given":"Nati","non-dropping-particle":"","parse-names":false,"suffix":""},{"dropping-particle":"","family":"Recht","given":"Benjamin","non-dropping-particle":"","parse-names":false,"suffix":""}],"container-title":"Advances in Neural Information Processing Systems 30","editor":[{"dropping-particle":"","family":"Guyon","given":"I","non-dropping-particle":"","parse-names":false,"suffix":""},{"dropping-particle":"V","family":"Luxburg","given":"U","non-dropping-particle":"","parse-names":false,"suffix":""},{"dropping-particle":"","family":"Bengio","given":"S","non-dropping-particle":"","parse-names":false,"suffix":""},{"dropping-particle":"","family":"Wallach","given":"H","non-dropping-particle":"","parse-names":false,"suffix":""},{"dropping-particle":"","family":"Fergus","given":"R","non-dropping-particle":"","parse-names":false,"suffix":""},{"dropping-particle":"","family":"Vishwanathan","given":"S","non-dropping-particle":"","parse-names":false,"suffix":""},{"dropping-particle":"","family":"Garnett","given":"R","non-dropping-particle":"","parse-names":false,"suffix":""}],"id":"ITEM-1","issued":{"date-parts":[["2017"]]},"page":"4148-4158","publisher":"Curran Associates, Inc.","title":"The Marginal Value of Adaptive Gradient Methods in Machine Learning","type":"chapter"},"uris":["http://www.mendeley.com/documents/?uuid=6c913df3-966f-4929-91ba-74c4dcfd7dae"]}],"mendeley":{"formattedCitation":"(Wilson et al., 2017)","manualFormatting":"Wilson et al. (2017)","plainTextFormattedCitation":"(Wilson et al., 2017)","previouslyFormattedCitation":"(Wilson et al., 2017)"},"properties":{"noteIndex":0},"schema":"https://github.com/citation-style-language/schema/raw/master/csl-citation.json"}</w:instrText>
      </w:r>
      <w:r w:rsidR="00C653C3" w:rsidRPr="00852292">
        <w:rPr>
          <w:rFonts w:ascii="Times New Roman" w:hAnsi="Times New Roman"/>
        </w:rPr>
        <w:fldChar w:fldCharType="separate"/>
      </w:r>
      <w:r w:rsidR="00C653C3" w:rsidRPr="00852292">
        <w:rPr>
          <w:rFonts w:ascii="Times New Roman" w:hAnsi="Times New Roman"/>
          <w:noProof/>
        </w:rPr>
        <w:t>Wilson et al. (2017)</w:t>
      </w:r>
      <w:r w:rsidR="00C653C3" w:rsidRPr="00852292">
        <w:rPr>
          <w:rFonts w:ascii="Times New Roman" w:hAnsi="Times New Roman"/>
        </w:rPr>
        <w:fldChar w:fldCharType="end"/>
      </w:r>
      <w:r w:rsidR="00C653C3" w:rsidRPr="00852292">
        <w:rPr>
          <w:rFonts w:ascii="Times New Roman" w:hAnsi="Times New Roman"/>
        </w:rPr>
        <w:t xml:space="preserve"> , our results do not find significant differences in performance for the optimizers tested. In fact, results in </w:t>
      </w:r>
      <w:r w:rsidR="00C653C3" w:rsidRPr="00852292">
        <w:rPr>
          <w:rFonts w:ascii="Times New Roman" w:hAnsi="Times New Roman"/>
        </w:rPr>
        <w:fldChar w:fldCharType="begin"/>
      </w:r>
      <w:r w:rsidR="00C653C3" w:rsidRPr="00852292">
        <w:rPr>
          <w:rFonts w:ascii="Times New Roman" w:hAnsi="Times New Roman"/>
        </w:rPr>
        <w:instrText xml:space="preserve"> REF _Ref20852732 \h  \* MERGEFORMAT </w:instrText>
      </w:r>
      <w:r w:rsidR="00C653C3" w:rsidRPr="00852292">
        <w:rPr>
          <w:rFonts w:ascii="Times New Roman" w:hAnsi="Times New Roman"/>
        </w:rPr>
      </w:r>
      <w:r w:rsidR="00C653C3" w:rsidRPr="00852292">
        <w:rPr>
          <w:rFonts w:ascii="Times New Roman" w:hAnsi="Times New Roman"/>
        </w:rPr>
        <w:fldChar w:fldCharType="separate"/>
      </w:r>
      <w:r w:rsidR="00C653C3" w:rsidRPr="00852292">
        <w:rPr>
          <w:rFonts w:ascii="Times New Roman" w:hAnsi="Times New Roman"/>
        </w:rPr>
        <w:t>Figure 5</w:t>
      </w:r>
      <w:r w:rsidR="00C653C3" w:rsidRPr="00852292">
        <w:rPr>
          <w:rFonts w:ascii="Times New Roman" w:hAnsi="Times New Roman"/>
        </w:rPr>
        <w:fldChar w:fldCharType="end"/>
      </w:r>
      <w:r w:rsidR="00C653C3" w:rsidRPr="00852292">
        <w:rPr>
          <w:rFonts w:ascii="Times New Roman" w:hAnsi="Times New Roman"/>
        </w:rPr>
        <w:t xml:space="preserve"> indicate that for our task, SGDs had a slightly worse performance. SGD (1e-3) momentum 0.9 and SGD (1e-2) had the larger </w:t>
      </w:r>
      <w:r w:rsidR="00C653C3" w:rsidRPr="00852292">
        <w:rPr>
          <w:rFonts w:ascii="Times New Roman" w:hAnsi="Times New Roman"/>
        </w:rPr>
        <w:lastRenderedPageBreak/>
        <w:t xml:space="preserve">difference between accuracy in training and test set for VGG19 intermediate and deep models.  SGD (1e-2) momentum 0.9 had the worst performance for Inception V3 shallow. However, </w:t>
      </w:r>
      <w:r w:rsidR="00C653C3" w:rsidRPr="00852292">
        <w:rPr>
          <w:rFonts w:ascii="Times New Roman" w:hAnsi="Times New Roman"/>
        </w:rPr>
        <w:fldChar w:fldCharType="begin"/>
      </w:r>
      <w:r w:rsidR="00C653C3" w:rsidRPr="00852292">
        <w:rPr>
          <w:rFonts w:ascii="Times New Roman" w:hAnsi="Times New Roman"/>
        </w:rPr>
        <w:instrText xml:space="preserve"> REF _Ref20860278 \h  \* MERGEFORMAT </w:instrText>
      </w:r>
      <w:r w:rsidR="00C653C3" w:rsidRPr="00852292">
        <w:rPr>
          <w:rFonts w:ascii="Times New Roman" w:hAnsi="Times New Roman"/>
        </w:rPr>
      </w:r>
      <w:r w:rsidR="00C653C3" w:rsidRPr="00852292">
        <w:rPr>
          <w:rFonts w:ascii="Times New Roman" w:hAnsi="Times New Roman"/>
        </w:rPr>
        <w:fldChar w:fldCharType="separate"/>
      </w:r>
      <w:r w:rsidR="00C653C3" w:rsidRPr="00852292">
        <w:rPr>
          <w:rFonts w:ascii="Times New Roman" w:hAnsi="Times New Roman"/>
        </w:rPr>
        <w:t xml:space="preserve">Table </w:t>
      </w:r>
      <w:r w:rsidR="00C653C3" w:rsidRPr="00852292">
        <w:rPr>
          <w:rFonts w:ascii="Times New Roman" w:hAnsi="Times New Roman"/>
          <w:noProof/>
        </w:rPr>
        <w:t>7</w:t>
      </w:r>
      <w:r w:rsidR="00C653C3" w:rsidRPr="00852292">
        <w:rPr>
          <w:rFonts w:ascii="Times New Roman" w:hAnsi="Times New Roman"/>
        </w:rPr>
        <w:fldChar w:fldCharType="end"/>
      </w:r>
      <w:r w:rsidR="00C653C3" w:rsidRPr="00852292">
        <w:rPr>
          <w:rFonts w:ascii="Times New Roman" w:hAnsi="Times New Roman"/>
        </w:rPr>
        <w:t xml:space="preserve"> showing a summary of SGD (1e-3) momentum 0.9 results are slightly better than the Adamax (2e-3) summary in </w:t>
      </w:r>
      <w:r w:rsidR="00C653C3" w:rsidRPr="00852292">
        <w:rPr>
          <w:rFonts w:ascii="Times New Roman" w:hAnsi="Times New Roman"/>
        </w:rPr>
        <w:fldChar w:fldCharType="begin"/>
      </w:r>
      <w:r w:rsidR="00C653C3" w:rsidRPr="00852292">
        <w:rPr>
          <w:rFonts w:ascii="Times New Roman" w:hAnsi="Times New Roman"/>
        </w:rPr>
        <w:instrText xml:space="preserve"> REF _Ref21697335 \h  \* MERGEFORMAT </w:instrText>
      </w:r>
      <w:r w:rsidR="00C653C3" w:rsidRPr="00852292">
        <w:rPr>
          <w:rFonts w:ascii="Times New Roman" w:hAnsi="Times New Roman"/>
        </w:rPr>
      </w:r>
      <w:r w:rsidR="00C653C3" w:rsidRPr="00852292">
        <w:rPr>
          <w:rFonts w:ascii="Times New Roman" w:hAnsi="Times New Roman"/>
        </w:rPr>
        <w:fldChar w:fldCharType="separate"/>
      </w:r>
      <w:r w:rsidR="00C653C3" w:rsidRPr="00852292">
        <w:rPr>
          <w:rFonts w:ascii="Times New Roman" w:hAnsi="Times New Roman"/>
        </w:rPr>
        <w:t xml:space="preserve">Table </w:t>
      </w:r>
      <w:r w:rsidR="00C653C3" w:rsidRPr="00852292">
        <w:rPr>
          <w:rFonts w:ascii="Times New Roman" w:hAnsi="Times New Roman"/>
          <w:noProof/>
        </w:rPr>
        <w:t>9</w:t>
      </w:r>
      <w:r w:rsidR="00C653C3" w:rsidRPr="00852292">
        <w:rPr>
          <w:rFonts w:ascii="Times New Roman" w:hAnsi="Times New Roman"/>
        </w:rPr>
        <w:fldChar w:fldCharType="end"/>
      </w:r>
      <w:r w:rsidR="00C653C3" w:rsidRPr="00852292">
        <w:rPr>
          <w:rFonts w:ascii="Times New Roman" w:hAnsi="Times New Roman"/>
        </w:rPr>
        <w:t xml:space="preserve">. </w:t>
      </w:r>
      <w:r w:rsidR="00C653C3" w:rsidRPr="00852292">
        <w:rPr>
          <w:rFonts w:ascii="Times New Roman" w:hAnsi="Times New Roman"/>
        </w:rPr>
        <w:fldChar w:fldCharType="begin"/>
      </w:r>
      <w:r w:rsidR="00C653C3" w:rsidRPr="00852292">
        <w:rPr>
          <w:rFonts w:ascii="Times New Roman" w:hAnsi="Times New Roman"/>
        </w:rPr>
        <w:instrText xml:space="preserve"> REF _Ref20852732 \h  \* MERGEFORMAT </w:instrText>
      </w:r>
      <w:r w:rsidR="00C653C3" w:rsidRPr="00852292">
        <w:rPr>
          <w:rFonts w:ascii="Times New Roman" w:hAnsi="Times New Roman"/>
        </w:rPr>
      </w:r>
      <w:r w:rsidR="00C653C3" w:rsidRPr="00852292">
        <w:rPr>
          <w:rFonts w:ascii="Times New Roman" w:hAnsi="Times New Roman"/>
        </w:rPr>
        <w:fldChar w:fldCharType="separate"/>
      </w:r>
      <w:r w:rsidR="00C653C3" w:rsidRPr="00852292">
        <w:rPr>
          <w:rFonts w:ascii="Times New Roman" w:hAnsi="Times New Roman"/>
        </w:rPr>
        <w:t>Figure 5</w:t>
      </w:r>
      <w:r w:rsidR="00C653C3" w:rsidRPr="00852292">
        <w:rPr>
          <w:rFonts w:ascii="Times New Roman" w:hAnsi="Times New Roman"/>
        </w:rPr>
        <w:fldChar w:fldCharType="end"/>
      </w:r>
      <w:r w:rsidR="00C653C3" w:rsidRPr="00852292">
        <w:rPr>
          <w:rFonts w:ascii="Times New Roman" w:hAnsi="Times New Roman"/>
        </w:rPr>
        <w:t xml:space="preserve"> also presents some cases in which the accuracy in the test set was higher than the in the training set, e.g. SGD (1e-3) for Inception V3 shallow model. Validation and test set metrics better than training set metrics can be caused by the dropout layer, as during training less information is available for the model, or simply because of the data split; the training set is generally larger than validation and test sets and can incorporate a higher complexity in its samples. </w:t>
      </w:r>
    </w:p>
    <w:p w14:paraId="120C28B9" w14:textId="77777777" w:rsidR="00C653C3" w:rsidRPr="00852292" w:rsidRDefault="00C653C3" w:rsidP="00C653C3">
      <w:pPr>
        <w:ind w:firstLine="432"/>
        <w:rPr>
          <w:rFonts w:ascii="Times New Roman" w:hAnsi="Times New Roman"/>
        </w:rPr>
      </w:pPr>
      <w:r w:rsidRPr="00852292">
        <w:rPr>
          <w:rFonts w:ascii="Times New Roman" w:hAnsi="Times New Roman"/>
        </w:rPr>
        <w:t>Even though we selected SGD (1e-3) momentum 0.9 as the optimizer for the transfer learning experiments due to the its performance on the optimizer tests, some models still fell into local minima. This failure shows how the choice of hyperparameters can strongly affect the performance of deep learning models. Neither training from random initial weights (</w:t>
      </w:r>
      <w:r w:rsidRPr="00852292">
        <w:rPr>
          <w:rFonts w:ascii="Times New Roman" w:hAnsi="Times New Roman"/>
        </w:rPr>
        <w:fldChar w:fldCharType="begin"/>
      </w:r>
      <w:r w:rsidRPr="00852292">
        <w:rPr>
          <w:rFonts w:ascii="Times New Roman" w:hAnsi="Times New Roman"/>
        </w:rPr>
        <w:instrText xml:space="preserve"> REF _Ref20582236 \h  \* MERGEFORMAT </w:instrText>
      </w:r>
      <w:r w:rsidRPr="00852292">
        <w:rPr>
          <w:rFonts w:ascii="Times New Roman" w:hAnsi="Times New Roman"/>
        </w:rPr>
      </w:r>
      <w:r w:rsidRPr="00852292">
        <w:rPr>
          <w:rFonts w:ascii="Times New Roman" w:hAnsi="Times New Roman"/>
        </w:rPr>
        <w:fldChar w:fldCharType="separate"/>
      </w:r>
      <w:r w:rsidRPr="00852292">
        <w:rPr>
          <w:rFonts w:ascii="Times New Roman" w:hAnsi="Times New Roman"/>
        </w:rPr>
        <w:t>Figure 4</w:t>
      </w:r>
      <w:r w:rsidRPr="00852292">
        <w:rPr>
          <w:rFonts w:ascii="Times New Roman" w:hAnsi="Times New Roman"/>
        </w:rPr>
        <w:fldChar w:fldCharType="end"/>
      </w:r>
      <w:r w:rsidRPr="00852292">
        <w:rPr>
          <w:rFonts w:ascii="Times New Roman" w:hAnsi="Times New Roman"/>
        </w:rPr>
        <w:t>) nor transfer learning techniques (</w:t>
      </w:r>
      <w:r w:rsidRPr="00852292">
        <w:rPr>
          <w:rFonts w:ascii="Times New Roman" w:hAnsi="Times New Roman"/>
        </w:rPr>
        <w:fldChar w:fldCharType="begin"/>
      </w:r>
      <w:r w:rsidRPr="00852292">
        <w:rPr>
          <w:rFonts w:ascii="Times New Roman" w:hAnsi="Times New Roman"/>
        </w:rPr>
        <w:instrText xml:space="preserve"> REF _Ref20768906 \h  \* MERGEFORMAT </w:instrText>
      </w:r>
      <w:r w:rsidRPr="00852292">
        <w:rPr>
          <w:rFonts w:ascii="Times New Roman" w:hAnsi="Times New Roman"/>
        </w:rPr>
      </w:r>
      <w:r w:rsidRPr="00852292">
        <w:rPr>
          <w:rFonts w:ascii="Times New Roman" w:hAnsi="Times New Roman"/>
        </w:rPr>
        <w:fldChar w:fldCharType="separate"/>
      </w:r>
      <w:r w:rsidRPr="00852292">
        <w:rPr>
          <w:rFonts w:ascii="Times New Roman" w:hAnsi="Times New Roman"/>
        </w:rPr>
        <w:t>Figure 8</w:t>
      </w:r>
      <w:r w:rsidRPr="00852292">
        <w:rPr>
          <w:rFonts w:ascii="Times New Roman" w:hAnsi="Times New Roman"/>
        </w:rPr>
        <w:fldChar w:fldCharType="end"/>
      </w:r>
      <w:r w:rsidRPr="00852292">
        <w:rPr>
          <w:rFonts w:ascii="Times New Roman" w:hAnsi="Times New Roman"/>
        </w:rPr>
        <w:t xml:space="preserve">) are exempt from the possibility to present a poor performance if suboptimal hyperparameters are used. More than a marginal increase in performance, the results show that the models can completely fail when used with inappropriate hyperparameters, even if the task is appropriate for the model. </w:t>
      </w:r>
    </w:p>
    <w:p w14:paraId="7782F907" w14:textId="1A3026B9" w:rsidR="00AD2F03" w:rsidRDefault="00C653C3" w:rsidP="00C653C3">
      <w:pPr>
        <w:ind w:firstLine="432"/>
      </w:pPr>
      <w:r w:rsidRPr="00852292">
        <w:rPr>
          <w:rFonts w:ascii="Times New Roman" w:hAnsi="Times New Roman"/>
        </w:rPr>
        <w:t xml:space="preserve">Using ImageNet data, Yosinski et al. (2014) found that transfer learning, even when applied to a secondary task not similar to the primary task, perform better than training CNN models with randomly initialized weights. Using medical image data, </w:t>
      </w:r>
      <w:r w:rsidRPr="00852292">
        <w:rPr>
          <w:rFonts w:ascii="Times New Roman" w:hAnsi="Times New Roman"/>
        </w:rPr>
        <w:fldChar w:fldCharType="begin" w:fldLock="1"/>
      </w:r>
      <w:r w:rsidRPr="00852292">
        <w:rPr>
          <w:rFonts w:ascii="Times New Roman" w:hAnsi="Times New Roman"/>
        </w:rPr>
        <w:instrText>ADDIN CSL_CITATION {"citationItems":[{"id":"ITEM-1","itemData":{"DOI":"10.1109/TMI.2016.2535302","ISSN":"0278-0062","author":[{"dropping-particle":"","family":"Tajbakhsh","given":"N","non-dropping-particle":"","parse-names":false,"suffix":""},{"dropping-particle":"","family":"Shin","given":"J Y","non-dropping-particle":"","parse-names":false,"suffix":""},{"dropping-particle":"","family":"Gurudu","given":"S R","non-dropping-particle":"","parse-names":false,"suffix":""},{"dropping-particle":"","family":"Hurst","given":"R T","non-dropping-particle":"","parse-names":false,"suffix":""},{"dropping-particle":"","family":"Kendall","given":"C B","non-dropping-particle":"","parse-names":false,"suffix":""},{"dropping-particle":"","family":"Gotway","given":"M B","non-dropping-particle":"","parse-names":false,"suffix":""},{"dropping-particle":"","family":"Liang","given":"J","non-dropping-particle":"","parse-names":false,"suffix":""}],"container-title":"IEEE Transactions on Medical Imaging","id":"ITEM-1","issue":"5","issued":{"date-parts":[["2016","5"]]},"page":"1299-1312","title":"Convolutional Neural Networks for Medical Image Analysis: Full Training or Fine Tuning?","type":"article-journal","volume":"35"},"uris":["http://www.mendeley.com/documents/?uuid=c64876b4-48ab-46e8-9105-85ebf700feaf"]}],"mendeley":{"formattedCitation":"(Tajbakhsh et al., 2016)","manualFormatting":"Tajbakhsh et al. (2016)","plainTextFormattedCitation":"(Tajbakhsh et al., 2016)","previouslyFormattedCitation":"(Tajbakhsh et al., 2016)"},"properties":{"noteIndex":0},"schema":"https://github.com/citation-style-language/schema/raw/master/csl-citation.json"}</w:instrText>
      </w:r>
      <w:r w:rsidRPr="00852292">
        <w:rPr>
          <w:rFonts w:ascii="Times New Roman" w:hAnsi="Times New Roman"/>
        </w:rPr>
        <w:fldChar w:fldCharType="separate"/>
      </w:r>
      <w:r w:rsidRPr="00852292">
        <w:rPr>
          <w:rFonts w:ascii="Times New Roman" w:hAnsi="Times New Roman"/>
          <w:noProof/>
        </w:rPr>
        <w:t>Tajbakhsh et al. (2016)</w:t>
      </w:r>
      <w:r w:rsidRPr="00852292">
        <w:rPr>
          <w:rFonts w:ascii="Times New Roman" w:hAnsi="Times New Roman"/>
        </w:rPr>
        <w:fldChar w:fldCharType="end"/>
      </w:r>
      <w:r w:rsidRPr="00852292">
        <w:rPr>
          <w:rFonts w:ascii="Times New Roman" w:hAnsi="Times New Roman"/>
        </w:rPr>
        <w:t xml:space="preserve"> found that fine tuning achieved results comparable to or better than results from training a CNN model with randomly initialized weights. Our results align with their findings. Both </w:t>
      </w:r>
      <w:r w:rsidRPr="00852292">
        <w:rPr>
          <w:rFonts w:ascii="Times New Roman" w:hAnsi="Times New Roman"/>
        </w:rPr>
        <w:fldChar w:fldCharType="begin"/>
      </w:r>
      <w:r w:rsidRPr="00852292">
        <w:rPr>
          <w:rFonts w:ascii="Times New Roman" w:hAnsi="Times New Roman"/>
        </w:rPr>
        <w:instrText xml:space="preserve"> REF _Ref20768906 \h  \* MERGEFORMAT </w:instrText>
      </w:r>
      <w:r w:rsidRPr="00852292">
        <w:rPr>
          <w:rFonts w:ascii="Times New Roman" w:hAnsi="Times New Roman"/>
        </w:rPr>
      </w:r>
      <w:r w:rsidRPr="00852292">
        <w:rPr>
          <w:rFonts w:ascii="Times New Roman" w:hAnsi="Times New Roman"/>
        </w:rPr>
        <w:fldChar w:fldCharType="separate"/>
      </w:r>
      <w:r w:rsidRPr="00852292">
        <w:rPr>
          <w:rFonts w:ascii="Times New Roman" w:hAnsi="Times New Roman"/>
        </w:rPr>
        <w:t>Figure 8</w:t>
      </w:r>
      <w:r w:rsidRPr="00852292">
        <w:rPr>
          <w:rFonts w:ascii="Times New Roman" w:hAnsi="Times New Roman"/>
        </w:rPr>
        <w:fldChar w:fldCharType="end"/>
      </w:r>
      <w:r w:rsidRPr="00852292">
        <w:rPr>
          <w:rFonts w:ascii="Times New Roman" w:hAnsi="Times New Roman"/>
        </w:rPr>
        <w:t xml:space="preserve"> and </w:t>
      </w:r>
      <w:r w:rsidRPr="00852292">
        <w:rPr>
          <w:rFonts w:ascii="Times New Roman" w:hAnsi="Times New Roman"/>
        </w:rPr>
        <w:fldChar w:fldCharType="begin"/>
      </w:r>
      <w:r w:rsidRPr="00852292">
        <w:rPr>
          <w:rFonts w:ascii="Times New Roman" w:hAnsi="Times New Roman"/>
        </w:rPr>
        <w:instrText xml:space="preserve"> REF _Ref20860278 \h  \* MERGEFORMAT </w:instrText>
      </w:r>
      <w:r w:rsidRPr="00852292">
        <w:rPr>
          <w:rFonts w:ascii="Times New Roman" w:hAnsi="Times New Roman"/>
        </w:rPr>
      </w:r>
      <w:r w:rsidRPr="00852292">
        <w:rPr>
          <w:rFonts w:ascii="Times New Roman" w:hAnsi="Times New Roman"/>
        </w:rPr>
        <w:fldChar w:fldCharType="separate"/>
      </w:r>
      <w:r w:rsidRPr="00852292">
        <w:rPr>
          <w:rFonts w:ascii="Times New Roman" w:hAnsi="Times New Roman"/>
        </w:rPr>
        <w:t>Table 7</w:t>
      </w:r>
      <w:r w:rsidRPr="00852292">
        <w:rPr>
          <w:rFonts w:ascii="Times New Roman" w:hAnsi="Times New Roman"/>
        </w:rPr>
        <w:fldChar w:fldCharType="end"/>
      </w:r>
      <w:r w:rsidRPr="00852292">
        <w:rPr>
          <w:rFonts w:ascii="Times New Roman" w:hAnsi="Times New Roman"/>
        </w:rPr>
        <w:t xml:space="preserve"> show the fine tuning mode of training outperforming randomly initialized weights when using </w:t>
      </w:r>
      <w:r w:rsidRPr="00852292">
        <w:rPr>
          <w:rFonts w:ascii="Times New Roman" w:hAnsi="Times New Roman"/>
        </w:rPr>
        <w:lastRenderedPageBreak/>
        <w:t xml:space="preserve">SGD (1e-3) momentum 0.9. Results in </w:t>
      </w:r>
      <w:r w:rsidRPr="00852292">
        <w:rPr>
          <w:rFonts w:ascii="Times New Roman" w:hAnsi="Times New Roman"/>
        </w:rPr>
        <w:fldChar w:fldCharType="begin"/>
      </w:r>
      <w:r w:rsidRPr="00852292">
        <w:rPr>
          <w:rFonts w:ascii="Times New Roman" w:hAnsi="Times New Roman"/>
        </w:rPr>
        <w:instrText xml:space="preserve"> REF _Ref21697676 \h  \* MERGEFORMAT </w:instrText>
      </w:r>
      <w:r w:rsidRPr="00852292">
        <w:rPr>
          <w:rFonts w:ascii="Times New Roman" w:hAnsi="Times New Roman"/>
        </w:rPr>
      </w:r>
      <w:r w:rsidRPr="00852292">
        <w:rPr>
          <w:rFonts w:ascii="Times New Roman" w:hAnsi="Times New Roman"/>
        </w:rPr>
        <w:fldChar w:fldCharType="separate"/>
      </w:r>
      <w:r w:rsidRPr="00852292">
        <w:rPr>
          <w:rFonts w:ascii="Times New Roman" w:hAnsi="Times New Roman"/>
        </w:rPr>
        <w:t>Figure 9</w:t>
      </w:r>
      <w:r w:rsidRPr="00852292">
        <w:rPr>
          <w:rFonts w:ascii="Times New Roman" w:hAnsi="Times New Roman"/>
        </w:rPr>
        <w:fldChar w:fldCharType="end"/>
      </w:r>
      <w:r w:rsidRPr="00852292">
        <w:rPr>
          <w:rFonts w:ascii="Times New Roman" w:hAnsi="Times New Roman"/>
        </w:rPr>
        <w:t xml:space="preserve"> and </w:t>
      </w:r>
      <w:r w:rsidRPr="00852292">
        <w:rPr>
          <w:rFonts w:ascii="Times New Roman" w:hAnsi="Times New Roman"/>
        </w:rPr>
        <w:fldChar w:fldCharType="begin"/>
      </w:r>
      <w:r w:rsidRPr="00852292">
        <w:rPr>
          <w:rFonts w:ascii="Times New Roman" w:hAnsi="Times New Roman"/>
        </w:rPr>
        <w:instrText xml:space="preserve"> REF _Ref21697335 \h  \* MERGEFORMAT </w:instrText>
      </w:r>
      <w:r w:rsidRPr="00852292">
        <w:rPr>
          <w:rFonts w:ascii="Times New Roman" w:hAnsi="Times New Roman"/>
        </w:rPr>
      </w:r>
      <w:r w:rsidRPr="00852292">
        <w:rPr>
          <w:rFonts w:ascii="Times New Roman" w:hAnsi="Times New Roman"/>
        </w:rPr>
        <w:fldChar w:fldCharType="separate"/>
      </w:r>
      <w:r w:rsidRPr="00852292">
        <w:rPr>
          <w:rFonts w:ascii="Times New Roman" w:hAnsi="Times New Roman"/>
        </w:rPr>
        <w:t>Table 9</w:t>
      </w:r>
      <w:r w:rsidRPr="00852292">
        <w:rPr>
          <w:rFonts w:ascii="Times New Roman" w:hAnsi="Times New Roman"/>
        </w:rPr>
        <w:fldChar w:fldCharType="end"/>
      </w:r>
      <w:r w:rsidRPr="00852292">
        <w:rPr>
          <w:rFonts w:ascii="Times New Roman" w:hAnsi="Times New Roman"/>
        </w:rPr>
        <w:t xml:space="preserve"> show that transfer learning is the best performing with the Adamax (2e-3) optimizer. However, it seems that the step size (2e-3) is too large for fine tuning in the VGG19 model, such that the VGG19 intermediate and deep models trained on fine tune and randomly initialized weights modes fall in local minima. The primary task (ImageNet, composed of natural images) is not very similar to the secondary task (remote sensing scene classification). While there is a similarity in primary and secondary tasks datasets, such as the number of channels (red-green-blue components), images are from the visible spectra, and some objects might be present in both tasks (e.g. airplanes), the tasks are fundamentally different. </w:t>
      </w:r>
      <w:r w:rsidRPr="00852292">
        <w:rPr>
          <w:rFonts w:ascii="Times New Roman" w:hAnsi="Times New Roman"/>
        </w:rPr>
        <w:fldChar w:fldCharType="begin"/>
      </w:r>
      <w:r w:rsidRPr="00852292">
        <w:rPr>
          <w:rFonts w:ascii="Times New Roman" w:hAnsi="Times New Roman"/>
        </w:rPr>
        <w:instrText xml:space="preserve"> REF _Ref20768645 \h  \* MERGEFORMAT </w:instrText>
      </w:r>
      <w:r w:rsidRPr="00852292">
        <w:rPr>
          <w:rFonts w:ascii="Times New Roman" w:hAnsi="Times New Roman"/>
        </w:rPr>
      </w:r>
      <w:r w:rsidRPr="00852292">
        <w:rPr>
          <w:rFonts w:ascii="Times New Roman" w:hAnsi="Times New Roman"/>
        </w:rPr>
        <w:fldChar w:fldCharType="separate"/>
      </w:r>
      <w:r w:rsidRPr="00852292">
        <w:rPr>
          <w:rFonts w:ascii="Times New Roman" w:hAnsi="Times New Roman"/>
        </w:rPr>
        <w:t>Figure 5</w:t>
      </w:r>
      <w:r w:rsidRPr="00852292">
        <w:rPr>
          <w:rFonts w:ascii="Times New Roman" w:hAnsi="Times New Roman"/>
        </w:rPr>
        <w:fldChar w:fldCharType="end"/>
      </w:r>
      <w:r w:rsidRPr="00852292">
        <w:rPr>
          <w:rFonts w:ascii="Times New Roman" w:hAnsi="Times New Roman"/>
        </w:rPr>
        <w:t xml:space="preserve">, however, shows how feature extraction can be limited by the difference in tasks. When the initial layers are frozen, the model cannot properly learn and the model starts to overfit. With the layers unfrozen, the overfitting reduces and accuracy increase. We observed a similar behavior for most of fine tuning tests (all of the loss and accuracy per epoch can be accessed in the supplemental material). Despite feature extraction limitations, the results show that transfer learning is an effective deep learning approach that should not be discarded if the secondary task is not similar to the primary task. In fact, </w:t>
      </w:r>
      <w:r w:rsidRPr="00852292">
        <w:rPr>
          <w:rFonts w:ascii="Times New Roman" w:hAnsi="Times New Roman"/>
        </w:rPr>
        <w:fldChar w:fldCharType="begin"/>
      </w:r>
      <w:r w:rsidRPr="00852292">
        <w:rPr>
          <w:rFonts w:ascii="Times New Roman" w:hAnsi="Times New Roman"/>
        </w:rPr>
        <w:instrText xml:space="preserve"> REF _Ref21124745 \h  \* MERGEFORMAT </w:instrText>
      </w:r>
      <w:r w:rsidRPr="00852292">
        <w:rPr>
          <w:rFonts w:ascii="Times New Roman" w:hAnsi="Times New Roman"/>
        </w:rPr>
      </w:r>
      <w:r w:rsidRPr="00852292">
        <w:rPr>
          <w:rFonts w:ascii="Times New Roman" w:hAnsi="Times New Roman"/>
        </w:rPr>
        <w:fldChar w:fldCharType="separate"/>
      </w:r>
      <w:r w:rsidRPr="00852292">
        <w:rPr>
          <w:rFonts w:ascii="Times New Roman" w:hAnsi="Times New Roman"/>
        </w:rPr>
        <w:t xml:space="preserve">Table </w:t>
      </w:r>
      <w:r w:rsidRPr="00852292">
        <w:rPr>
          <w:rFonts w:ascii="Times New Roman" w:hAnsi="Times New Roman"/>
          <w:noProof/>
        </w:rPr>
        <w:t>8</w:t>
      </w:r>
      <w:r w:rsidRPr="00852292">
        <w:rPr>
          <w:rFonts w:ascii="Times New Roman" w:hAnsi="Times New Roman"/>
        </w:rPr>
        <w:fldChar w:fldCharType="end"/>
      </w:r>
      <w:r w:rsidRPr="00852292">
        <w:rPr>
          <w:rFonts w:ascii="Times New Roman" w:hAnsi="Times New Roman"/>
        </w:rPr>
        <w:t xml:space="preserve"> presents striking results. Fine tuned models initially trained on PatternNet underperformed fine tuned models trained on ImageNet. Perhaps the first explanation for such underperformance would be that the models are overfitting the PatternNet dataset. However, PatternNet models performed well on the PatternNet test set, which indicates they are not overfitting the training data. We hypothesize that the weaker performance is due to the complexity of the datasets. PatternNet is a dataset created with the objective to provide researchers with clear examples of different remote sensing scenes, whereas the ImageNet is a complex dataset where the intra class variance, i.e. how a single class contains very different samples, is very high. As observed by </w:t>
      </w:r>
      <w:r w:rsidRPr="00852292">
        <w:rPr>
          <w:rFonts w:ascii="Times New Roman" w:hAnsi="Times New Roman"/>
        </w:rPr>
        <w:fldChar w:fldCharType="begin" w:fldLock="1"/>
      </w:r>
      <w:r w:rsidRPr="00852292">
        <w:rPr>
          <w:rFonts w:ascii="Times New Roman" w:hAnsi="Times New Roman"/>
        </w:rPr>
        <w:instrText>ADDIN CSL_CITATION {"citationItems":[{"id":"ITEM-1","itemData":{"DOI":"10.1109/JPROC.2017.2675998","author":[{"dropping-particle":"","family":"Cheng","given":"G","non-dropping-particle":"","parse-names":false,"suffix":""},{"dropping-particle":"","family":"Han","given":"J","non-dropping-particle":"","parse-names":false,"suffix":""},{"dropping-particle":"","family":"Lu","given":"X","non-dropping-particle":"","parse-names":false,"suffix":""}],"container-title":"Proceedings of the IEEE","id":"ITEM-1","issue":"10","issued":{"date-parts":[["2017","10"]]},"page":"1865-1883","title":"Remote Sensing Image Scene Classification: Benchmark and State of the Art","type":"article-journal","volume":"105"},"uris":["http://www.mendeley.com/documents/?uuid=b75c68eb-00ef-45bf-978b-81eaad380f13"]}],"mendeley":{"formattedCitation":"(Cheng et al., 2017)","manualFormatting":"Cheng et al. (2017)","plainTextFormattedCitation":"(Cheng et al., 2017)","previouslyFormattedCitation":"(Cheng et al., 2017)"},"properties":{"noteIndex":0},"schema":"https://github.com/citation-style-language/schema/raw/master/csl-citation.json"}</w:instrText>
      </w:r>
      <w:r w:rsidRPr="00852292">
        <w:rPr>
          <w:rFonts w:ascii="Times New Roman" w:hAnsi="Times New Roman"/>
        </w:rPr>
        <w:fldChar w:fldCharType="separate"/>
      </w:r>
      <w:r w:rsidRPr="00852292">
        <w:rPr>
          <w:rFonts w:ascii="Times New Roman" w:hAnsi="Times New Roman"/>
          <w:noProof/>
        </w:rPr>
        <w:t xml:space="preserve">Cheng et al. </w:t>
      </w:r>
      <w:r w:rsidRPr="00852292">
        <w:rPr>
          <w:rFonts w:ascii="Times New Roman" w:hAnsi="Times New Roman"/>
          <w:noProof/>
        </w:rPr>
        <w:lastRenderedPageBreak/>
        <w:t>(2017)</w:t>
      </w:r>
      <w:r w:rsidRPr="00852292">
        <w:rPr>
          <w:rFonts w:ascii="Times New Roman" w:hAnsi="Times New Roman"/>
        </w:rPr>
        <w:fldChar w:fldCharType="end"/>
      </w:r>
      <w:r w:rsidRPr="00852292">
        <w:rPr>
          <w:rFonts w:ascii="Times New Roman" w:hAnsi="Times New Roman"/>
        </w:rPr>
        <w:t xml:space="preserve"> many remote sensing scene classification datasets have a lack of intraclass sample variations and diversity. These limitations severely limit the development of new approaches especially deep learning-based methods. Thus, CNN models trained on the ImageNet need to develop more generic, perhaps robust, filters to be able to properly identify ImageNet’s </w:t>
      </w:r>
      <w:r w:rsidR="00AD2F03">
        <w:t xml:space="preserve">classes. </w:t>
      </w:r>
    </w:p>
    <w:p w14:paraId="444A4DA4" w14:textId="77777777" w:rsidR="002F1077" w:rsidRDefault="002F1077" w:rsidP="00C653C3">
      <w:pPr>
        <w:ind w:firstLine="432"/>
      </w:pPr>
    </w:p>
    <w:p w14:paraId="7698733E" w14:textId="77777777" w:rsidR="00AD2F03" w:rsidRPr="00751EDD" w:rsidRDefault="0011424B" w:rsidP="0011424B">
      <w:pPr>
        <w:pStyle w:val="Heading2"/>
      </w:pPr>
      <w:bookmarkStart w:id="284" w:name="_Ref20649096"/>
      <w:bookmarkStart w:id="285" w:name="_Toc26534642"/>
      <w:r>
        <w:t>6</w:t>
      </w:r>
      <w:r w:rsidR="00FE43A9">
        <w:t>.</w:t>
      </w:r>
      <w:r>
        <w:t xml:space="preserve"> </w:t>
      </w:r>
      <w:r w:rsidR="00AD2F03" w:rsidRPr="00751EDD">
        <w:t>Conclusions</w:t>
      </w:r>
      <w:bookmarkEnd w:id="284"/>
      <w:bookmarkEnd w:id="285"/>
    </w:p>
    <w:p w14:paraId="518A171F" w14:textId="77777777" w:rsidR="00C653C3" w:rsidRPr="00852292" w:rsidRDefault="00AD2F03" w:rsidP="00C653C3">
      <w:pPr>
        <w:ind w:firstLine="720"/>
        <w:rPr>
          <w:rFonts w:ascii="Times New Roman" w:hAnsi="Times New Roman"/>
        </w:rPr>
      </w:pPr>
      <w:r>
        <w:t xml:space="preserve">Our </w:t>
      </w:r>
      <w:r w:rsidR="00C653C3" w:rsidRPr="00852292">
        <w:rPr>
          <w:rFonts w:ascii="Times New Roman" w:hAnsi="Times New Roman"/>
        </w:rPr>
        <w:t xml:space="preserve">objective with this paper was to investigate the use of transfer learning in the analysis of remote sensing data, as well as how the CNN performance depends on the depth of the network and on the amount of training data available. Our experiments, based on three distinct remote sensing datasets and two popular CNN models, show that transfer learning, specifically fine tuning CNNs is a powerful tool for remote sensing scene classification. Much like the findings in other experiments, the results we found show that transfer from natural images (ImageNet) to remote sensing imagery is possible. Despite the relatively large difference between primary and secondary tasks, transfer learning training mode generally outperformed training a CNN with randomly initialized weights and achieved the best results overall. Curiously, fine tuning models primarily trained on the generic ImageNet dataset overperformed fine tuning models primarily trained on PatternNet dataset. As expected, our results also indicate that for a particular application, the amount of training data available plays a significant role on the performance of the CNN models. We generally observed a larger accuracy difference between transfer learning and training with randomly initialized weights using the smaller UCMerced dataset, whereas accuracy differences were smaller when using the larger PatternNet dataset. Model robustness is also clear on the results. On several instances the VGG19 ended up stuck on local minima, both during optimization testing and during transfer learning testing. The </w:t>
      </w:r>
      <w:r w:rsidR="00C653C3" w:rsidRPr="00852292">
        <w:rPr>
          <w:rFonts w:ascii="Times New Roman" w:hAnsi="Times New Roman"/>
        </w:rPr>
        <w:lastRenderedPageBreak/>
        <w:t xml:space="preserve">VGG19 shallow and intermediate models’ results exhibit a performance degradation caused by splitting the primary trained CNN model between co-adapted neurons on neighboring layers. VGG19 shallow and intermediate on randomly initialized mode, however, performed satisfactorily. In spite of our simplistic model split without detailed attention to co-adaption of neurons between layers, Inception V3 passed all experiments without falling into local minima. </w:t>
      </w:r>
    </w:p>
    <w:p w14:paraId="39A5D502" w14:textId="77777777" w:rsidR="00AD2F03" w:rsidRDefault="00C653C3" w:rsidP="00C653C3">
      <w:pPr>
        <w:ind w:firstLine="720"/>
      </w:pPr>
      <w:r w:rsidRPr="00852292">
        <w:rPr>
          <w:rFonts w:ascii="Times New Roman" w:hAnsi="Times New Roman"/>
        </w:rPr>
        <w:t>The results seem to corroborate that feature extraction or fine tuning well-established CNN models offer a practical way to achieve the best performance for remote sensing scene classification. Although fine tune the originally more complex deep models might present satisfactory results, splitting the original model can perhaps improve performance. Note fine tuning Inception V3 intermediate model outperformed Inception V3 deep model. With datasets large enough, randomly initialized weights are also an appropriate choice for training. However, it is often hard to know when a dataset is large enough. Our recommendation is to start from the deep models and try to reduce model’s size as it is easier to overfit models with too many weights</w:t>
      </w:r>
      <w:r w:rsidR="00AD2F03">
        <w:t xml:space="preserve">. </w:t>
      </w:r>
    </w:p>
    <w:p w14:paraId="29E971EA" w14:textId="77777777" w:rsidR="00AD2F03" w:rsidRPr="00751EDD" w:rsidRDefault="00AD2F03" w:rsidP="00AD2F03">
      <w:pPr>
        <w:ind w:firstLine="720"/>
      </w:pPr>
    </w:p>
    <w:p w14:paraId="7BC3DCB8" w14:textId="77777777" w:rsidR="00AD2F03" w:rsidRPr="00751EDD" w:rsidRDefault="0011424B" w:rsidP="0011424B">
      <w:pPr>
        <w:pStyle w:val="Heading2"/>
      </w:pPr>
      <w:bookmarkStart w:id="286" w:name="_Toc26534643"/>
      <w:r>
        <w:t>7</w:t>
      </w:r>
      <w:r w:rsidR="00FE43A9">
        <w:t>.</w:t>
      </w:r>
      <w:r>
        <w:t xml:space="preserve"> </w:t>
      </w:r>
      <w:r w:rsidR="00AD2F03">
        <w:t>Data and materials availability</w:t>
      </w:r>
      <w:bookmarkEnd w:id="286"/>
    </w:p>
    <w:p w14:paraId="2CC07873" w14:textId="4CF02EF5" w:rsidR="00607DF1" w:rsidRDefault="00AD2F03" w:rsidP="002F1077">
      <w:pPr>
        <w:ind w:firstLine="720"/>
        <w:rPr>
          <w:rFonts w:asciiTheme="majorHAnsi" w:hAnsiTheme="majorHAnsi"/>
          <w:b/>
          <w:bCs/>
          <w:iCs/>
          <w:szCs w:val="28"/>
        </w:rPr>
      </w:pPr>
      <w:r>
        <w:t xml:space="preserve">Data associated with this research are available online. The UC Merced dataset The dataset is available for download at </w:t>
      </w:r>
      <w:hyperlink r:id="rId71" w:history="1">
        <w:r w:rsidRPr="009C75A6">
          <w:rPr>
            <w:rStyle w:val="Hyperlink"/>
          </w:rPr>
          <w:t>http://weegee.vision.ucmerced.edu/datasets/landuse.html</w:t>
        </w:r>
      </w:hyperlink>
      <w:r>
        <w:t xml:space="preserve">. AID is available for download at for download at </w:t>
      </w:r>
      <w:hyperlink r:id="rId72" w:history="1">
        <w:r>
          <w:rPr>
            <w:rStyle w:val="Hyperlink"/>
          </w:rPr>
          <w:t>http://captain.whu.edu.cn/WUDA-RSImg/aid.html</w:t>
        </w:r>
      </w:hyperlink>
      <w:r>
        <w:t xml:space="preserve">. PatternNet dataset is available for download at </w:t>
      </w:r>
      <w:hyperlink r:id="rId73" w:history="1">
        <w:r w:rsidRPr="009C75A6">
          <w:rPr>
            <w:rStyle w:val="Hyperlink"/>
          </w:rPr>
          <w:t>https://sites.google.com/view/zhouwx/dataset</w:t>
        </w:r>
      </w:hyperlink>
      <w:r>
        <w:t xml:space="preserve">. The Python scripts used for the analysis of the datasets, as well as the generation of most images, and the supplemental figures are available at </w:t>
      </w:r>
      <w:hyperlink r:id="rId74" w:history="1">
        <w:r>
          <w:rPr>
            <w:rStyle w:val="Hyperlink"/>
          </w:rPr>
          <w:t>https://github.com/raplima/remote_sensing-transfer_learning</w:t>
        </w:r>
      </w:hyperlink>
      <w:r>
        <w:t>.</w:t>
      </w:r>
      <w:r w:rsidR="00607DF1">
        <w:br w:type="page"/>
      </w:r>
    </w:p>
    <w:p w14:paraId="24943170" w14:textId="2A662C5B" w:rsidR="00AD2F03" w:rsidRPr="00751EDD" w:rsidRDefault="0011424B" w:rsidP="0011424B">
      <w:pPr>
        <w:pStyle w:val="Heading2"/>
      </w:pPr>
      <w:bookmarkStart w:id="287" w:name="_Toc26534644"/>
      <w:r>
        <w:lastRenderedPageBreak/>
        <w:t>8</w:t>
      </w:r>
      <w:r w:rsidR="00FE43A9">
        <w:t>.</w:t>
      </w:r>
      <w:r>
        <w:t xml:space="preserve"> </w:t>
      </w:r>
      <w:r w:rsidR="00AD2F03" w:rsidRPr="00751EDD">
        <w:t>Acknowledgments</w:t>
      </w:r>
      <w:bookmarkEnd w:id="287"/>
      <w:r w:rsidR="00AD2F03" w:rsidRPr="00751EDD">
        <w:t xml:space="preserve"> </w:t>
      </w:r>
    </w:p>
    <w:p w14:paraId="09AF28C5" w14:textId="2E28CC1E" w:rsidR="00AD2F03" w:rsidRPr="00751EDD" w:rsidRDefault="00AD2F03" w:rsidP="00607DF1">
      <w:pPr>
        <w:ind w:firstLine="720"/>
        <w:rPr>
          <w:rFonts w:asciiTheme="majorHAnsi" w:eastAsiaTheme="majorEastAsia" w:hAnsiTheme="majorHAnsi" w:cstheme="majorBidi"/>
          <w:sz w:val="26"/>
          <w:szCs w:val="26"/>
        </w:rPr>
      </w:pPr>
      <w:r w:rsidRPr="00751EDD">
        <w:t xml:space="preserve">Rafael acknowledges CNPq (grant 203589/2014-9) for the financial support and CPRM for granting the leave of absence allowing the pursuit of his Ph.D. studies. </w:t>
      </w:r>
      <w:r>
        <w:t>The funding for the computers used in this project was provided by the industry sponsors of the OU Attribute-Assisted Seismic Processing and Interpretation Consortium.</w:t>
      </w:r>
    </w:p>
    <w:p w14:paraId="1FBBD487" w14:textId="77777777" w:rsidR="00AD2F03" w:rsidRPr="00751EDD" w:rsidRDefault="00AD2F03" w:rsidP="0011424B">
      <w:pPr>
        <w:pStyle w:val="Heading2"/>
      </w:pPr>
      <w:bookmarkStart w:id="288" w:name="_Toc26534645"/>
      <w:r w:rsidRPr="00751EDD">
        <w:t>References</w:t>
      </w:r>
      <w:bookmarkEnd w:id="288"/>
    </w:p>
    <w:p w14:paraId="03D4F30C" w14:textId="77777777" w:rsidR="00AD2F03" w:rsidRPr="00AD2F03" w:rsidRDefault="00AD2F03" w:rsidP="00AD2F03">
      <w:pPr>
        <w:spacing w:line="240" w:lineRule="auto"/>
        <w:ind w:left="576" w:hanging="720"/>
        <w:rPr>
          <w:rFonts w:asciiTheme="majorHAnsi" w:hAnsiTheme="majorHAnsi" w:cstheme="majorHAnsi"/>
        </w:rPr>
      </w:pPr>
      <w:r w:rsidRPr="00AD2F03">
        <w:rPr>
          <w:rFonts w:asciiTheme="majorHAnsi" w:hAnsiTheme="majorHAnsi" w:cstheme="majorHAnsi"/>
        </w:rPr>
        <w:t>Abadi, M. et al., 2016, TensorFlow: A system for large-scale machine learning, in 12th USENIX Symposium on Operating Systems Design and Implementation (OSDI 16): 265–283.</w:t>
      </w:r>
    </w:p>
    <w:p w14:paraId="1B7CC916" w14:textId="77777777" w:rsidR="00AD2F03" w:rsidRPr="00AD2F03" w:rsidRDefault="00AD2F03" w:rsidP="00AD2F03">
      <w:pPr>
        <w:spacing w:line="240" w:lineRule="auto"/>
        <w:ind w:left="576" w:hanging="720"/>
        <w:rPr>
          <w:rFonts w:asciiTheme="majorHAnsi" w:hAnsiTheme="majorHAnsi" w:cstheme="majorHAnsi"/>
        </w:rPr>
      </w:pPr>
      <w:r w:rsidRPr="00AD2F03">
        <w:rPr>
          <w:rFonts w:asciiTheme="majorHAnsi" w:hAnsiTheme="majorHAnsi" w:cstheme="majorHAnsi"/>
        </w:rPr>
        <w:t>Bosilj, P., E. Aptoula, S. Lefèvre, and E. Kijak, 2016, Retrieval of Remote Sensing Images with Pattern Spectra Descriptors: ISPRS International Journal of Geo-Information, 5, 228, doi:10.3390/ijgi5120228.</w:t>
      </w:r>
    </w:p>
    <w:p w14:paraId="1D3B0D89" w14:textId="7D37EF96" w:rsidR="00AD2F03" w:rsidRPr="00AD2F03" w:rsidRDefault="00AD2F03" w:rsidP="00AD2F03">
      <w:pPr>
        <w:spacing w:line="240" w:lineRule="auto"/>
        <w:ind w:left="576" w:hanging="720"/>
        <w:rPr>
          <w:rFonts w:asciiTheme="majorHAnsi" w:hAnsiTheme="majorHAnsi" w:cstheme="majorHAnsi"/>
        </w:rPr>
      </w:pPr>
      <w:r w:rsidRPr="00AD2F03">
        <w:rPr>
          <w:rFonts w:asciiTheme="majorHAnsi" w:hAnsiTheme="majorHAnsi" w:cstheme="majorHAnsi"/>
        </w:rPr>
        <w:t xml:space="preserve">Bottou, L., 2010, Large-Scale Machine Learning with Stochastic Gradient Descent, in  Y. Lechevallier, and G. Saporta, eds., Proceedings of COMPSTAT’2010: Physica-Verlag HD, 177–186, </w:t>
      </w:r>
      <w:r w:rsidR="000E191D">
        <w:rPr>
          <w:rFonts w:asciiTheme="majorHAnsi" w:hAnsiTheme="majorHAnsi" w:cstheme="majorHAnsi"/>
        </w:rPr>
        <w:t>doi:</w:t>
      </w:r>
      <w:r w:rsidRPr="00AD2F03">
        <w:rPr>
          <w:rFonts w:asciiTheme="majorHAnsi" w:hAnsiTheme="majorHAnsi" w:cstheme="majorHAnsi"/>
        </w:rPr>
        <w:t>.org/10.1007/978-3-7908-2604-3_16.</w:t>
      </w:r>
    </w:p>
    <w:p w14:paraId="7D83119D" w14:textId="77777777" w:rsidR="00AD2F03" w:rsidRPr="00AD2F03" w:rsidRDefault="00AD2F03" w:rsidP="00AD2F03">
      <w:pPr>
        <w:spacing w:line="240" w:lineRule="auto"/>
        <w:ind w:left="576" w:hanging="720"/>
        <w:rPr>
          <w:rFonts w:asciiTheme="majorHAnsi" w:hAnsiTheme="majorHAnsi" w:cstheme="majorHAnsi"/>
        </w:rPr>
      </w:pPr>
      <w:r w:rsidRPr="00AD2F03">
        <w:rPr>
          <w:rFonts w:asciiTheme="majorHAnsi" w:hAnsiTheme="majorHAnsi" w:cstheme="majorHAnsi"/>
        </w:rPr>
        <w:t>Carranza-Rojas, J., H. Goeau, P. Bonnet, E. Mata-Montero, and A. Joly, 2017, Going deeper in the automated identification of Herbarium specimens: BMC Evolutionary Biology, 17, 181, doi:10.1186/s12862-017-1014-z.</w:t>
      </w:r>
    </w:p>
    <w:p w14:paraId="2847B3DD" w14:textId="77777777" w:rsidR="00AD2F03" w:rsidRPr="00AD2F03" w:rsidRDefault="00AD2F03" w:rsidP="00AD2F03">
      <w:pPr>
        <w:spacing w:line="240" w:lineRule="auto"/>
        <w:ind w:left="576" w:hanging="720"/>
        <w:rPr>
          <w:rFonts w:asciiTheme="majorHAnsi" w:hAnsiTheme="majorHAnsi" w:cstheme="majorHAnsi"/>
        </w:rPr>
      </w:pPr>
      <w:r w:rsidRPr="00AD2F03">
        <w:rPr>
          <w:rFonts w:asciiTheme="majorHAnsi" w:hAnsiTheme="majorHAnsi" w:cstheme="majorHAnsi"/>
        </w:rPr>
        <w:t>Chen, Z., T. Zhang, C. Ouyang, Z. Chen, T. Zhang, and C. Ouyang, 2018, End-to-End Airplane Detection Using Transfer Learning in Remote Sensing Images: Remote Sensing, 10, 139, doi:10.3390/rs10010139.</w:t>
      </w:r>
    </w:p>
    <w:p w14:paraId="61CBFAA0" w14:textId="77777777" w:rsidR="00AD2F03" w:rsidRPr="00AD2F03" w:rsidRDefault="00AD2F03" w:rsidP="00AD2F03">
      <w:pPr>
        <w:spacing w:line="240" w:lineRule="auto"/>
        <w:ind w:left="576" w:hanging="720"/>
        <w:rPr>
          <w:rFonts w:asciiTheme="majorHAnsi" w:hAnsiTheme="majorHAnsi" w:cstheme="majorHAnsi"/>
        </w:rPr>
      </w:pPr>
      <w:r w:rsidRPr="00AD2F03">
        <w:rPr>
          <w:rFonts w:asciiTheme="majorHAnsi" w:hAnsiTheme="majorHAnsi" w:cstheme="majorHAnsi"/>
        </w:rPr>
        <w:t>Cheng, G., J. Han, and X. Lu, 2017, Remote Sensing Image Scene Classification: Benchmark and State of the Art: Proceedings of the IEEE, 105, 1865–1883, doi:10.1109/JPROC.2017.2675998.</w:t>
      </w:r>
    </w:p>
    <w:p w14:paraId="695AC80E" w14:textId="77777777" w:rsidR="00AD2F03" w:rsidRPr="00AD2F03" w:rsidRDefault="00AD2F03" w:rsidP="00AD2F03">
      <w:pPr>
        <w:spacing w:line="240" w:lineRule="auto"/>
        <w:ind w:left="576" w:hanging="720"/>
        <w:rPr>
          <w:rFonts w:asciiTheme="majorHAnsi" w:hAnsiTheme="majorHAnsi" w:cstheme="majorHAnsi"/>
        </w:rPr>
      </w:pPr>
      <w:r w:rsidRPr="00AD2F03">
        <w:rPr>
          <w:rFonts w:asciiTheme="majorHAnsi" w:hAnsiTheme="majorHAnsi" w:cstheme="majorHAnsi"/>
        </w:rPr>
        <w:t>Chollet, F., and others, 2015, Keras.</w:t>
      </w:r>
    </w:p>
    <w:p w14:paraId="5AB9AB8F" w14:textId="77777777" w:rsidR="00AD2F03" w:rsidRPr="00AD2F03" w:rsidRDefault="00AD2F03" w:rsidP="00AD2F03">
      <w:pPr>
        <w:spacing w:line="240" w:lineRule="auto"/>
        <w:ind w:left="576" w:hanging="720"/>
        <w:rPr>
          <w:rFonts w:asciiTheme="majorHAnsi" w:hAnsiTheme="majorHAnsi" w:cstheme="majorHAnsi"/>
        </w:rPr>
      </w:pPr>
      <w:r w:rsidRPr="00AD2F03">
        <w:rPr>
          <w:rFonts w:asciiTheme="majorHAnsi" w:hAnsiTheme="majorHAnsi" w:cstheme="majorHAnsi"/>
        </w:rPr>
        <w:t>Daldegan, G. A., D. A. Roberts, and F. de F. Ribeiro, 2019, Spectral mixture analysis in Google Earth Engine to model and delineate fire scars over a large extent and a long time-series in a rainforest-savanna transition zone: Remote Sensing of Environment, 232, 111340, doi:10.1016/J.RSE.2019.111340.</w:t>
      </w:r>
    </w:p>
    <w:p w14:paraId="1FF76B10" w14:textId="77777777" w:rsidR="00AD2F03" w:rsidRPr="00AD2F03" w:rsidRDefault="00AD2F03" w:rsidP="00AD2F03">
      <w:pPr>
        <w:spacing w:line="240" w:lineRule="auto"/>
        <w:ind w:left="576" w:hanging="720"/>
        <w:rPr>
          <w:rFonts w:asciiTheme="majorHAnsi" w:hAnsiTheme="majorHAnsi" w:cstheme="majorHAnsi"/>
        </w:rPr>
      </w:pPr>
      <w:r w:rsidRPr="00AD2F03">
        <w:rPr>
          <w:rFonts w:asciiTheme="majorHAnsi" w:hAnsiTheme="majorHAnsi" w:cstheme="majorHAnsi"/>
        </w:rPr>
        <w:t>Duarte-Coronado, D., J. Tellez-Rodriguez, R. Pires de Lima, K. Marfurt, and R. Slatt, 2019, Deep convolutional neural networks as an estimator of porosity in thin-section images for unconventional reservoirs, in SEG Technical Program Expanded Abstracts 2019: Society of Exploration Geophysicists, 3181–3184, doi:10.1190/segam2019-3216898.1.</w:t>
      </w:r>
    </w:p>
    <w:p w14:paraId="71D2FDAE" w14:textId="77777777" w:rsidR="00AD2F03" w:rsidRPr="00AD2F03" w:rsidRDefault="00AD2F03" w:rsidP="00AD2F03">
      <w:pPr>
        <w:spacing w:line="240" w:lineRule="auto"/>
        <w:ind w:left="576" w:hanging="720"/>
        <w:rPr>
          <w:rFonts w:asciiTheme="majorHAnsi" w:hAnsiTheme="majorHAnsi" w:cstheme="majorHAnsi"/>
        </w:rPr>
      </w:pPr>
      <w:r w:rsidRPr="00AD2F03">
        <w:rPr>
          <w:rFonts w:asciiTheme="majorHAnsi" w:hAnsiTheme="majorHAnsi" w:cstheme="majorHAnsi"/>
        </w:rPr>
        <w:t>Duchi, J., E. Hazan, and Y. Singer, 2011, Adaptive Subgradient Methods for Online Learning and Stochastic Optimization: Journal of Machine Learning Research, 12, 2121–2159.</w:t>
      </w:r>
    </w:p>
    <w:p w14:paraId="465AF73E" w14:textId="77777777" w:rsidR="00AD2F03" w:rsidRPr="00AD2F03" w:rsidRDefault="00AD2F03" w:rsidP="00AD2F03">
      <w:pPr>
        <w:spacing w:line="240" w:lineRule="auto"/>
        <w:ind w:left="576" w:hanging="720"/>
        <w:rPr>
          <w:rFonts w:asciiTheme="majorHAnsi" w:hAnsiTheme="majorHAnsi" w:cstheme="majorHAnsi"/>
        </w:rPr>
      </w:pPr>
      <w:r w:rsidRPr="00AD2F03">
        <w:rPr>
          <w:rFonts w:asciiTheme="majorHAnsi" w:hAnsiTheme="majorHAnsi" w:cstheme="majorHAnsi"/>
        </w:rPr>
        <w:t>Emery, W., and A. Camps, 2017, Chapter 1 - The History of Satellite Remote Sensing, in  W. Emery, and A. Camps, eds., Introduction to Satellite Remote Sensing: Elsevier, 1–42, doi:https://doi.org/10.1016/B978-0-12-809254-5.00001-4.</w:t>
      </w:r>
    </w:p>
    <w:p w14:paraId="2ACBE941" w14:textId="77777777" w:rsidR="00AD2F03" w:rsidRPr="00AD2F03" w:rsidRDefault="00AD2F03" w:rsidP="00AD2F03">
      <w:pPr>
        <w:spacing w:line="240" w:lineRule="auto"/>
        <w:ind w:left="576" w:hanging="720"/>
        <w:rPr>
          <w:rFonts w:asciiTheme="majorHAnsi" w:hAnsiTheme="majorHAnsi" w:cstheme="majorHAnsi"/>
        </w:rPr>
      </w:pPr>
      <w:r w:rsidRPr="00AD2F03">
        <w:rPr>
          <w:rFonts w:asciiTheme="majorHAnsi" w:hAnsiTheme="majorHAnsi" w:cstheme="majorHAnsi"/>
        </w:rPr>
        <w:t>Esteva, A., B. Kuprel, R. A. Novoa, J. Ko, S. M. Swetter, H. M. Blau, and S. Thrun, 2017, Dermatologist-level classification of skin cancer with deep neural networks: Nature, 542, 115–118, doi:10.1038/nature21056.</w:t>
      </w:r>
    </w:p>
    <w:p w14:paraId="6BC03362" w14:textId="77777777" w:rsidR="00AD2F03" w:rsidRPr="00AD2F03" w:rsidRDefault="00AD2F03" w:rsidP="00AD2F03">
      <w:pPr>
        <w:spacing w:line="240" w:lineRule="auto"/>
        <w:ind w:left="576" w:hanging="720"/>
        <w:rPr>
          <w:rFonts w:asciiTheme="majorHAnsi" w:hAnsiTheme="majorHAnsi" w:cstheme="majorHAnsi"/>
        </w:rPr>
      </w:pPr>
      <w:r w:rsidRPr="00AD2F03">
        <w:rPr>
          <w:rFonts w:asciiTheme="majorHAnsi" w:hAnsiTheme="majorHAnsi" w:cstheme="majorHAnsi"/>
        </w:rPr>
        <w:lastRenderedPageBreak/>
        <w:t>Glorot, X., and Y. Bengio, 2010, Understanding the difficulty of training deep feedforward neural networks, in In Proceedings of the International Conference on Artificial Intelligence and Statistics (AISTATS’10). Society for Artificial Intelligence and Statistics.</w:t>
      </w:r>
    </w:p>
    <w:p w14:paraId="47802F76" w14:textId="77777777" w:rsidR="00AD2F03" w:rsidRPr="00AD2F03" w:rsidRDefault="00AD2F03" w:rsidP="00AD2F03">
      <w:pPr>
        <w:spacing w:line="240" w:lineRule="auto"/>
        <w:ind w:left="576" w:hanging="720"/>
        <w:rPr>
          <w:rFonts w:asciiTheme="majorHAnsi" w:hAnsiTheme="majorHAnsi" w:cstheme="majorHAnsi"/>
        </w:rPr>
      </w:pPr>
      <w:r w:rsidRPr="00AD2F03">
        <w:rPr>
          <w:rFonts w:asciiTheme="majorHAnsi" w:hAnsiTheme="majorHAnsi" w:cstheme="majorHAnsi"/>
        </w:rPr>
        <w:t>Hu, F., G.-S. Xia, J. Hu, and L. Zhang, 2015, Transferring Deep Convolutional Neural Networks for the Scene Classification of High-Resolution Remote Sensing Imagery: Remote Sensing, 7, 14680–14707, doi:10.3390/rs71114680.</w:t>
      </w:r>
    </w:p>
    <w:p w14:paraId="1BA99B42" w14:textId="77777777" w:rsidR="00AD2F03" w:rsidRPr="00AD2F03" w:rsidRDefault="00AD2F03" w:rsidP="00AD2F03">
      <w:pPr>
        <w:spacing w:line="240" w:lineRule="auto"/>
        <w:ind w:left="576" w:hanging="720"/>
        <w:rPr>
          <w:rFonts w:asciiTheme="majorHAnsi" w:hAnsiTheme="majorHAnsi" w:cstheme="majorHAnsi"/>
        </w:rPr>
      </w:pPr>
      <w:r w:rsidRPr="00AD2F03">
        <w:rPr>
          <w:rFonts w:asciiTheme="majorHAnsi" w:hAnsiTheme="majorHAnsi" w:cstheme="majorHAnsi"/>
        </w:rPr>
        <w:t>Huang, G., Y. Sun, Z. Liu, D. Sedra, and K. Weinberger, 2016, Deep Networks with Stochastic Depth.</w:t>
      </w:r>
    </w:p>
    <w:p w14:paraId="54B60133" w14:textId="77777777" w:rsidR="00AD2F03" w:rsidRPr="00AD2F03" w:rsidRDefault="00AD2F03" w:rsidP="00AD2F03">
      <w:pPr>
        <w:spacing w:line="240" w:lineRule="auto"/>
        <w:ind w:left="576" w:hanging="720"/>
        <w:rPr>
          <w:rFonts w:asciiTheme="majorHAnsi" w:hAnsiTheme="majorHAnsi" w:cstheme="majorHAnsi"/>
        </w:rPr>
      </w:pPr>
      <w:r w:rsidRPr="00AD2F03">
        <w:rPr>
          <w:rFonts w:asciiTheme="majorHAnsi" w:hAnsiTheme="majorHAnsi" w:cstheme="majorHAnsi"/>
        </w:rPr>
        <w:t>Huot, F., B. Biondi, and G. Beroza, 2018, Jump-starting neural network training for seismic problems, in SEG Technical Program Expanded Abstracts 2018: Society of Exploration Geophysicists, 2191–2195, doi:10.1190/segam2018-2998567.1.</w:t>
      </w:r>
    </w:p>
    <w:p w14:paraId="6558F3A4" w14:textId="77777777" w:rsidR="00AD2F03" w:rsidRPr="00AD2F03" w:rsidRDefault="00AD2F03" w:rsidP="00AD2F03">
      <w:pPr>
        <w:spacing w:line="240" w:lineRule="auto"/>
        <w:ind w:left="576" w:hanging="720"/>
        <w:rPr>
          <w:rFonts w:asciiTheme="majorHAnsi" w:hAnsiTheme="majorHAnsi" w:cstheme="majorHAnsi"/>
        </w:rPr>
      </w:pPr>
      <w:r w:rsidRPr="00AD2F03">
        <w:rPr>
          <w:rFonts w:asciiTheme="majorHAnsi" w:hAnsiTheme="majorHAnsi" w:cstheme="majorHAnsi"/>
        </w:rPr>
        <w:t>Kingma, D. P., and J. Ba, 2014, Adam: A Method for Stochastic Optimization: arXiv e-prints, arXiv:1412.6980.</w:t>
      </w:r>
    </w:p>
    <w:p w14:paraId="2087CCEC" w14:textId="77777777" w:rsidR="00AD2F03" w:rsidRPr="00AD2F03" w:rsidRDefault="00AD2F03" w:rsidP="00AD2F03">
      <w:pPr>
        <w:spacing w:line="240" w:lineRule="auto"/>
        <w:ind w:left="576" w:hanging="720"/>
        <w:rPr>
          <w:rFonts w:asciiTheme="majorHAnsi" w:hAnsiTheme="majorHAnsi" w:cstheme="majorHAnsi"/>
        </w:rPr>
      </w:pPr>
      <w:r w:rsidRPr="00AD2F03">
        <w:rPr>
          <w:rFonts w:asciiTheme="majorHAnsi" w:hAnsiTheme="majorHAnsi" w:cstheme="majorHAnsi"/>
        </w:rPr>
        <w:t>Krizhevsky, A., I. Sutskever, and G. E. Hinton, 2012, ImageNet Classification with Deep Convolutional Neural Networks, in Proceedings of the 25th International Conference on Neural Information Processing Systems - Volume 1: Curran Associates Inc., NIPS’12, 1097–1105.</w:t>
      </w:r>
    </w:p>
    <w:p w14:paraId="14CD3442" w14:textId="77777777" w:rsidR="00AD2F03" w:rsidRPr="00AD2F03" w:rsidRDefault="00AD2F03" w:rsidP="00AD2F03">
      <w:pPr>
        <w:spacing w:line="240" w:lineRule="auto"/>
        <w:ind w:left="576" w:hanging="720"/>
        <w:rPr>
          <w:rFonts w:asciiTheme="majorHAnsi" w:hAnsiTheme="majorHAnsi" w:cstheme="majorHAnsi"/>
        </w:rPr>
      </w:pPr>
      <w:r w:rsidRPr="00AD2F03">
        <w:rPr>
          <w:rFonts w:asciiTheme="majorHAnsi" w:hAnsiTheme="majorHAnsi" w:cstheme="majorHAnsi"/>
        </w:rPr>
        <w:t>LeCun, Y., 1998, The MNIST database of handwritten digits: http://yann. lecun. com/exdb/mnist/.</w:t>
      </w:r>
    </w:p>
    <w:p w14:paraId="1F5A7622" w14:textId="77777777" w:rsidR="00AD2F03" w:rsidRPr="00AD2F03" w:rsidRDefault="00AD2F03" w:rsidP="00AD2F03">
      <w:pPr>
        <w:spacing w:line="240" w:lineRule="auto"/>
        <w:ind w:left="576" w:hanging="720"/>
        <w:rPr>
          <w:rFonts w:asciiTheme="majorHAnsi" w:hAnsiTheme="majorHAnsi" w:cstheme="majorHAnsi"/>
        </w:rPr>
      </w:pPr>
      <w:r w:rsidRPr="00AD2F03">
        <w:rPr>
          <w:rFonts w:asciiTheme="majorHAnsi" w:hAnsiTheme="majorHAnsi" w:cstheme="majorHAnsi"/>
        </w:rPr>
        <w:t>LeCun, Y., Y. Bengio, and G. Hinton, 2015, Deep learning: Nature, 521, 436–444, doi:10.1038/nature14539.</w:t>
      </w:r>
    </w:p>
    <w:p w14:paraId="6C72CBFE" w14:textId="77777777" w:rsidR="00AD2F03" w:rsidRPr="00AD2F03" w:rsidRDefault="00AD2F03" w:rsidP="00AD2F03">
      <w:pPr>
        <w:spacing w:line="240" w:lineRule="auto"/>
        <w:ind w:left="576" w:hanging="720"/>
        <w:rPr>
          <w:rFonts w:asciiTheme="majorHAnsi" w:hAnsiTheme="majorHAnsi" w:cstheme="majorHAnsi"/>
        </w:rPr>
      </w:pPr>
      <w:r w:rsidRPr="00AD2F03">
        <w:rPr>
          <w:rFonts w:asciiTheme="majorHAnsi" w:hAnsiTheme="majorHAnsi" w:cstheme="majorHAnsi"/>
        </w:rPr>
        <w:t>Lentile, L. B., Z. A. Holden, A. M. S. Smith, M. J. Falkowski, A. T. Hudak, P. Morgan, S. A. Lewis, P. E. Gessler, and N. C. Benson, 2006, Remote sensing techniques to assess active fire characteristics and post-fire effects: International Journal of Wildland Fire, 15, 319–345.</w:t>
      </w:r>
    </w:p>
    <w:p w14:paraId="0B08C0B8" w14:textId="77777777" w:rsidR="00AD2F03" w:rsidRPr="00AD2F03" w:rsidRDefault="00AD2F03" w:rsidP="00AD2F03">
      <w:pPr>
        <w:spacing w:line="240" w:lineRule="auto"/>
        <w:ind w:left="576" w:hanging="720"/>
        <w:rPr>
          <w:rFonts w:asciiTheme="majorHAnsi" w:hAnsiTheme="majorHAnsi" w:cstheme="majorHAnsi"/>
        </w:rPr>
      </w:pPr>
      <w:r w:rsidRPr="00AD2F03">
        <w:rPr>
          <w:rFonts w:asciiTheme="majorHAnsi" w:hAnsiTheme="majorHAnsi" w:cstheme="majorHAnsi"/>
        </w:rPr>
        <w:t>Lowe, D. G., 2004, Distinctive Image Features from Scale-Invariant Keypoints: International Journal of Computer Vision, 60, 91–110, doi:10.1023/B:VISI.0000029664.99615.94.</w:t>
      </w:r>
    </w:p>
    <w:p w14:paraId="69D6069E" w14:textId="77777777" w:rsidR="00AD2F03" w:rsidRPr="00AD2F03" w:rsidRDefault="00AD2F03" w:rsidP="00AD2F03">
      <w:pPr>
        <w:spacing w:line="240" w:lineRule="auto"/>
        <w:ind w:left="576" w:hanging="720"/>
        <w:rPr>
          <w:rFonts w:asciiTheme="majorHAnsi" w:hAnsiTheme="majorHAnsi" w:cstheme="majorHAnsi"/>
        </w:rPr>
      </w:pPr>
      <w:r w:rsidRPr="00AD2F03">
        <w:rPr>
          <w:rFonts w:asciiTheme="majorHAnsi" w:hAnsiTheme="majorHAnsi" w:cstheme="majorHAnsi"/>
        </w:rPr>
        <w:t>Machine Learning Glossary | Google Developers, 2019: &lt;https://developers.google.com/machine-learning/glossary/&gt; (accessed July 21, 2019).</w:t>
      </w:r>
    </w:p>
    <w:p w14:paraId="52C8C8F1" w14:textId="77777777" w:rsidR="00AD2F03" w:rsidRPr="00AD2F03" w:rsidRDefault="00AD2F03" w:rsidP="00AD2F03">
      <w:pPr>
        <w:spacing w:line="240" w:lineRule="auto"/>
        <w:ind w:left="576" w:hanging="720"/>
        <w:rPr>
          <w:rFonts w:asciiTheme="majorHAnsi" w:hAnsiTheme="majorHAnsi" w:cstheme="majorHAnsi"/>
        </w:rPr>
      </w:pPr>
      <w:r w:rsidRPr="00AD2F03">
        <w:rPr>
          <w:rFonts w:asciiTheme="majorHAnsi" w:hAnsiTheme="majorHAnsi" w:cstheme="majorHAnsi"/>
        </w:rPr>
        <w:t>Olah, C., A. Mordvintsev, and L. Schubert, 2017, Feature Visualization: Distill, doi:10.23915/distill.00007.</w:t>
      </w:r>
    </w:p>
    <w:p w14:paraId="7BD1B4D1" w14:textId="77777777" w:rsidR="00AD2F03" w:rsidRPr="00AD2F03" w:rsidRDefault="00AD2F03" w:rsidP="00AD2F03">
      <w:pPr>
        <w:spacing w:line="240" w:lineRule="auto"/>
        <w:ind w:left="576" w:hanging="720"/>
        <w:rPr>
          <w:rFonts w:asciiTheme="majorHAnsi" w:hAnsiTheme="majorHAnsi" w:cstheme="majorHAnsi"/>
        </w:rPr>
      </w:pPr>
      <w:r w:rsidRPr="00AD2F03">
        <w:rPr>
          <w:rFonts w:asciiTheme="majorHAnsi" w:hAnsiTheme="majorHAnsi" w:cstheme="majorHAnsi"/>
        </w:rPr>
        <w:t>Olah, C., A. Satyanarayan, I. Johnson, S. Carter, L. Schubert, K. Ye, and A. Mordvintsev, 2018, The Building Blocks of Interpretability: Distill, doi:10.23915/distill.00010.</w:t>
      </w:r>
    </w:p>
    <w:p w14:paraId="3712AC03" w14:textId="77777777" w:rsidR="00AD2F03" w:rsidRPr="00AD2F03" w:rsidRDefault="00AD2F03" w:rsidP="00AD2F03">
      <w:pPr>
        <w:spacing w:line="240" w:lineRule="auto"/>
        <w:ind w:left="576" w:hanging="720"/>
        <w:rPr>
          <w:rFonts w:asciiTheme="majorHAnsi" w:hAnsiTheme="majorHAnsi" w:cstheme="majorHAnsi"/>
        </w:rPr>
      </w:pPr>
      <w:r w:rsidRPr="00AD2F03">
        <w:rPr>
          <w:rFonts w:asciiTheme="majorHAnsi" w:hAnsiTheme="majorHAnsi" w:cstheme="majorHAnsi"/>
        </w:rPr>
        <w:t>Pires de Lima, R., A. Bonar, D. D. Coronado, K. Marfurt, and C. Nicholson, 2019, Deep convolutional neural networks as a geological image classification tool: The Sedimentary Record, 17, 4–9, doi:10.210/sedred.2019.2.</w:t>
      </w:r>
    </w:p>
    <w:p w14:paraId="625DD31E" w14:textId="77777777" w:rsidR="00AD2F03" w:rsidRPr="00AD2F03" w:rsidRDefault="00AD2F03" w:rsidP="00AD2F03">
      <w:pPr>
        <w:spacing w:line="240" w:lineRule="auto"/>
        <w:ind w:left="576" w:hanging="720"/>
        <w:rPr>
          <w:rFonts w:asciiTheme="majorHAnsi" w:hAnsiTheme="majorHAnsi" w:cstheme="majorHAnsi"/>
        </w:rPr>
      </w:pPr>
      <w:r w:rsidRPr="00AD2F03">
        <w:rPr>
          <w:rFonts w:asciiTheme="majorHAnsi" w:hAnsiTheme="majorHAnsi" w:cstheme="majorHAnsi"/>
        </w:rPr>
        <w:t>Pires de Lima, R., Y. Lin, and K. J. Marfurt, 2019, Transforming seismic data into pseudo-RGB images to predict CO2 leakage using pre-learned convolutional neural networks weights, in SEG Technical Program Expanded Abstracts 2019: Society of Exploration Geophysicists, 2368–2372, doi:10.1190/segam2019-3215401.1.</w:t>
      </w:r>
    </w:p>
    <w:p w14:paraId="4479128B" w14:textId="77777777" w:rsidR="00AD2F03" w:rsidRPr="00AD2F03" w:rsidRDefault="00AD2F03" w:rsidP="00AD2F03">
      <w:pPr>
        <w:spacing w:line="240" w:lineRule="auto"/>
        <w:ind w:left="576" w:hanging="720"/>
        <w:rPr>
          <w:rFonts w:asciiTheme="majorHAnsi" w:hAnsiTheme="majorHAnsi" w:cstheme="majorHAnsi"/>
        </w:rPr>
      </w:pPr>
      <w:r w:rsidRPr="00AD2F03">
        <w:rPr>
          <w:rFonts w:asciiTheme="majorHAnsi" w:hAnsiTheme="majorHAnsi" w:cstheme="majorHAnsi"/>
        </w:rPr>
        <w:t>Pires de Lima, R., K. Marfurt, D. Duarte, and A. Bonar, 2019, Progress and Challenges in Deep Learning Analysis of Geoscience Images, in 81st EAGE Conference and Exhibition 2019: EAGE, doi:10.3997/2214-4609.201901607.</w:t>
      </w:r>
    </w:p>
    <w:p w14:paraId="73C946DE" w14:textId="77777777" w:rsidR="00AD2F03" w:rsidRPr="00AD2F03" w:rsidRDefault="00AD2F03" w:rsidP="00AD2F03">
      <w:pPr>
        <w:spacing w:line="240" w:lineRule="auto"/>
        <w:ind w:left="576" w:hanging="720"/>
        <w:rPr>
          <w:rFonts w:asciiTheme="majorHAnsi" w:hAnsiTheme="majorHAnsi" w:cstheme="majorHAnsi"/>
        </w:rPr>
      </w:pPr>
      <w:r w:rsidRPr="00AD2F03">
        <w:rPr>
          <w:rFonts w:asciiTheme="majorHAnsi" w:hAnsiTheme="majorHAnsi" w:cstheme="majorHAnsi"/>
        </w:rPr>
        <w:t>Pires de Lima, R., F. Suriamin, K. J. Marfurt, and M. J. Pranter, 2019, Convolutional neural networks as aid in core lithofacies classification: Interpretation, 7, SF27–SF40, doi:10.1190/INT-2018-0245.1.</w:t>
      </w:r>
    </w:p>
    <w:p w14:paraId="0BB0B3D4" w14:textId="77777777" w:rsidR="00AD2F03" w:rsidRPr="00AD2F03" w:rsidRDefault="00AD2F03" w:rsidP="00AD2F03">
      <w:pPr>
        <w:spacing w:line="240" w:lineRule="auto"/>
        <w:ind w:left="576" w:hanging="720"/>
        <w:rPr>
          <w:rFonts w:asciiTheme="majorHAnsi" w:hAnsiTheme="majorHAnsi" w:cstheme="majorHAnsi"/>
        </w:rPr>
      </w:pPr>
      <w:r w:rsidRPr="00AD2F03">
        <w:rPr>
          <w:rFonts w:asciiTheme="majorHAnsi" w:hAnsiTheme="majorHAnsi" w:cstheme="majorHAnsi"/>
        </w:rPr>
        <w:lastRenderedPageBreak/>
        <w:t>Rostami, M., S. Kolouri, E. Eaton, and K. Kim, 2019, Deep Transfer Learning for Few-Shot SAR Image Classification: Remote Sensing, 11, 1374, doi:10.3390/rs11111374.</w:t>
      </w:r>
    </w:p>
    <w:p w14:paraId="14EF8530" w14:textId="77777777" w:rsidR="00AD2F03" w:rsidRPr="00AD2F03" w:rsidRDefault="00AD2F03" w:rsidP="00AD2F03">
      <w:pPr>
        <w:spacing w:line="240" w:lineRule="auto"/>
        <w:ind w:left="576" w:hanging="720"/>
        <w:rPr>
          <w:rFonts w:asciiTheme="majorHAnsi" w:hAnsiTheme="majorHAnsi" w:cstheme="majorHAnsi"/>
        </w:rPr>
      </w:pPr>
      <w:r w:rsidRPr="00AD2F03">
        <w:rPr>
          <w:rFonts w:asciiTheme="majorHAnsi" w:hAnsiTheme="majorHAnsi" w:cstheme="majorHAnsi"/>
        </w:rPr>
        <w:t>Ruder, S., 2016, An overview of gradient descent optimization algorithms: CoRR, abs/1609.0.</w:t>
      </w:r>
    </w:p>
    <w:p w14:paraId="43D54C9E" w14:textId="77777777" w:rsidR="00AD2F03" w:rsidRPr="00AD2F03" w:rsidRDefault="00AD2F03" w:rsidP="00AD2F03">
      <w:pPr>
        <w:spacing w:line="240" w:lineRule="auto"/>
        <w:ind w:left="576" w:hanging="720"/>
        <w:rPr>
          <w:rFonts w:asciiTheme="majorHAnsi" w:hAnsiTheme="majorHAnsi" w:cstheme="majorHAnsi"/>
        </w:rPr>
      </w:pPr>
      <w:r w:rsidRPr="00AD2F03">
        <w:rPr>
          <w:rFonts w:asciiTheme="majorHAnsi" w:hAnsiTheme="majorHAnsi" w:cstheme="majorHAnsi"/>
        </w:rPr>
        <w:t>Russakovsky, O., J. Deng, H. Su, J. Krause, S. Satheesh, S. Ma, Z. Huang, A. Karpathy, A. Khosla, M. Bernstein, A. C. Berg, and L. Fei-Fei, 2015, ImageNet Large Scale Visual Recognition Challenge: International Journal of Computer Vision, 115, 211–252, doi:10.1007/s11263-015-0816-y.</w:t>
      </w:r>
    </w:p>
    <w:p w14:paraId="68E91C7E" w14:textId="77777777" w:rsidR="00AD2F03" w:rsidRPr="00AD2F03" w:rsidRDefault="00AD2F03" w:rsidP="00AD2F03">
      <w:pPr>
        <w:spacing w:line="240" w:lineRule="auto"/>
        <w:ind w:left="576" w:hanging="720"/>
        <w:rPr>
          <w:rFonts w:asciiTheme="majorHAnsi" w:hAnsiTheme="majorHAnsi" w:cstheme="majorHAnsi"/>
        </w:rPr>
      </w:pPr>
      <w:r w:rsidRPr="00AD2F03">
        <w:rPr>
          <w:rFonts w:asciiTheme="majorHAnsi" w:hAnsiTheme="majorHAnsi" w:cstheme="majorHAnsi"/>
        </w:rPr>
        <w:t>Scott, G. J., M. N. Klaric, C. H. Davis, and C.-R. Shyu, 2011, Entropy-Balanced Bitmap Tree for Shape-Based Object Retrieval From Large-Scale Satellite Imagery Databases: IEEE Transactions on Geoscience and Remote Sensing, 49, 1603–1616, doi:10.1109/TGRS.2010.2088404.</w:t>
      </w:r>
    </w:p>
    <w:p w14:paraId="51F6F878" w14:textId="77777777" w:rsidR="00AD2F03" w:rsidRPr="00AD2F03" w:rsidRDefault="00AD2F03" w:rsidP="00AD2F03">
      <w:pPr>
        <w:spacing w:line="240" w:lineRule="auto"/>
        <w:ind w:left="576" w:hanging="720"/>
        <w:rPr>
          <w:rFonts w:asciiTheme="majorHAnsi" w:hAnsiTheme="majorHAnsi" w:cstheme="majorHAnsi"/>
        </w:rPr>
      </w:pPr>
      <w:r w:rsidRPr="00AD2F03">
        <w:rPr>
          <w:rFonts w:asciiTheme="majorHAnsi" w:hAnsiTheme="majorHAnsi" w:cstheme="majorHAnsi"/>
        </w:rPr>
        <w:t>Sebai, H., A. Kourgli, and A. Serir, 2015, Dual-tree complex wavelet transform applied on color descriptors for remote-sensed images retrieval: Journal of Applied Remote Sensing, 9, 095994, doi:10.1117/1.JRS.9.095994.</w:t>
      </w:r>
    </w:p>
    <w:p w14:paraId="0AA7069D" w14:textId="77777777" w:rsidR="00AD2F03" w:rsidRPr="00AD2F03" w:rsidRDefault="00AD2F03" w:rsidP="00AD2F03">
      <w:pPr>
        <w:spacing w:line="240" w:lineRule="auto"/>
        <w:ind w:left="576" w:hanging="720"/>
        <w:rPr>
          <w:rFonts w:asciiTheme="majorHAnsi" w:hAnsiTheme="majorHAnsi" w:cstheme="majorHAnsi"/>
        </w:rPr>
      </w:pPr>
      <w:r w:rsidRPr="00AD2F03">
        <w:rPr>
          <w:rFonts w:asciiTheme="majorHAnsi" w:hAnsiTheme="majorHAnsi" w:cstheme="majorHAnsi"/>
        </w:rPr>
        <w:t>Shao, Z., W. Zhou, L. Zhang, and J. Hou, 2014, Improved color texture descriptors for remote sensing image retrieval: Journal of Applied Remote Sensing, 8, 083584, doi:10.1117/1.JRS.8.083584.</w:t>
      </w:r>
    </w:p>
    <w:p w14:paraId="44B5618B" w14:textId="77777777" w:rsidR="00AD2F03" w:rsidRPr="00AD2F03" w:rsidRDefault="00AD2F03" w:rsidP="00AD2F03">
      <w:pPr>
        <w:spacing w:line="240" w:lineRule="auto"/>
        <w:ind w:left="576" w:hanging="720"/>
        <w:rPr>
          <w:rFonts w:asciiTheme="majorHAnsi" w:hAnsiTheme="majorHAnsi" w:cstheme="majorHAnsi"/>
        </w:rPr>
      </w:pPr>
      <w:r w:rsidRPr="00AD2F03">
        <w:rPr>
          <w:rFonts w:asciiTheme="majorHAnsi" w:hAnsiTheme="majorHAnsi" w:cstheme="majorHAnsi"/>
        </w:rPr>
        <w:t>Simonyan, K., A. Vedaldi, and A. Zisserman, 2013, Deep Inside Convolutional Networks: Visualising Image Classification Models and Saliency Maps: CoRR, abs/1312.6.</w:t>
      </w:r>
    </w:p>
    <w:p w14:paraId="7D6BE749" w14:textId="77777777" w:rsidR="00AD2F03" w:rsidRPr="00AD2F03" w:rsidRDefault="00AD2F03" w:rsidP="00AD2F03">
      <w:pPr>
        <w:spacing w:line="240" w:lineRule="auto"/>
        <w:ind w:left="576" w:hanging="720"/>
        <w:rPr>
          <w:rFonts w:asciiTheme="majorHAnsi" w:hAnsiTheme="majorHAnsi" w:cstheme="majorHAnsi"/>
        </w:rPr>
      </w:pPr>
      <w:r w:rsidRPr="00AD2F03">
        <w:rPr>
          <w:rFonts w:asciiTheme="majorHAnsi" w:hAnsiTheme="majorHAnsi" w:cstheme="majorHAnsi"/>
        </w:rPr>
        <w:t>Simonyan, K., and A. Zisserman, 2014, Very Deep Convolutional Networks for Large-Scale Image Recognition: ArXiv e–prints.</w:t>
      </w:r>
    </w:p>
    <w:p w14:paraId="2F94DAE6" w14:textId="77777777" w:rsidR="00AD2F03" w:rsidRPr="00AD2F03" w:rsidRDefault="00AD2F03" w:rsidP="00AD2F03">
      <w:pPr>
        <w:spacing w:line="240" w:lineRule="auto"/>
        <w:ind w:left="576" w:hanging="720"/>
        <w:rPr>
          <w:rFonts w:asciiTheme="majorHAnsi" w:hAnsiTheme="majorHAnsi" w:cstheme="majorHAnsi"/>
        </w:rPr>
      </w:pPr>
      <w:r w:rsidRPr="00AD2F03">
        <w:rPr>
          <w:rFonts w:asciiTheme="majorHAnsi" w:hAnsiTheme="majorHAnsi" w:cstheme="majorHAnsi"/>
        </w:rPr>
        <w:t>Skidmore, A. K., W. Bijker, K. Schmidt, and L. Kumar, 1997, Use of remote sensing and GIS for sustainable land management: ITC journal, 3, 302–315.</w:t>
      </w:r>
    </w:p>
    <w:p w14:paraId="7C9E7B4C" w14:textId="77777777" w:rsidR="00AD2F03" w:rsidRPr="00AD2F03" w:rsidRDefault="00AD2F03" w:rsidP="00AD2F03">
      <w:pPr>
        <w:spacing w:line="240" w:lineRule="auto"/>
        <w:ind w:left="576" w:hanging="720"/>
        <w:rPr>
          <w:rFonts w:asciiTheme="majorHAnsi" w:hAnsiTheme="majorHAnsi" w:cstheme="majorHAnsi"/>
        </w:rPr>
      </w:pPr>
      <w:r w:rsidRPr="00AD2F03">
        <w:rPr>
          <w:rFonts w:asciiTheme="majorHAnsi" w:hAnsiTheme="majorHAnsi" w:cstheme="majorHAnsi"/>
        </w:rPr>
        <w:t>Srivastava, N., G. Hinton, A. Krizhevsky, I. Sutskever, and R. Salakhutdinov, 2014, Dropout: A Simple Way to Prevent Neural Networks from Overfitting: Journal of Machine Learning Research, 15, 1929–1958.</w:t>
      </w:r>
    </w:p>
    <w:p w14:paraId="66ED1954" w14:textId="77777777" w:rsidR="00AD2F03" w:rsidRPr="00AD2F03" w:rsidRDefault="00AD2F03" w:rsidP="00AD2F03">
      <w:pPr>
        <w:spacing w:line="240" w:lineRule="auto"/>
        <w:ind w:left="576" w:hanging="720"/>
        <w:rPr>
          <w:rFonts w:asciiTheme="majorHAnsi" w:hAnsiTheme="majorHAnsi" w:cstheme="majorHAnsi"/>
        </w:rPr>
      </w:pPr>
      <w:r w:rsidRPr="00AD2F03">
        <w:rPr>
          <w:rFonts w:asciiTheme="majorHAnsi" w:hAnsiTheme="majorHAnsi" w:cstheme="majorHAnsi"/>
        </w:rPr>
        <w:t>Szegedy, C., V. Vanhoucke, S. Ioffe, J. Shlens, and Z. Wojna, 2015, Rethinking the Inception Architecture for Computer Vision: CoRR, abs/1512.0.</w:t>
      </w:r>
    </w:p>
    <w:p w14:paraId="30F19C22" w14:textId="77777777" w:rsidR="00AD2F03" w:rsidRPr="00AD2F03" w:rsidRDefault="00AD2F03" w:rsidP="00AD2F03">
      <w:pPr>
        <w:spacing w:line="240" w:lineRule="auto"/>
        <w:ind w:left="576" w:hanging="720"/>
        <w:rPr>
          <w:rFonts w:asciiTheme="majorHAnsi" w:hAnsiTheme="majorHAnsi" w:cstheme="majorHAnsi"/>
        </w:rPr>
      </w:pPr>
      <w:r w:rsidRPr="00AD2F03">
        <w:rPr>
          <w:rFonts w:asciiTheme="majorHAnsi" w:hAnsiTheme="majorHAnsi" w:cstheme="majorHAnsi"/>
        </w:rPr>
        <w:t>Tajbakhsh, N., J. Y. Shin, S. R. Gurudu, R. T. Hurst, C. B. Kendall, M. B. Gotway, and J. Liang, 2016, Convolutional Neural Networks for Medical Image Analysis: Full Training or Fine Tuning? IEEE Transactions on Medical Imaging, 35, 1299–1312, doi:10.1109/TMI.2016.2535302.</w:t>
      </w:r>
    </w:p>
    <w:p w14:paraId="3FFF9E6A" w14:textId="77777777" w:rsidR="00AD2F03" w:rsidRPr="00AD2F03" w:rsidRDefault="00AD2F03" w:rsidP="00AD2F03">
      <w:pPr>
        <w:spacing w:line="240" w:lineRule="auto"/>
        <w:ind w:left="576" w:hanging="720"/>
        <w:rPr>
          <w:rFonts w:asciiTheme="majorHAnsi" w:hAnsiTheme="majorHAnsi" w:cstheme="majorHAnsi"/>
        </w:rPr>
      </w:pPr>
      <w:r w:rsidRPr="00AD2F03">
        <w:rPr>
          <w:rFonts w:asciiTheme="majorHAnsi" w:hAnsiTheme="majorHAnsi" w:cstheme="majorHAnsi"/>
        </w:rPr>
        <w:t>Tieleman, T., and G. Hinton, 2012, Lecture 6.5---RmsProp: Divide the gradient by a running average of its recent magnitude.</w:t>
      </w:r>
    </w:p>
    <w:p w14:paraId="4C6D2F16" w14:textId="77777777" w:rsidR="00AD2F03" w:rsidRPr="00AD2F03" w:rsidRDefault="00AD2F03" w:rsidP="00AD2F03">
      <w:pPr>
        <w:spacing w:line="240" w:lineRule="auto"/>
        <w:ind w:left="576" w:hanging="720"/>
        <w:rPr>
          <w:rFonts w:asciiTheme="majorHAnsi" w:hAnsiTheme="majorHAnsi" w:cstheme="majorHAnsi"/>
        </w:rPr>
      </w:pPr>
      <w:r w:rsidRPr="00AD2F03">
        <w:rPr>
          <w:rFonts w:asciiTheme="majorHAnsi" w:hAnsiTheme="majorHAnsi" w:cstheme="majorHAnsi"/>
        </w:rPr>
        <w:t>Weinstein, B. G., S. Marconi, S. Bohlman, A. Zare, and E. White, 2019, Individual Tree-Crown Detection in RGB Imagery Using Semi-Supervised Deep Learning Neural Networks: Remote Sensing, 11, 1309, doi:10.3390/rs11111309.</w:t>
      </w:r>
    </w:p>
    <w:p w14:paraId="13B42C06" w14:textId="77777777" w:rsidR="00AD2F03" w:rsidRPr="00AD2F03" w:rsidRDefault="00AD2F03" w:rsidP="00AD2F03">
      <w:pPr>
        <w:spacing w:line="240" w:lineRule="auto"/>
        <w:ind w:left="576" w:hanging="720"/>
        <w:rPr>
          <w:rFonts w:asciiTheme="majorHAnsi" w:hAnsiTheme="majorHAnsi" w:cstheme="majorHAnsi"/>
        </w:rPr>
      </w:pPr>
      <w:r w:rsidRPr="00AD2F03">
        <w:rPr>
          <w:rFonts w:asciiTheme="majorHAnsi" w:hAnsiTheme="majorHAnsi" w:cstheme="majorHAnsi"/>
        </w:rPr>
        <w:t>Wilson, A. C., R. Roelofs, M. Stern, N. Srebro, and B. Recht, 2017, The Marginal Value of Adaptive Gradient Methods in Machine Learning, in  I. Guyon, U. V Luxburg, S. Bengio, H. Wallach, R. Fergus, S. Vishwanathan, and R. Garnett, eds., Advances in Neural Information Processing Systems 30: Curran Associates, Inc., 4148–4158.</w:t>
      </w:r>
    </w:p>
    <w:p w14:paraId="02098B2B" w14:textId="77777777" w:rsidR="00AD2F03" w:rsidRPr="00AD2F03" w:rsidRDefault="00AD2F03" w:rsidP="00AD2F03">
      <w:pPr>
        <w:spacing w:line="240" w:lineRule="auto"/>
        <w:ind w:left="576" w:hanging="720"/>
        <w:rPr>
          <w:rFonts w:asciiTheme="majorHAnsi" w:hAnsiTheme="majorHAnsi" w:cstheme="majorHAnsi"/>
        </w:rPr>
      </w:pPr>
      <w:r w:rsidRPr="00AD2F03">
        <w:rPr>
          <w:rFonts w:asciiTheme="majorHAnsi" w:hAnsiTheme="majorHAnsi" w:cstheme="majorHAnsi"/>
        </w:rPr>
        <w:t>Xia, G.-S., J. Hu, F. Hu, B. Shi, X. Bai, Y. Zhong, L. Zhang, and X. Lu, 2017, AID: A Benchmark Data Set for Performance Evaluation of Aerial Scene Classification: IEEE Transactions on Geoscience and Remote Sensing, 55, 3965–3981, doi:10.1109/TGRS.2017.2685945.</w:t>
      </w:r>
    </w:p>
    <w:p w14:paraId="432CB1CF" w14:textId="77777777" w:rsidR="00AD2F03" w:rsidRPr="00AD2F03" w:rsidRDefault="00AD2F03" w:rsidP="00AD2F03">
      <w:pPr>
        <w:spacing w:line="240" w:lineRule="auto"/>
        <w:ind w:left="576" w:hanging="720"/>
        <w:rPr>
          <w:rFonts w:asciiTheme="majorHAnsi" w:hAnsiTheme="majorHAnsi" w:cstheme="majorHAnsi"/>
        </w:rPr>
      </w:pPr>
      <w:r w:rsidRPr="00AD2F03">
        <w:rPr>
          <w:rFonts w:asciiTheme="majorHAnsi" w:hAnsiTheme="majorHAnsi" w:cstheme="majorHAnsi"/>
        </w:rPr>
        <w:lastRenderedPageBreak/>
        <w:t>Xiao, Y., and Q. Zhan, 2009, A review of remote sensing applications in urban planning and management in China, in 2009 Joint Urban Remote Sensing Event: 1–5, doi:10.1109/URS.2009.5137653.</w:t>
      </w:r>
    </w:p>
    <w:p w14:paraId="24AE2D17" w14:textId="77777777" w:rsidR="00AD2F03" w:rsidRPr="00AD2F03" w:rsidRDefault="00AD2F03" w:rsidP="00AD2F03">
      <w:pPr>
        <w:spacing w:line="240" w:lineRule="auto"/>
        <w:ind w:left="576" w:hanging="720"/>
        <w:rPr>
          <w:rFonts w:asciiTheme="majorHAnsi" w:hAnsiTheme="majorHAnsi" w:cstheme="majorHAnsi"/>
        </w:rPr>
      </w:pPr>
      <w:r w:rsidRPr="00AD2F03">
        <w:rPr>
          <w:rFonts w:asciiTheme="majorHAnsi" w:hAnsiTheme="majorHAnsi" w:cstheme="majorHAnsi"/>
        </w:rPr>
        <w:t>Yang, Y., and S. Newsam, 2010, Bag-of-visual-words and spatial extensions for land-use classification, in Proceedings of the 18th SIGSPATIAL International Conference on Advances in Geographic Information Systems - GIS ’10: ACM Press, 270, doi:10.1145/1869790.1869829.</w:t>
      </w:r>
    </w:p>
    <w:p w14:paraId="4904A27F" w14:textId="77777777" w:rsidR="00AD2F03" w:rsidRPr="00AD2F03" w:rsidRDefault="00AD2F03" w:rsidP="00AD2F03">
      <w:pPr>
        <w:spacing w:line="240" w:lineRule="auto"/>
        <w:ind w:left="576" w:hanging="720"/>
        <w:rPr>
          <w:rFonts w:asciiTheme="majorHAnsi" w:hAnsiTheme="majorHAnsi" w:cstheme="majorHAnsi"/>
        </w:rPr>
      </w:pPr>
      <w:r w:rsidRPr="00AD2F03">
        <w:rPr>
          <w:rFonts w:asciiTheme="majorHAnsi" w:hAnsiTheme="majorHAnsi" w:cstheme="majorHAnsi"/>
        </w:rPr>
        <w:t>Yang, X., Y. Ye, X. Li, R. Y. K. Lau, X. Zhang, and X. Huang, 2018, Hyperspectral Image Classification With Deep Learning Models: IEEE Transactions on Geoscience and Remote Sensing, 56, 5408–5423, doi:10.1109/TGRS.2018.2815613.</w:t>
      </w:r>
    </w:p>
    <w:p w14:paraId="51DAC57E" w14:textId="77777777" w:rsidR="00AD2F03" w:rsidRPr="00AD2F03" w:rsidRDefault="00AD2F03" w:rsidP="00AD2F03">
      <w:pPr>
        <w:spacing w:line="240" w:lineRule="auto"/>
        <w:ind w:left="576" w:hanging="720"/>
        <w:rPr>
          <w:rFonts w:asciiTheme="majorHAnsi" w:hAnsiTheme="majorHAnsi" w:cstheme="majorHAnsi"/>
        </w:rPr>
      </w:pPr>
      <w:r w:rsidRPr="00AD2F03">
        <w:rPr>
          <w:rFonts w:asciiTheme="majorHAnsi" w:hAnsiTheme="majorHAnsi" w:cstheme="majorHAnsi"/>
        </w:rPr>
        <w:t>Yin, X., W. Chen, X. Wu, and H. Yue, 2017, Fine-tuning and visualization of convolutional neural networks, in 2017 12th IEEE Conference on Industrial Electronics and Applications (ICIEA): IEEE, 1310–1315, doi:10.1109/ICIEA.2017.8283041.</w:t>
      </w:r>
    </w:p>
    <w:p w14:paraId="50D74711" w14:textId="77777777" w:rsidR="00AD2F03" w:rsidRPr="00AD2F03" w:rsidRDefault="00AD2F03" w:rsidP="00AD2F03">
      <w:pPr>
        <w:spacing w:line="240" w:lineRule="auto"/>
        <w:ind w:left="576" w:hanging="720"/>
        <w:rPr>
          <w:rFonts w:asciiTheme="majorHAnsi" w:hAnsiTheme="majorHAnsi" w:cstheme="majorHAnsi"/>
        </w:rPr>
      </w:pPr>
      <w:r w:rsidRPr="00AD2F03">
        <w:rPr>
          <w:rFonts w:asciiTheme="majorHAnsi" w:hAnsiTheme="majorHAnsi" w:cstheme="majorHAnsi"/>
        </w:rPr>
        <w:t>Yosinski, J., J. Clune, Y. Bengio, and H. Lipson, 2014, How transferable are features in deep neural networks? Advances in Neural Information Processing Systems, 27, 3320–3328.</w:t>
      </w:r>
    </w:p>
    <w:p w14:paraId="6DCE3E46" w14:textId="77777777" w:rsidR="00AD2F03" w:rsidRPr="00AD2F03" w:rsidRDefault="00AD2F03" w:rsidP="00AD2F03">
      <w:pPr>
        <w:spacing w:line="240" w:lineRule="auto"/>
        <w:ind w:left="576" w:hanging="720"/>
        <w:rPr>
          <w:rFonts w:asciiTheme="majorHAnsi" w:hAnsiTheme="majorHAnsi" w:cstheme="majorHAnsi"/>
        </w:rPr>
      </w:pPr>
      <w:r w:rsidRPr="00AD2F03">
        <w:rPr>
          <w:rFonts w:asciiTheme="majorHAnsi" w:hAnsiTheme="majorHAnsi" w:cstheme="majorHAnsi"/>
        </w:rPr>
        <w:t>Zhou, W., S. Newsam, C. Li, and Z. Shao, 2018a, PatternNet: A benchmark dataset for performance evaluation of remote sensing image retrieval: ISPRS Journal of Photogrammetry and Remote Sensing, 145, 197–209, doi:10.1016/J.ISPRSJPRS.2018.01.004.</w:t>
      </w:r>
    </w:p>
    <w:p w14:paraId="1C38013D" w14:textId="77777777" w:rsidR="00AA0B13" w:rsidRDefault="00AD2F03" w:rsidP="00E5404D">
      <w:pPr>
        <w:spacing w:line="240" w:lineRule="auto"/>
        <w:ind w:left="576" w:hanging="720"/>
        <w:rPr>
          <w:rFonts w:asciiTheme="majorHAnsi" w:hAnsiTheme="majorHAnsi" w:cstheme="majorHAnsi"/>
        </w:rPr>
      </w:pPr>
      <w:r w:rsidRPr="00AD2F03">
        <w:rPr>
          <w:rFonts w:asciiTheme="majorHAnsi" w:hAnsiTheme="majorHAnsi" w:cstheme="majorHAnsi"/>
        </w:rPr>
        <w:t>Zhou, W., S. Newsam, C. Li, and Z. Shao, 2018b, PatternNet: A benchmark dataset for performance evaluation of remote sensing image retrieval: ISPRS Journal of Photogrammetry and Remote Sensing, 145, 197–209, doi:10.1016/J.ISPRSJPRS.2018.01.004.</w:t>
      </w:r>
    </w:p>
    <w:p w14:paraId="2B9433BD" w14:textId="77777777" w:rsidR="001D724A" w:rsidRDefault="001D724A" w:rsidP="00E5404D">
      <w:pPr>
        <w:spacing w:line="240" w:lineRule="auto"/>
        <w:ind w:left="576" w:hanging="720"/>
        <w:rPr>
          <w:rFonts w:asciiTheme="majorHAnsi" w:hAnsiTheme="majorHAnsi" w:cstheme="majorHAnsi"/>
        </w:rPr>
      </w:pPr>
    </w:p>
    <w:p w14:paraId="6F91A470" w14:textId="77777777" w:rsidR="001D724A" w:rsidRDefault="001D724A">
      <w:pPr>
        <w:spacing w:line="240" w:lineRule="auto"/>
        <w:rPr>
          <w:rFonts w:asciiTheme="majorHAnsi" w:hAnsiTheme="majorHAnsi" w:cstheme="majorHAnsi"/>
        </w:rPr>
      </w:pPr>
      <w:r>
        <w:rPr>
          <w:rFonts w:asciiTheme="majorHAnsi" w:hAnsiTheme="majorHAnsi" w:cstheme="majorHAnsi"/>
        </w:rPr>
        <w:br w:type="page"/>
      </w:r>
    </w:p>
    <w:p w14:paraId="415E412B" w14:textId="77777777" w:rsidR="001D724A" w:rsidRDefault="001D724A" w:rsidP="001D724A">
      <w:pPr>
        <w:pStyle w:val="Chapter"/>
      </w:pPr>
      <w:bookmarkStart w:id="289" w:name="_Toc26534646"/>
      <w:r w:rsidRPr="000F56FF">
        <w:lastRenderedPageBreak/>
        <w:t xml:space="preserve">Chapter </w:t>
      </w:r>
      <w:r>
        <w:t>6</w:t>
      </w:r>
      <w:r w:rsidRPr="000F56FF">
        <w:t xml:space="preserve">: </w:t>
      </w:r>
      <w:r w:rsidRPr="001D724A">
        <w:t>Forecasting Megaelectron-Volt Electrons inside Earth’s Outer Radiation Belt: PreMevE 2.0 Based on Supervised Machine Learning Algorithms</w:t>
      </w:r>
      <w:bookmarkEnd w:id="289"/>
    </w:p>
    <w:p w14:paraId="57F6D86D" w14:textId="77777777" w:rsidR="001D724A" w:rsidRPr="00463EE9" w:rsidRDefault="001D724A" w:rsidP="001D724A">
      <w:r w:rsidRPr="005C205C">
        <w:t>Rafael Pires de Lima</w:t>
      </w:r>
      <w:r w:rsidRPr="005C205C">
        <w:rPr>
          <w:vertAlign w:val="superscript"/>
        </w:rPr>
        <w:t>1,2</w:t>
      </w:r>
      <w:r w:rsidRPr="005C205C">
        <w:t xml:space="preserve">, </w:t>
      </w:r>
      <w:r>
        <w:t>Yue Chen</w:t>
      </w:r>
      <w:r>
        <w:rPr>
          <w:vertAlign w:val="superscript"/>
        </w:rPr>
        <w:t>1</w:t>
      </w:r>
      <w:r>
        <w:t>, Youzuo Lin</w:t>
      </w:r>
      <w:r>
        <w:rPr>
          <w:vertAlign w:val="superscript"/>
        </w:rPr>
        <w:t>1</w:t>
      </w:r>
      <w:r>
        <w:t xml:space="preserve">, </w:t>
      </w:r>
    </w:p>
    <w:p w14:paraId="33D9A437" w14:textId="77777777" w:rsidR="001D724A" w:rsidRDefault="001D724A" w:rsidP="001D724A">
      <w:r>
        <w:rPr>
          <w:vertAlign w:val="superscript"/>
        </w:rPr>
        <w:t>1</w:t>
      </w:r>
      <w:r>
        <w:t>Los Alamos National Laboratory, Los Alamos, NM, USA,</w:t>
      </w:r>
    </w:p>
    <w:p w14:paraId="3F7DAAEC" w14:textId="77777777" w:rsidR="001D724A" w:rsidRDefault="001D724A" w:rsidP="001D724A">
      <w:r>
        <w:rPr>
          <w:vertAlign w:val="superscript"/>
        </w:rPr>
        <w:t>2</w:t>
      </w:r>
      <w:r w:rsidRPr="005C205C">
        <w:t>School of Geology and Geophysics, The University of Oklahoma, 100 East Boyd Street, RM 710, Norman, Oklahoma, 73019, USA</w:t>
      </w:r>
    </w:p>
    <w:p w14:paraId="5312EA83" w14:textId="77777777" w:rsidR="001D724A" w:rsidRDefault="001D724A" w:rsidP="001D724A"/>
    <w:p w14:paraId="17BB8812" w14:textId="44F64A07" w:rsidR="001D724A" w:rsidRDefault="001D724A" w:rsidP="009E29A4">
      <w:pPr>
        <w:pStyle w:val="Heading2"/>
      </w:pPr>
      <w:bookmarkStart w:id="290" w:name="_Toc26534647"/>
      <w:r>
        <w:t>Preface</w:t>
      </w:r>
      <w:r w:rsidR="004F40DE">
        <w:t>.</w:t>
      </w:r>
      <w:bookmarkEnd w:id="290"/>
    </w:p>
    <w:p w14:paraId="105FE446" w14:textId="77777777" w:rsidR="00347C4E" w:rsidRDefault="00CD7575" w:rsidP="001D724A">
      <w:r>
        <w:t xml:space="preserve">In the last chapter of my dissertation I present some of the research </w:t>
      </w:r>
      <w:r w:rsidR="00294AE7" w:rsidRPr="00294AE7">
        <w:t>I develop</w:t>
      </w:r>
      <w:r w:rsidR="00294AE7">
        <w:t>ed</w:t>
      </w:r>
      <w:r w:rsidR="00294AE7" w:rsidRPr="00294AE7">
        <w:t xml:space="preserve"> during my internship at the Los Alamos National Laboratory. The work in chapter 6 aims to forecast relativistic electrons inside Earth’s outer radiation belt. Relativistic electrons are high energy and have the potential to destroy satellite electronics. I use different supervised learning models to forecast the behavior of 1.0 Megaelectron-volt (MeV) trapped inside Earth’s outer Van Allen belt. Interestingly, the results show how linear models are well capable to model most of the 1.0 MeV fluctuation. The work presented in this chapter was submitted to a space weather journal and the preliminary result</w:t>
      </w:r>
      <w:r w:rsidR="00332B33">
        <w:t>s are published as abstract in Pires de Lima et al.</w:t>
      </w:r>
      <w:r w:rsidR="00294AE7" w:rsidRPr="00294AE7">
        <w:t xml:space="preserve"> </w:t>
      </w:r>
      <w:r w:rsidR="00332B33">
        <w:t>(</w:t>
      </w:r>
      <w:r w:rsidR="00C13C89">
        <w:t>2019a</w:t>
      </w:r>
      <w:r w:rsidR="00294AE7" w:rsidRPr="00294AE7">
        <w:t>). The pre-print version is already available (Pires de Lima e</w:t>
      </w:r>
      <w:r w:rsidR="00C13C89">
        <w:t>t al., 2019b</w:t>
      </w:r>
      <w:r w:rsidR="00294AE7" w:rsidRPr="00294AE7">
        <w:t>). Unrelated to space weather, the work I developed during my internship at Los Alamos National Laboratory using simulation data for CO2 capture studies was published as two expanded abstra</w:t>
      </w:r>
      <w:r w:rsidR="00332B33">
        <w:t>cts (Pires de Lima et al., 2019c</w:t>
      </w:r>
      <w:r w:rsidR="00294AE7" w:rsidRPr="00294AE7">
        <w:t>; Pires de Lima and Lin, 2019).</w:t>
      </w:r>
    </w:p>
    <w:p w14:paraId="49C4FAB7" w14:textId="77777777" w:rsidR="00E17C66" w:rsidRDefault="00E17C66" w:rsidP="001D724A"/>
    <w:p w14:paraId="24D31B8B" w14:textId="77777777" w:rsidR="00E17C66" w:rsidRDefault="00E17C66" w:rsidP="001D724A"/>
    <w:p w14:paraId="035CA1C7" w14:textId="77777777" w:rsidR="002F1077" w:rsidRDefault="002F1077">
      <w:pPr>
        <w:spacing w:line="240" w:lineRule="auto"/>
      </w:pPr>
      <w:r>
        <w:br w:type="page"/>
      </w:r>
    </w:p>
    <w:p w14:paraId="51D46DE6" w14:textId="7931B794" w:rsidR="00347C4E" w:rsidRDefault="00347C4E" w:rsidP="001D724A">
      <w:r>
        <w:lastRenderedPageBreak/>
        <w:t>References</w:t>
      </w:r>
    </w:p>
    <w:p w14:paraId="5D88F88E" w14:textId="77777777" w:rsidR="00C13C89" w:rsidRDefault="00C13C89" w:rsidP="00C13C89">
      <w:pPr>
        <w:spacing w:line="240" w:lineRule="auto"/>
        <w:ind w:left="720" w:hanging="720"/>
      </w:pPr>
      <w:r>
        <w:t>Pires de Lima, R., Chen, Y., Lin, Y., 2019a. PreMevE 2.0: Neural Network Based Predictive Model for MeV Electrons in Earth’s Outer Radiation Belt, in: AGU Fall Meeting 2019. American Geophysical Union (AGU).</w:t>
      </w:r>
    </w:p>
    <w:p w14:paraId="6AB43DEB" w14:textId="77777777" w:rsidR="00C13C89" w:rsidRDefault="00C13C89" w:rsidP="00C13C89">
      <w:pPr>
        <w:spacing w:line="240" w:lineRule="auto"/>
        <w:ind w:left="720" w:hanging="720"/>
      </w:pPr>
      <w:r>
        <w:t>Pires de Lima, R., Chen, Y., Lin, Y., 2019b. Forecasting Megaelectron-Volt Electrons inside Earth’s Outer Radiation Belt: PreMevE 2.0 Based on Supervised Machine Learning Algorithms. https://doi.org/ArXiv: physics.space-ph/1911.01315</w:t>
      </w:r>
    </w:p>
    <w:p w14:paraId="1FB85483" w14:textId="77777777" w:rsidR="00C13C89" w:rsidRDefault="00C13C89" w:rsidP="00C13C89">
      <w:pPr>
        <w:spacing w:line="240" w:lineRule="auto"/>
        <w:ind w:left="720" w:hanging="720"/>
      </w:pPr>
      <w:r>
        <w:t>Pires de Lima, R., Lin, Y., 2019. Geophysical data integration and machine learning for multi-target leakage estimation in geologic carbon sequestration, in: SEG Technical Program Expanded Abstracts 2019. pp. 2333–2337. https://doi.org/10.1190/segam2019-3215405.1</w:t>
      </w:r>
    </w:p>
    <w:p w14:paraId="7D8EEDE4" w14:textId="77777777" w:rsidR="00C13C89" w:rsidRDefault="00C13C89" w:rsidP="00C13C89">
      <w:pPr>
        <w:spacing w:line="240" w:lineRule="auto"/>
        <w:ind w:left="720" w:hanging="720"/>
      </w:pPr>
      <w:r>
        <w:t>Pires de Lima, R., Lin, Y., Marfurt, K.J., 2019c. Transforming seismic data into pseudo-RGB images to predict CO2 leakage using pre-learned convolutional neural networks weights, in: SEG Technical Program Expanded Abstracts 2019. Society of Exploration Geophysicists, pp. 2368–2372. https://doi.org/10.1190/segam2019-3215401.1</w:t>
      </w:r>
    </w:p>
    <w:p w14:paraId="6F494EE4" w14:textId="77777777" w:rsidR="00347C4E" w:rsidRDefault="00347C4E" w:rsidP="001D724A"/>
    <w:p w14:paraId="6A6485D3" w14:textId="77777777" w:rsidR="001D724A" w:rsidRDefault="001D724A">
      <w:pPr>
        <w:spacing w:line="240" w:lineRule="auto"/>
      </w:pPr>
      <w:r>
        <w:br w:type="page"/>
      </w:r>
    </w:p>
    <w:p w14:paraId="2D6ED961" w14:textId="77777777" w:rsidR="001D724A" w:rsidRDefault="001D724A" w:rsidP="009E29A4">
      <w:pPr>
        <w:pStyle w:val="Heading2"/>
      </w:pPr>
      <w:bookmarkStart w:id="291" w:name="_Toc26534648"/>
      <w:r w:rsidRPr="001D724A">
        <w:lastRenderedPageBreak/>
        <w:t>Abstract</w:t>
      </w:r>
      <w:bookmarkEnd w:id="291"/>
    </w:p>
    <w:p w14:paraId="10961D08" w14:textId="77777777" w:rsidR="001D724A" w:rsidRDefault="001D724A" w:rsidP="001D724A">
      <w:pPr>
        <w:pStyle w:val="Abstract"/>
        <w:spacing w:line="480" w:lineRule="auto"/>
      </w:pPr>
      <w:r>
        <w:t xml:space="preserve">Here we present the recent progress in upgrading a predictive model for Megaelectron-Volt (MeV) electrons inside the Earth’s outer Van Allen belt. This updated model, called PreMevE 2.0, is demonstrated to make much improved forecasts, particularly at outer Lshells, by including upstream solar wind speeds to the model’s input parameter list. Furthermore, based on several kinds of linear and artificial machine learning algorithms, a list of models </w:t>
      </w:r>
      <w:r w:rsidR="00E219C7">
        <w:t>was</w:t>
      </w:r>
      <w:r>
        <w:t xml:space="preserve"> constructed, trained, validated and tested with 42-month MeV electron observations from Van Allen Probes. Out-of-sample test results from these models show that, with optimized model hyperparameters and input parameter combinations, the top performer from each category of models has the similar capability of making reliable 1-day (2-day) forecasts with Lshell-averaged performance efficiency values ~ 0.87 (~0.82). Interestingly, the linear regression model is often the most successful one when compared to other models, which indicates the r</w:t>
      </w:r>
      <w:r w:rsidRPr="002E1771">
        <w:t>ela</w:t>
      </w:r>
      <w:r>
        <w:t>tionship between 1 MeV electron dynamics</w:t>
      </w:r>
      <w:r w:rsidRPr="002E1771">
        <w:t xml:space="preserve"> and pr</w:t>
      </w:r>
      <w:r>
        <w:t>ecipitating electrons is</w:t>
      </w:r>
      <w:r w:rsidRPr="002E1771">
        <w:t xml:space="preserve"> dominated by linear components</w:t>
      </w:r>
      <w:r>
        <w:t xml:space="preserve">. It is also shown that PreMevE 2.0 can reasonably predict the onsets of MeV electron events in 2-day forecasts. This improved PreMevE model is driven by observations from longstanding space infrastructure (a NOAA satellite in low-Earth-orbit, the solar wind monitor at the L1 point, and one LANL satellite in geosynchronous orbit) to make high-fidelity forecasts for MeV electrons, and thus can be an invaluable space weather forecasting tool for the future. </w:t>
      </w:r>
    </w:p>
    <w:p w14:paraId="69E4779F" w14:textId="77777777" w:rsidR="009E29A4" w:rsidRDefault="009E29A4" w:rsidP="001D724A">
      <w:pPr>
        <w:pStyle w:val="Abstract"/>
        <w:spacing w:line="480" w:lineRule="auto"/>
      </w:pPr>
    </w:p>
    <w:p w14:paraId="7CCE060B" w14:textId="77777777" w:rsidR="001D724A" w:rsidRPr="00E56D55" w:rsidRDefault="001D724A" w:rsidP="009E29A4">
      <w:pPr>
        <w:pStyle w:val="Heading2"/>
      </w:pPr>
      <w:bookmarkStart w:id="292" w:name="_Toc26534649"/>
      <w:r w:rsidRPr="00E56D55">
        <w:t>1. Introduction</w:t>
      </w:r>
      <w:bookmarkEnd w:id="292"/>
    </w:p>
    <w:p w14:paraId="06CADACC" w14:textId="77777777" w:rsidR="001D724A" w:rsidRDefault="001D724A" w:rsidP="001D724A">
      <w:pPr>
        <w:pStyle w:val="Text"/>
        <w:spacing w:line="480" w:lineRule="auto"/>
        <w:ind w:firstLine="0"/>
        <w:rPr>
          <w:bCs/>
        </w:rPr>
      </w:pPr>
      <w:r>
        <w:t xml:space="preserve">Man-made satellites operating in medium- and high-altitude Earth orbits are continuously exposed to hazardous space radiation originated from different sources. Among them, one major contributor is the relativistic electron population—with energies comparable to and/or larger than </w:t>
      </w:r>
      <w:r>
        <w:lastRenderedPageBreak/>
        <w:t xml:space="preserve">their rest energy of 0.511 Megaelectron-volt (MeV)—trapped inside Earth’s outer Van Allen belt. Owning to their high penetration capability, these MeV electrons are difficult to be fully stopped by normal shielding. Particularly, during MeV electron events when electron intensities across the outer belt are greatly enhanced to sustaining high levels, space-borne electronic systems with inadequate hardening are susceptible to deep-dielectric charging and discharging phenomenon caused by those electrons </w:t>
      </w:r>
      <w:r w:rsidRPr="003E7E78">
        <w:rPr>
          <w:noProof/>
        </w:rPr>
        <w:t>(Lai et al., 2018</w:t>
      </w:r>
      <w:r>
        <w:rPr>
          <w:noProof/>
        </w:rPr>
        <w:t>)</w:t>
      </w:r>
      <w:r>
        <w:t xml:space="preserve">, and thus may suffer severe damage or even stop functioning. Therefore, protecting critical space infrastructures from harsh space weather conditions– including MeV electron events – has high priority for stakeholders such as the space industry, service providers and government agencies. </w:t>
      </w:r>
    </w:p>
    <w:p w14:paraId="2F386EE5" w14:textId="77777777" w:rsidR="001D724A" w:rsidRDefault="001D724A" w:rsidP="001D724A">
      <w:pPr>
        <w:pStyle w:val="Text"/>
        <w:spacing w:line="480" w:lineRule="auto"/>
        <w:ind w:firstLine="0"/>
      </w:pPr>
      <w:r>
        <w:t xml:space="preserve">Similar to terrestrial weather services, real-time monitoring and model forecasting are the two principle ways of mitigating risks from outer-belt MeV electrons. Given the successful NASA Van Allen Probes mission, previously known as RBSP </w:t>
      </w:r>
      <w:r>
        <w:fldChar w:fldCharType="begin" w:fldLock="1"/>
      </w:r>
      <w:r>
        <w:instrText>ADDIN CSL_CITATION {"citationItems":[{"id":"ITEM-1","itemData":{"DOI":"10.1007/s11214-012-9908-y","ISSN":"1572-9672","abstract":"The NASA Radiation Belt Storm Probes (RBSP) mission addresses how populations of high energy charged particles are created, vary, and evolve in space environments, and specifically within Earth's magnetically trapped radiation belts. RBSP, with a nominal launch date of August 2012, comprises two spacecraft making in situ measurements for at least 2 years in nearly the same highly elliptical, low inclination orbits (1.1{\\texttimes}5.8 RE, 10</w:instrText>
      </w:r>
      <w:r>
        <w:rPr>
          <w:rFonts w:ascii="Cambria Math" w:hAnsi="Cambria Math" w:cs="Cambria Math"/>
        </w:rPr>
        <w:instrText>∘</w:instrText>
      </w:r>
      <w:r>
        <w:instrText xml:space="preserve">). The orbits are slightly different so that 1 spacecraft laps the other spacecraft about every 2.5 months, allowing separation of spatial from temporal effects over spatial scales ranging from </w:instrText>
      </w:r>
      <w:r>
        <w:rPr>
          <w:rFonts w:ascii="Cambria Math" w:hAnsi="Cambria Math" w:cs="Cambria Math"/>
        </w:rPr>
        <w:instrText>∼</w:instrText>
      </w:r>
      <w:r>
        <w:instrText>0.1 to 5 RE. The uniquely comprehensive suite of instruments, identical on the two spacecraft, measures all of the particle (electrons, ions, ion composition), fields (E and B), and wave distributions (dE and dB) that are needed to resolve the most critical science questions. Here we summarize the high level science objectives for the RBSP mission, provide historical background on studies of Earth and planetary radiation belts, present examples of the most compelling scientific mysteries of the radiation belts, present the mission design of the RBSP mission that targets these mysteries and objectives, present the observation and measurement requirements for the mission, and introduce the instrumentation that will deliver these measurements. This paper references and is followed by a number of companion papers that describe the details of the RBSP mission, spacecraft, and instruments.","author":[{"dropping-particle":"","family":"Mauk","given":"B H","non-dropping-particle":"","parse-names":false,"suffix":""},{"dropping-particle":"","family":"Fox","given":"N J","non-dropping-particle":"","parse-names":false,"suffix":""},{"dropping-particle":"","family":"Kanekal","given":"S G","non-dropping-particle":"","parse-names":false,"suffix":""},{"dropping-particle":"","family":"Kessel","given":"R L","non-dropping-particle":"","parse-names":false,"suffix":""},{"dropping-particle":"","family":"Sibeck","given":"D G","non-dropping-particle":"","parse-names":false,"suffix":""},{"dropping-particle":"","family":"Ukhorskiy","given":"A","non-dropping-particle":"","parse-names":false,"suffix":""}],"container-title":"Space Science Reviews","id":"ITEM-1","issue":"1","issued":{"date-parts":[["2013","11"]]},"page":"3-27","title":"Science Objectives and Rationale for the Radiation Belt Storm Probes Mission","type":"article-journal","volume":"179"},"uris":["http://www.mendeley.com/documents/?uuid=b8dfcc6f-b9e1-45b8-a48e-7f1cc9d7a026"]}],"mendeley":{"formattedCitation":"(Mauk et al., 2013)","plainTextFormattedCitation":"(Mauk et al., 2013)","previouslyFormattedCitation":"(Mauk et al., 2013)"},"properties":{"noteIndex":0},"schema":"https://github.com/citation-style-language/schema/raw/master/csl-citation.json"}</w:instrText>
      </w:r>
      <w:r>
        <w:fldChar w:fldCharType="separate"/>
      </w:r>
      <w:r w:rsidRPr="003E7E78">
        <w:rPr>
          <w:noProof/>
        </w:rPr>
        <w:t>(Mauk et al., 2013)</w:t>
      </w:r>
      <w:r>
        <w:fldChar w:fldCharType="end"/>
      </w:r>
      <w:r>
        <w:t xml:space="preserve">, quickly approaches its end, the need of reliable forecasting models for MeV electrons becomes compelling once again due to the coming absence of in-situ measurements. Indeed, forecasting models have been developed including such as SPACECAST framework </w:t>
      </w:r>
      <w:r>
        <w:fldChar w:fldCharType="begin" w:fldLock="1"/>
      </w:r>
      <w:r>
        <w:instrText>ADDIN CSL_CITATION {"citationItems":[{"id":"ITEM-1","itemData":{"DOI":"10.1051/swsc/2013042","author":[{"dropping-particle":"","family":"Horne","given":"Richard B.","non-dropping-particle":"","parse-names":false,"suffix":""},{"dropping-particle":"","family":"Glauert","given":"Sarah A.","non-dropping-particle":"","parse-names":false,"suffix":""},{"dropping-particle":"","family":"Meredith","given":"Nigel P.","non-dropping-particle":"","parse-names":false,"suffix":""},{"dropping-particle":"","family":"Koskinen","given":"Hannu","non-dropping-particle":"","parse-names":false,"suffix":""},{"dropping-particle":"","family":"Vainio","given":"Rami","non-dropping-particle":"","parse-names":false,"suffix":""},{"dropping-particle":"","family":"Afanasiev","given":"Alexandr","non-dropping-particle":"","parse-names":false,"suffix":""},{"dropping-particle":"","family":"Ganushkina","given":"Natalia Y.","non-dropping-particle":"","parse-names":false,"suffix":""},{"dropping-particle":"","family":"Amariutei","given":"Olga A.","non-dropping-particle":"","parse-names":false,"suffix":""},{"dropping-particle":"","family":"Boscher","given":"Daniel","non-dropping-particle":"","parse-names":false,"suffix":""},{"dropping-particle":"","family":"Sicard","given":"Angelica","non-dropping-particle":"","parse-names":false,"suffix":""},{"dropping-particle":"","family":"Maget","given":"Vincent","non-dropping-particle":"","parse-names":false,"suffix":""},{"dropping-particle":"","family":"Poedts","given":"Stefaan","non-dropping-particle":"","parse-names":false,"suffix":""},{"dropping-particle":"","family":"Jacobs","given":"Carla","non-dropping-particle":"","parse-names":false,"suffix":""},{"dropping-particle":"","family":"Sanahuja","given":"Blai","non-dropping-particle":"","parse-names":false,"suffix":""},{"dropping-particle":"","family":"Aran","given":"Angels","non-dropping-particle":"","parse-names":false,"suffix":""},{"dropping-particle":"","family":"Heynderickx","given":"Daniel","non-dropping-particle":"","parse-names":false,"suffix":""},{"dropping-particle":"","family":"Pitchford","given":"David","non-dropping-particle":"","parse-names":false,"suffix":""}],"container-title":"J. Space Weather Space Clim.","id":"ITEM-1","issued":{"date-parts":[["2013"]]},"page":"A20","title":"Forecasting the Earth's radiation belts and modelling solar energetic particle events: Recent results from SPACECAST","type":"article-journal","volume":"3"},"uris":["http://www.mendeley.com/documents/?uuid=11b64909-2931-4161-9b3f-c1a438dc0ac8"]}],"mendeley":{"formattedCitation":"(Horne et al., 2013)","plainTextFormattedCitation":"(Horne et al., 2013)","previouslyFormattedCitation":"(Horne et al., 2013)"},"properties":{"noteIndex":0},"schema":"https://github.com/citation-style-language/schema/raw/master/csl-citation.json"}</w:instrText>
      </w:r>
      <w:r>
        <w:fldChar w:fldCharType="separate"/>
      </w:r>
      <w:r w:rsidRPr="003E7E78">
        <w:rPr>
          <w:noProof/>
        </w:rPr>
        <w:t>(Horne et al., 2013)</w:t>
      </w:r>
      <w:r>
        <w:fldChar w:fldCharType="end"/>
      </w:r>
      <w:r>
        <w:t xml:space="preserve"> for the whole outer radiation belt, and Relativistic Electron Forecast Model (based on Baker et al. (1990)) currently operated by NOAA specifically for electrons at geosynchronous (GEO) orbit. Recently, Chen et al. (2019) has developed and verified a new predictive MeV electron model called PreMevE to forecast MeV electron events throughout the whole outer radiation belt, using linear filters with inputs from low-Earth-orbit (LEO) observations. In this work, we further improve PreMevE model by applying and testing several supervised machine learning algorithms with optimized selection of input parameters. </w:t>
      </w:r>
    </w:p>
    <w:p w14:paraId="2303162B" w14:textId="77777777" w:rsidR="001D724A" w:rsidRDefault="001D724A" w:rsidP="001D724A">
      <w:pPr>
        <w:pStyle w:val="Text"/>
        <w:spacing w:line="480" w:lineRule="auto"/>
        <w:ind w:firstLine="0"/>
      </w:pPr>
      <w:r>
        <w:lastRenderedPageBreak/>
        <w:t xml:space="preserve">Machine learning (ML) has been a topic in consideration for more than half a century </w:t>
      </w:r>
      <w:r>
        <w:fldChar w:fldCharType="begin" w:fldLock="1"/>
      </w:r>
      <w:r>
        <w:instrText>ADDIN CSL_CITATION {"citationItems":[{"id":"ITEM-1","itemData":{"DOI":"10.1109/JRPROC.1961.287775","ISSN":"0096-8390","author":[{"dropping-particle":"","family":"Minsky","given":"Marvin","non-dropping-particle":"","parse-names":false,"suffix":""}],"container-title":"Proceedings of the IRE","id":"ITEM-1","issue":"1","issued":{"date-parts":[["1961","1"]]},"page":"8-30","title":"Steps toward Artificial Intelligence","type":"article-journal","volume":"49"},"uris":["http://www.mendeley.com/documents/?uuid=49e2cc8f-a1df-3b0b-bf71-47e4cbd84352"]},{"id":"ITEM-2","itemData":{"DOI":"10.2307/2346830","author":[{"dropping-particle":"","family":"Hartigan","given":"J. A.","non-dropping-particle":"","parse-names":false,"suffix":""},{"dropping-particle":"","family":"Wong","given":"M. A.","non-dropping-particle":"","parse-names":false,"suffix":""}],"container-title":"Journal of the Royal Statistical Society. Series C (Applied Statistics)","id":"ITEM-2","issued":{"date-parts":[["1979"]]},"page":"100-108","publisher":"WileyRoyal Statistical Society","title":"Algorithm AS 136: A K-Means Clustering Algorithm","type":"article-journal","volume":"28"},"uris":["http://www.mendeley.com/documents/?uuid=d09f5ff8-14d7-32b9-8ef5-9dfb960d0fb1"]},{"id":"ITEM-3","itemData":{"DOI":"10.1073/pnas.79.8.2554","ISSN":"0027-8424","PMID":"6953413","abstract":"Computational properties of use of biological organisms or to the construction of computers can emerge as collective properties of systems having a large number of simple equivalent components (or neurons). The physical meaning of content-addressable memory is described by an appropriate phase space flow of the state of a system. A model of such a system is given, based on aspects of neurobiology but readily adapted to integrated circuits. The collective properties of this model produce a content-addressable memory which correctly yields an entire memory from any subpart of sufficient size. The algorithm for the time evolution of the state of the system is based on asynchronous parallel processing. Additional emergent collective properties include some capacity for generalization, familiarity recognition, categorization, error correction, and time sequence retention. The collective properties are only weakly sensitive to details of the modeling or the failure of individual devices.","author":[{"dropping-particle":"","family":"Hopfield","given":"J J","non-dropping-particle":"","parse-names":false,"suffix":""}],"container-title":"Proceedings of the National Academy of Sciences of the United States of America","id":"ITEM-3","issue":"8","issued":{"date-parts":[["1982","4","1"]]},"page":"2554-8","publisher":"National Academy of Sciences","title":"Neural networks and physical systems with emergent collective computational abilities.","type":"article-journal","volume":"79"},"uris":["http://www.mendeley.com/documents/?uuid=e8958fcf-7686-30fe-91cd-4b21f66476a1"]}],"mendeley":{"formattedCitation":"(Hartigan &amp; Wong, 1979; Hopfield, 1982; Minsky, 1961)","manualFormatting":"(e.g., Minsky, 1961; Hartigan &amp; Wong, 1979; Hopfield, 1982)","plainTextFormattedCitation":"(Hartigan &amp; Wong, 1979; Hopfield, 1982; Minsky, 1961)","previouslyFormattedCitation":"(Hartigan &amp; Wong, 1979; Hopfield, 1982; Minsky, 1961)"},"properties":{"noteIndex":0},"schema":"https://github.com/citation-style-language/schema/raw/master/csl-citation.json"}</w:instrText>
      </w:r>
      <w:r>
        <w:fldChar w:fldCharType="separate"/>
      </w:r>
      <w:r w:rsidRPr="00DB4F77">
        <w:rPr>
          <w:noProof/>
        </w:rPr>
        <w:t>(</w:t>
      </w:r>
      <w:r>
        <w:rPr>
          <w:noProof/>
        </w:rPr>
        <w:t>e.g., Minsky, 1961; Hartigan &amp; Wong, 1979; Hopfield, 1982</w:t>
      </w:r>
      <w:r w:rsidRPr="00DB4F77">
        <w:rPr>
          <w:noProof/>
        </w:rPr>
        <w:t>)</w:t>
      </w:r>
      <w:r>
        <w:fldChar w:fldCharType="end"/>
      </w:r>
      <w:r>
        <w:t xml:space="preserve">, and its popularity increased significantly in the last decade with numerous applications in various research fields. Examples of success include seismicity studies </w:t>
      </w:r>
      <w:r>
        <w:fldChar w:fldCharType="begin" w:fldLock="1"/>
      </w:r>
      <w:r>
        <w:instrText>ADDIN CSL_CITATION {"citationItems":[{"id":"ITEM-1","itemData":{"DOI":"10.1016/J.CAGEO.2015.11.006","ISSN":"0098-3004","abstract":"This paper presents a fully automatic method for seismic event classification within a sparse regional seismograph network. The method is based on a supervised pattern recognition technique called the Support Vector Machine (SVM). The classification relies on differences in signal energy distribution between natural and artificial seismic sources. We filtered seismic records via 20 narrow band-pass filters and divided them into four phase windows: P, P coda, S, and S coda. We then computed a short-term average (STA) value for each filter channel and phase window. The 80 discrimination parameters served as a training model for the SVM. We calculated station specific SVM models for 19 on-line seismic stations in Finland. The training data set included 918 positive (earthquake) and 3469 negative (non-earthquake) examples. An independent test period determined method and rules for integrating station-specific classification results into network results. Finally, we applied the network classification rules to independent evaluation data comprising 5435 fully automatic event determinations, 5404 of which had been manually identified as explosions or noise, and 31 as earthquakes. The SVM method correctly identified 94% of the non-earthquakes and all but one of the earthquakes. The result implies that the SVM tool can identify and filter out blasts and spurious events from fully automatic event solutions with a high level of accuracy. The tool helps to reduce the work-load and costs of manual seismic analysis by leaving only a small fraction of automatic event determinations, the probable earthquakes, for more detailed seismological analysis. The self-learning approach presented here is flexible and easily adjustable to the requirements of a denser or wider high-frequency network.","author":[{"dropping-particle":"","family":"Kortström","given":"Jari","non-dropping-particle":"","parse-names":false,"suffix":""},{"dropping-particle":"","family":"Uski","given":"Marja","non-dropping-particle":"","parse-names":false,"suffix":""},{"dropping-particle":"","family":"Tiira","given":"Timo","non-dropping-particle":"","parse-names":false,"suffix":""}],"container-title":"Computers &amp; Geosciences","id":"ITEM-1","issued":{"date-parts":[["2016","2","1"]]},"page":"22-30","publisher":"Pergamon","title":"Automatic classification of seismic events within a regional seismograph network","type":"article-journal","volume":"87"},"uris":["http://www.mendeley.com/documents/?uuid=46f547e6-9681-3bef-848f-6f9987f2a7df"]},{"id":"ITEM-2","itemData":{"DOI":"10.1126/sciadv.1700578","ISSN":"2375-2548","abstract":"The recent evolution of induced seismicity in Central United States calls for exhaustive catalogs to improve seismic hazard assessment. Over the last decades, the volume of seismic data has increased exponentially, creating a need for efficient algorithms to reliably detect and locate earthquakes. Today’s most elaborate methods scan through the plethora of continuous seismic records, searching for repeating seismic signals. We leverage the recent advances in artificial intelligence and present ConvNetQuake, a highly scalable convolutional neural network for earthquake detection and location from a single waveform. We apply our technique to study the induced seismicity in Oklahoma, USA. We detect more than 17 times more earthquakes than previously cataloged by the Oklahoma Geological Survey. Our algorithm is orders of magnitude faster than established methods.","author":[{"dropping-particle":"","family":"Perol","given":"Thibaut","non-dropping-particle":"","parse-names":false,"suffix":""},{"dropping-particle":"","family":"Gharbi","given":"Michaël","non-dropping-particle":"","parse-names":false,"suffix":""},{"dropping-particle":"","family":"Denolle","given":"Marine","non-dropping-particle":"","parse-names":false,"suffix":""}],"container-title":"Science Advances","id":"ITEM-2","issue":"2","issued":{"date-parts":[["2018","2","14"]]},"page":"e1700578","publisher":"American Association for the Advancement of Science","title":"Convolutional neural network for earthquake detection and location","type":"article-journal","volume":"4"},"uris":["http://www.mendeley.com/documents/?uuid=ef294b5d-c8b9-336d-80f2-9ec24d3bc768"]},{"id":"ITEM-3","itemData":{"DOI":"10.15530/urtec-2018-2897507-MS","author":[{"dropping-particle":"","family":"Sinha","given":"Saurabh","non-dropping-particle":"","parse-names":false,"suffix":""},{"dropping-particle":"","family":"Wen","given":"Yunjie","non-dropping-particle":"","parse-names":false,"suffix":""},{"dropping-particle":"","family":"Pires de Lima","given":"Rafael A.","non-dropping-particle":"","parse-names":false,"suffix":""},{"dropping-particle":"","family":"Marfurt","given":"Kurt","non-dropping-particle":"","parse-names":false,"suffix":""}],"id":"ITEM-3","issued":{"date-parts":[["2018","7","23"]]},"publisher":"Unconventional Resources Technology Conference","title":"Statistical controls on induced seismicity","type":"paper-conference"},"uris":["http://www.mendeley.com/documents/?uuid=dffc0ea0-b023-30ff-9d55-d5f0d726d2b3"]},{"id":"ITEM-4","itemData":{"DOI":"10.1190/segam2019-3216687.1","author":[{"dropping-particle":"","family":"Wang","given":"Tiantong","non-dropping-particle":"","parse-names":false,"suffix":""},{"dropping-particle":"","family":"Zhang","given":"Zhongping","non-dropping-particle":"","parse-names":false,"suffix":""},{"dropping-particle":"","family":"Li","given":"Youzuo","non-dropping-particle":"","parse-names":false,"suffix":""}],"container-title":"SEG Technical Program Expanded Abstracts 2019","id":"ITEM-4","issued":{"date-parts":[["2019","8"]]},"page":"2674-2678","publisher":"Society of Exploration Geophysicists","title":"EarthquakeGen: Earthquake generator using generative adversarial networks","type":"paper-conference"},"uris":["http://www.mendeley.com/documents/?uuid=34cd2942-1797-3b05-8073-a0c986ca867d"]},{"id":"ITEM-5","itemData":{"DOI":"10.1029/2019GL082706","ISSN":"0094-8276","author":[{"dropping-particle":"","family":"Ren","given":"C. X.","non-dropping-particle":"","parse-names":false,"suffix":""},{"dropping-particle":"","family":"Dorostkar","given":"O.","non-dropping-particle":"","parse-names":false,"suffix":""},{"dropping-particle":"","family":"Rouet‐Leduc","given":"B.","non-dropping-particle":"","parse-names":false,"suffix":""},{"dropping-particle":"","family":"Hulbert","given":"C.","non-dropping-particle":"","parse-names":false,"suffix":""},{"dropping-particle":"","family":"Strebel","given":"D.","non-dropping-particle":"","parse-names":false,"suffix":""},{"dropping-particle":"","family":"Guyer","given":"R. A.","non-dropping-particle":"","parse-names":false,"suffix":""},{"dropping-particle":"","family":"Johnson","given":"P. A.","non-dropping-particle":"","parse-names":false,"suffix":""},{"dropping-particle":"","family":"Carmeliet","given":"J.","non-dropping-particle":"","parse-names":false,"suffix":""}],"container-title":"Geophysical Research Letters","id":"ITEM-5","issue":"13","issued":{"date-parts":[["2019","7","16"]]},"page":"7395-7403","publisher":"John Wiley &amp; Sons, Ltd","title":"Machine Learning Reveals the State of Intermittent Frictional Dynamics in a Sheared Granular Fault","type":"article-journal","volume":"46"},"uris":["http://www.mendeley.com/documents/?uuid=02014052-2bd6-310d-a6a7-79f6ed358db2"]}],"mendeley":{"formattedCitation":"(Kortström et al., 2016; Perol et al., 2018; Ren et al., 2019; Sinha et al., 2018; Wang et al., 2019)","manualFormatting":"(e.g., Kortström et al., 2016; Perol et al., 2018; Sinha et al., 2018; Ren et al., 2019; Wang et al., 2019)","plainTextFormattedCitation":"(Kortström et al., 2016; Perol et al., 2018; Ren et al., 2019; Sinha et al., 2018; Wang et al., 2019)","previouslyFormattedCitation":"(Kortström et al., 2016; Perol et al., 2018; Ren et al., 2019; Sinha et al., 2018; Wang et al., 2019)"},"properties":{"noteIndex":0},"schema":"https://github.com/citation-style-language/schema/raw/master/csl-citation.json"}</w:instrText>
      </w:r>
      <w:r>
        <w:fldChar w:fldCharType="separate"/>
      </w:r>
      <w:r w:rsidRPr="003D0EE3">
        <w:rPr>
          <w:noProof/>
        </w:rPr>
        <w:t>(</w:t>
      </w:r>
      <w:r>
        <w:rPr>
          <w:noProof/>
        </w:rPr>
        <w:t>e.g., Kortström et al.,</w:t>
      </w:r>
      <w:r w:rsidRPr="003D0EE3">
        <w:rPr>
          <w:noProof/>
        </w:rPr>
        <w:t xml:space="preserve"> 2016; Perol et al., 2018; Sinha et al., 2018;</w:t>
      </w:r>
      <w:r>
        <w:rPr>
          <w:noProof/>
        </w:rPr>
        <w:t xml:space="preserve"> </w:t>
      </w:r>
      <w:r w:rsidRPr="003D0EE3">
        <w:rPr>
          <w:noProof/>
        </w:rPr>
        <w:t>Ren et al., 2019; Wang et al., 2019)</w:t>
      </w:r>
      <w:r>
        <w:fldChar w:fldCharType="end"/>
      </w:r>
      <w:r>
        <w:t xml:space="preserve">, geological mapping </w:t>
      </w:r>
      <w:r>
        <w:fldChar w:fldCharType="begin" w:fldLock="1"/>
      </w:r>
      <w:r>
        <w:instrText>ADDIN CSL_CITATION {"citationItems":[{"id":"ITEM-1","itemData":{"DOI":"10.1016/J.CAGEO.2013.10.008","ISSN":"0098-3004","abstract":"Machine learning algorithms (MLAs) are a powerful group of data-driven inference tools that offer an automated means of recognizing patterns in high-dimensional data. Hence, there is much scope for the application of MLAs to the rapidly increasing volumes of remotely sensed geophysical data for geological mapping problems. We carry out a rigorous comparison of five MLAs: Naive Bayes, k-Nearest Neighbors, Random Forests, Support Vector Machines, and Artificial Neural Networks, in the context of a supervised lithology classification task using widely available and spatially constrained remotely sensed geophysical data. We make a further comparison of MLAs based on their sensitivity to variations in the degree of spatial clustering of training data, and their response to the inclusion of explicit spatial information (spatial coordinates). Our work identifies Random Forests as a good first choice algorithm for the supervised classification of lithology using remotely sensed geophysical data. Random Forests is straightforward to train, computationally efficient, highly stable with respect to variations in classification model parameter values, and as accurate as, or substantially more accurate than the other MLAs trialed. The results of our study indicate that as training data becomes increasingly dispersed across the region under investigation, MLA predictive accuracy improves dramatically. The use of explicit spatial information generates accurate lithology predictions but should be used in conjunction with geophysical data in order to generate geologically plausible predictions. MLAs, such as Random Forests, are valuable tools for generating reliable first-pass predictions for practical geological mapping applications that combine widely available geophysical data.","author":[{"dropping-particle":"","family":"Cracknell","given":"Matthew J.","non-dropping-particle":"","parse-names":false,"suffix":""},{"dropping-particle":"","family":"Reading","given":"Anya M.","non-dropping-particle":"","parse-names":false,"suffix":""}],"container-title":"Computers &amp; Geosciences","id":"ITEM-1","issued":{"date-parts":[["2014","2","1"]]},"page":"22-33","publisher":"Pergamon","title":"Geological mapping using remote sensing data: A comparison of five machine learning algorithms, their response to variations in the spatial distribution of training data and the use of explicit spatial information","type":"article-journal","volume":"63"},"uris":["http://www.mendeley.com/documents/?uuid=b51c5486-7ad2-36bc-89be-133a328f795a"]},{"id":"ITEM-2","itemData":{"DOI":"10.1190/segam2018-2996506.1","author":[{"dropping-particle":"","family":"Pires de Lima","given":"Rafael","non-dropping-particle":"","parse-names":false,"suffix":""},{"dropping-particle":"","family":"Marfurt","given":"Kurt J.","non-dropping-particle":"","parse-names":false,"suffix":""}],"container-title":"SEG Technical Program Expanded Abstracts 2018","id":"ITEM-2","issued":{"date-parts":[["2018","8","27"]]},"page":"2277-2281","publisher":"Society of Exploration Geophysicists","title":"Principal component analysis and K-means analysis of airborne gamma-ray spectrometry surveys","type":"paper-conference"},"uris":["http://www.mendeley.com/documents/?uuid=708817bf-cbe4-31b8-aea8-424679cb7232"]}],"mendeley":{"formattedCitation":"(Cracknell &amp; Reading, 2014; Pires de Lima &amp; Marfurt, 2018)","manualFormatting":"(e.g. Cracknell &amp; Reading, 2014; Pires de Lima &amp; Marfurt, 2018)","plainTextFormattedCitation":"(Cracknell &amp; Reading, 2014; Pires de Lima &amp; Marfurt, 2018)","previouslyFormattedCitation":"(Cracknell &amp; Reading, 2014; Pires de Lima &amp; Marfurt, 2018)"},"properties":{"noteIndex":0},"schema":"https://github.com/citation-style-language/schema/raw/master/csl-citation.json"}</w:instrText>
      </w:r>
      <w:r>
        <w:fldChar w:fldCharType="separate"/>
      </w:r>
      <w:r w:rsidRPr="00387091">
        <w:rPr>
          <w:noProof/>
        </w:rPr>
        <w:t>(</w:t>
      </w:r>
      <w:r>
        <w:rPr>
          <w:noProof/>
        </w:rPr>
        <w:t xml:space="preserve">e.g. </w:t>
      </w:r>
      <w:r w:rsidRPr="00387091">
        <w:rPr>
          <w:noProof/>
        </w:rPr>
        <w:t>Cracknell &amp; Reading, 2014; Pires de Lima &amp; Marfurt, 2018)</w:t>
      </w:r>
      <w:r>
        <w:fldChar w:fldCharType="end"/>
      </w:r>
      <w:r>
        <w:t xml:space="preserve">, optical/electrical geoscientific images classification </w:t>
      </w:r>
      <w:r>
        <w:fldChar w:fldCharType="begin" w:fldLock="1"/>
      </w:r>
      <w:r>
        <w:instrText>ADDIN CSL_CITATION {"citationItems":[{"id":"ITEM-1","itemData":{"DOI":"10.1190/segam2019-3216898.1","author":[{"dropping-particle":"","family":"Duarte-Coronado","given":"David","non-dropping-particle":"","parse-names":false,"suffix":""},{"dropping-particle":"","family":"Tellez-Rodriguez","given":"Jerson","non-dropping-particle":"","parse-names":false,"suffix":""},{"dropping-particle":"","family":"Pires de Lima","given":"Rafael","non-dropping-particle":"","parse-names":false,"suffix":""},{"dropping-particle":"","family":"Marfurt","given":"Kurt","non-dropping-particle":"","parse-names":false,"suffix":""},{"dropping-particle":"","family":"Slatt","given":"Roger","non-dropping-particle":"","parse-names":false,"suffix":""}],"container-title":"SEG Technical Program Expanded Abstracts 2019","id":"ITEM-1","issued":{"date-parts":[["2019","8"]]},"page":"3181-3184","publisher":"Society of Exploration Geophysicists","title":"Deep convolutional neural networks as an estimator of porosity in thin-section images for unconventional reservoirs","type":"paper-conference"},"uris":["http://www.mendeley.com/documents/?uuid=0f4d1b50-c57f-3623-a44a-7106dc3c4598"]},{"id":"ITEM-2","itemData":{"DOI":"10.210/sedred.2019.2","author":[{"dropping-particle":"","family":"Pires de Lima","given":"Rafael","non-dropping-particle":"","parse-names":false,"suffix":""},{"dropping-particle":"","family":"Bonar","given":"Alicia","non-dropping-particle":"","parse-names":false,"suffix":""},{"dropping-particle":"","family":"Coronado","given":"David Duarte","non-dropping-particle":"","parse-names":false,"suffix":""},{"dropping-particle":"","family":"Marfurt","given":"Kurt","non-dropping-particle":"","parse-names":false,"suffix":""},{"dropping-particle":"","family":"Nicholson","given":"Charles","non-dropping-particle":"","parse-names":false,"suffix":""}],"container-title":"The Sedimentary Record","id":"ITEM-2","issue":"2","issued":{"date-parts":[["2019"]]},"page":"4-9","title":"Deep convolutional neural networks as a geological image classification tool","type":"article-journal","volume":"17"},"uris":["http://www.mendeley.com/documents/?uuid=3a7d999b-e892-4f63-92ee-8560f96f8631"]},{"id":"ITEM-3","itemData":{"DOI":"10.1190/INT-2018-0245.1","ISSN":"2324-8858","abstract":"&lt;p&gt;Artificial intelligence methods have a very wide range of applications. From speech recognition to self-driving cars, the development of modern deep-learning architectures is helping researchers to achieve new levels of accuracy in different fields. Although deep convolutional neural networks (CNNs) (a kind of deep-learning technique) have reached or surpassed human-level performance in image recognition tasks, little has been done to transport this new image classification technology to geoscientific problems. We have developed what we believe to be the first use of CNNs to identify lithofacies in cores. We use highly accurate models (trained with millions of images) and transfer learning to classify images of cored carbonate rocks. We found that different modern CNN architectures can achieve high levels of lithologic image classification accuracy (approximately 90%) and can aid in the core description task. This core image classification technique has the potential to greatly standardize and accelerate the description process. We also provide the community with a new set of labeled data that can be used for further geologic/data science studies.&lt;/p&gt;","author":[{"dropping-particle":"","family":"Pires de Lima","given":"Rafael","non-dropping-particle":"","parse-names":false,"suffix":""},{"dropping-particle":"","family":"Suriamin","given":"Fnu","non-dropping-particle":"","parse-names":false,"suffix":""},{"dropping-particle":"","family":"Marfurt","given":"Kurt J.","non-dropping-particle":"","parse-names":false,"suffix":""},{"dropping-particle":"","family":"Pranter","given":"Matthew J.","non-dropping-particle":"","parse-names":false,"suffix":""}],"container-title":"Interpretation","id":"ITEM-3","issue":"3","issued":{"date-parts":[["2019","8","28"]]},"page":"SF27-SF40","publisher":"Society of Exploration Geophysicists and American Association of Petroleum Geologists","title":"Convolutional neural networks as aid in core lithofacies classification","type":"article-journal","volume":"7"},"uris":["http://www.mendeley.com/documents/?uuid=ff82e865-06c1-32d7-8c5d-d4956aedfd69"]},{"id":"ITEM-4","itemData":{"DOI":"10.1016/J.PETROL.2019.04.030","ISSN":"0920-4105","abstract":"Field characterization in oil industry is a challenging task which aims to determine or estimate some of the petrophysical properties of a reservoir. These properties are expected to be later used in a non-deterministic workflow (which might depend on subjective interpretations carried out by each petrophysicist) whose aim is to answer questions such as whether exploiting the reservoir is feasible or not, how much hydrocarbon can be extracted from it and whether the geology of the reservoir will stand the stresses of exploitation without collapsing. Three properties stand-out amongst all the rest, as they are closely correlated to the amount of hydrocarbon present in the reservoir and also to the feasibility of its exploitation: permeability, porosity, and lithology. Obtaining reliable and robust measurements of these properties requires extracting core samples from the reservoir, which is, however, a very resource-consuming task. Hence, it is common to use other tools (such as wirelogging tools or borehole imagers) to extract several other properties from the reservoir, in an attempt to obtain information that might help experts to estimate these properties on those intervals at which no core sample could be extracted. In this context, estimating lithofacies helps petrophysicists to automatize the process of identifying the lithology of the reservoir. Previous work (Basu et al., 2002; Chai et al., 2009; Linek et al., 2007; Newberry et al., 2004; Hall et al., 1996) used a considerable amount of wirelog data and borehole image logs to induce the lithology of the reservoir. In the work presented in this paper, we introduce a new methodology for automatic reservoir lithofacies identification. Our model relies only on ultrasonic and microresistivity borehole image logs as inputs, which are characterized by a deep residual convolutional network which then infers the probability of each sample to be classified as each type of previously defined lithofacies classes. The method presented in this work was tested on a carbonate well from the Brazilian pre-salt oilfields, and it allowed us to obtain an average classification accuracy of 81.45% and an average area under the ROC curve of 92.70% for all classes, for the blind test sample.","author":[{"dropping-particle":"","family":"Valentín","given":"Manuel Blanco","non-dropping-particle":"","parse-names":false,"suffix":""},{"dropping-particle":"","family":"Bom","given":"Clécio R.","non-dropping-particle":"","parse-names":false,"suffix":""},{"dropping-particle":"","family":"Coelho","given":"Juliana M.","non-dropping-particle":"","parse-names":false,"suffix":""},{"dropping-particle":"","family":"Correia","given":"Maury Duarte","non-dropping-particle":"","parse-names":false,"suffix":""},{"dropping-particle":"","family":"Albuquerque","given":"Márcio P.","non-dropping-particle":"de","parse-names":false,"suffix":""},{"dropping-particle":"","family":"Albuquerque","given":"Marcelo P.","non-dropping-particle":"de","parse-names":false,"suffix":""},{"dropping-particle":"","family":"Faria","given":"Elisângela L.","non-dropping-particle":"","parse-names":false,"suffix":""}],"container-title":"Journal of Petroleum Science and Engineering","id":"ITEM-4","issued":{"date-parts":[["2019","4","19"]]},"publisher":"Elsevier","title":"A deep residual convolutional neural network for automatic lithological facies identification of Brazilian pre-salt oilfield wellbore image logs","type":"article-journal"},"uris":["http://www.mendeley.com/documents/?uuid=989b6a3d-466d-3c69-b20f-1eef69918b3d"]}],"mendeley":{"formattedCitation":"(Duarte-Coronado et al., 2019; Pires de Lima, Bonar, et al., 2019; Pires de Lima, Suriamin, et al., 2019; Valentín et al., 2019)","manualFormatting":"(e.g. Duarte-Coronado et al., 2019; Pires de Lima et al., 2019a; Pires de Lima et al., 2019b; Valentín et al., 2019)","plainTextFormattedCitation":"(Duarte-Coronado et al., 2019; Pires de Lima, Bonar, et al., 2019; Pires de Lima, Suriamin, et al., 2019; Valentín et al., 2019)","previouslyFormattedCitation":"(Duarte-Coronado et al., 2019; Pires de Lima, Bonar, et al., 2019; Pires de Lima, Suriamin, et al., 2019; Valentín et al., 2019)"},"properties":{"noteIndex":0},"schema":"https://github.com/citation-style-language/schema/raw/master/csl-citation.json"}</w:instrText>
      </w:r>
      <w:r>
        <w:fldChar w:fldCharType="separate"/>
      </w:r>
      <w:r w:rsidRPr="00F378B2">
        <w:rPr>
          <w:noProof/>
        </w:rPr>
        <w:t>(</w:t>
      </w:r>
      <w:r>
        <w:rPr>
          <w:noProof/>
        </w:rPr>
        <w:t xml:space="preserve">e.g. </w:t>
      </w:r>
      <w:r w:rsidRPr="00F378B2">
        <w:rPr>
          <w:noProof/>
        </w:rPr>
        <w:t>Duarte-Coronado et al., 2019; Pires de Lima et al., 2019</w:t>
      </w:r>
      <w:r>
        <w:rPr>
          <w:noProof/>
        </w:rPr>
        <w:t>a</w:t>
      </w:r>
      <w:r w:rsidRPr="00F378B2">
        <w:rPr>
          <w:noProof/>
        </w:rPr>
        <w:t>; Pires de Lima et al., 2019</w:t>
      </w:r>
      <w:r>
        <w:rPr>
          <w:noProof/>
        </w:rPr>
        <w:t>b</w:t>
      </w:r>
      <w:r w:rsidRPr="00F378B2">
        <w:rPr>
          <w:noProof/>
        </w:rPr>
        <w:t>; Valentín et al., 2019)</w:t>
      </w:r>
      <w:r>
        <w:fldChar w:fldCharType="end"/>
      </w:r>
      <w:r>
        <w:t xml:space="preserve">, medical image segmentation and classification </w:t>
      </w:r>
      <w:r>
        <w:fldChar w:fldCharType="begin" w:fldLock="1"/>
      </w:r>
      <w:r>
        <w:instrText>ADDIN CSL_CITATION {"citationItems":[{"id":"ITEM-1","itemData":{"ISBN":"978-3-319-24574-4","abstract":"There is large consent that successful training of deep networks requires many thousand annotated training samples. In this paper, we present a network and training strategy that relies on the strong use of data augmentation to use the available annotated samples more efficiently. The architecture consists of a contracting path to capture context and a symmetric expanding path that enables precise localization. We show that such a network can be trained end-to-end from very few images and outperforms the prior best method (a sliding-window convolutional network) on the ISBI challenge for segmentation of neuronal structures in electron microscopic stacks. Using the same network trained on transmitted light microscopy images (phase contrast and DIC) we won the ISBI cell tracking challenge 2015 in these categories by a large margin. Moreover, the network is fast. Segmentation of a 512x512 image takes less than a second on a recent GPU. The full implementation (based on Caffe) and the trained networks are available at http://lmb.informatik.uni-freiburg.de/people/ronneber/u-net .","author":[{"dropping-particle":"","family":"Ronneberger","given":"Olaf","non-dropping-particle":"","parse-names":false,"suffix":""},{"dropping-particle":"","family":"Fischer","given":"Philipp","non-dropping-particle":"","parse-names":false,"suffix":""},{"dropping-particle":"","family":"Brox","given":"Thomas","non-dropping-particle":"","parse-names":false,"suffix":""}],"container-title":"Medical Image Computing and Computer-Assisted Intervention -- MICCAI 2015","editor":[{"dropping-particle":"","family":"Navab","given":"Nassir","non-dropping-particle":"","parse-names":false,"suffix":""},{"dropping-particle":"","family":"Hornegger","given":"Joachim","non-dropping-particle":"","parse-names":false,"suffix":""},{"dropping-particle":"","family":"Wells","given":"William M","non-dropping-particle":"","parse-names":false,"suffix":""},{"dropping-particle":"","family":"Frangi","given":"Alejandro F","non-dropping-particle":"","parse-names":false,"suffix":""}],"id":"ITEM-1","issued":{"date-parts":[["2015"]]},"page":"234-241","publisher":"Springer International Publishing","publisher-place":"Cham","title":"U-Net: Convolutional Networks for Biomedical Image Segmentation","type":"paper-conference"},"uris":["http://www.mendeley.com/documents/?uuid=cf98ccb0-f1d9-4fe8-b6a3-6e9a94166ec7"]},{"id":"ITEM-2","itemData":{"DOI":"10.1109/TMI.2016.2535302","ISSN":"0278-0062","author":[{"dropping-particle":"","family":"Tajbakhsh","given":"N","non-dropping-particle":"","parse-names":false,"suffix":""},{"dropping-particle":"","family":"Shin","given":"J Y","non-dropping-particle":"","parse-names":false,"suffix":""},{"dropping-particle":"","family":"Gurudu","given":"S R","non-dropping-particle":"","parse-names":false,"suffix":""},{"dropping-particle":"","family":"Hurst","given":"R T","non-dropping-particle":"","parse-names":false,"suffix":""},{"dropping-particle":"","family":"Kendall","given":"C B","non-dropping-particle":"","parse-names":false,"suffix":""},{"dropping-particle":"","family":"Gotway","given":"M B","non-dropping-particle":"","parse-names":false,"suffix":""},{"dropping-particle":"","family":"Liang","given":"J","non-dropping-particle":"","parse-names":false,"suffix":""}],"container-title":"IEEE Transactions on Medical Imaging","id":"ITEM-2","issue":"5","issued":{"date-parts":[["2016","5"]]},"page":"1299-1312","title":"Convolutional Neural Networks for Medical Image Analysis: Full Training or Fine Tuning?","type":"article-journal","volume":"35"},"uris":["http://www.mendeley.com/documents/?uuid=c64876b4-48ab-46e8-9105-85ebf700feaf"]},{"id":"ITEM-3","itemData":{"DOI":"10.1016/J.NEUCOM.2017.05.025","ISSN":"0925-2312","abstract":"With a widespread use of digital imaging data in hospitals, the size of medical image repositories is increasing rapidly. This causes difficulty in managing and querying these large databases leading to the need of content based medical image retrieval (CBMIR) systems. A major challenge in CBMIR systems is the semantic gap that exists between the low level visual information captured by imaging devices and high level semantic information perceived by human. The efficacy of such systems is more crucial in terms of feature representations that can characterize the high-level information completely. In this paper, we propose a framework of deep learning for CBMIR system by using deep convolutional neural network (CNN) that is trained for classification of medical images. An intermodal dataset that contains twenty-four classes and five modalities is used to train the network. The learned features and the classification results are used to retrieve medical images. For retrieval, best results are achieved when class based predictions are used. An average classification accuracy of 99.77% and a mean average precision of 0.69 is achieved for retrieval task. The proposed method is best suited to retrieve multimodal medical images for different body organs.","author":[{"dropping-particle":"","family":"Qayyum","given":"Adnan","non-dropping-particle":"","parse-names":false,"suffix":""},{"dropping-particle":"","family":"Anwar","given":"Syed Muhammad","non-dropping-particle":"","parse-names":false,"suffix":""},{"dropping-particle":"","family":"Awais","given":"Muhammad","non-dropping-particle":"","parse-names":false,"suffix":""},{"dropping-particle":"","family":"Majid","given":"Muhammad","non-dropping-particle":"","parse-names":false,"suffix":""}],"container-title":"Neurocomputing","id":"ITEM-3","issued":{"date-parts":[["2017","11","29"]]},"page":"8-20","publisher":"Elsevier","title":"Medical image retrieval using deep convolutional neural network","type":"article-journal","volume":"266"},"uris":["http://www.mendeley.com/documents/?uuid=380675a9-405e-38d4-9549-279e87fbfce4"]}],"mendeley":{"formattedCitation":"(Qayyum et al., 2017; Ronneberger et al., 2015; Tajbakhsh et al., 2016)","manualFormatting":"(e.g., Ronneberger et al., 2015; Tajbakhsh et al., 2016; Qayyum et al., 2017)","plainTextFormattedCitation":"(Qayyum et al., 2017; Ronneberger et al., 2015; Tajbakhsh et al., 2016)","previouslyFormattedCitation":"(Qayyum et al., 2017; Ronneberger et al., 2015; Tajbakhsh et al., 2016)"},"properties":{"noteIndex":0},"schema":"https://github.com/citation-style-language/schema/raw/master/csl-citation.json"}</w:instrText>
      </w:r>
      <w:r>
        <w:fldChar w:fldCharType="separate"/>
      </w:r>
      <w:r w:rsidRPr="00894D00">
        <w:rPr>
          <w:noProof/>
        </w:rPr>
        <w:t>(</w:t>
      </w:r>
      <w:r>
        <w:rPr>
          <w:noProof/>
        </w:rPr>
        <w:t xml:space="preserve">e.g., </w:t>
      </w:r>
      <w:r w:rsidRPr="00894D00">
        <w:rPr>
          <w:noProof/>
        </w:rPr>
        <w:t>Ronneberger et al., 2015; Tajbakhsh et al., 2016</w:t>
      </w:r>
      <w:r>
        <w:rPr>
          <w:noProof/>
        </w:rPr>
        <w:t>;</w:t>
      </w:r>
      <w:r w:rsidRPr="003F4595">
        <w:rPr>
          <w:noProof/>
        </w:rPr>
        <w:t xml:space="preserve"> </w:t>
      </w:r>
      <w:r>
        <w:rPr>
          <w:noProof/>
        </w:rPr>
        <w:t>Qayyum et al., 2017</w:t>
      </w:r>
      <w:r w:rsidRPr="00894D00">
        <w:rPr>
          <w:noProof/>
        </w:rPr>
        <w:t>)</w:t>
      </w:r>
      <w:r>
        <w:fldChar w:fldCharType="end"/>
      </w:r>
      <w:r>
        <w:t xml:space="preserve">, speech recognition </w:t>
      </w:r>
      <w:r>
        <w:fldChar w:fldCharType="begin" w:fldLock="1"/>
      </w:r>
      <w:r>
        <w:instrText>ADDIN CSL_CITATION {"citationItems":[{"id":"ITEM-1","itemData":{"DOI":"10.1016/J.NEUNET.2005.06.042","ISSN":"0893-6080","abstract":"In this paper, we present bidirectional Long Short Term Memory (LSTM) networks, and a modified, full gradient version of the LSTM learning algorithm. We evaluate Bidirectional LSTM (BLSTM) and several other network architectures on the benchmark task of framewise phoneme classification, using the TIMIT database. Our main findings are that bidirectional networks outperform unidirectional ones, and Long Short Term Memory (LSTM) is much faster and also more accurate than both standard Recurrent Neural Nets (RNNs) and time-windowed Multilayer Perceptrons (MLPs). Our results support the view that contextual information is crucial to speech processing, and suggest that BLSTM is an effective architecture with which to exploit it.11An abbreviated version of some portions of this article appeared in (Graves and Schmidhuber, 2005), as part of the IJCNN 2005 conference proceedings, published under the IEEE copyright.","author":[{"dropping-particle":"","family":"Graves","given":"Alex","non-dropping-particle":"","parse-names":false,"suffix":""},{"dropping-particle":"","family":"Schmidhuber","given":"Jürgen","non-dropping-particle":"","parse-names":false,"suffix":""}],"container-title":"Neural Networks","id":"ITEM-1","issue":"5-6","issued":{"date-parts":[["2005","7","1"]]},"page":"602-610","publisher":"Pergamon","title":"Framewise phoneme classification with bidirectional LSTM and other neural network architectures","type":"article-journal","volume":"18"},"uris":["http://www.mendeley.com/documents/?uuid=fd3057f9-5876-320c-a520-f9a30a257b22"]},{"id":"ITEM-2","itemData":{"DOI":"10.1109/ASRU.2013.6707742","ISBN":"978-1-4799-2756-2","author":[{"dropping-particle":"","family":"Graves","given":"Alex","non-dropping-particle":"","parse-names":false,"suffix":""},{"dropping-particle":"","family":"Jaitly","given":"Navdeep","non-dropping-particle":"","parse-names":false,"suffix":""},{"dropping-particle":"","family":"Mohamed","given":"Abdel-rahman","non-dropping-particle":"","parse-names":false,"suffix":""}],"container-title":"2013 IEEE Workshop on Automatic Speech Recognition and Understanding","id":"ITEM-2","issued":{"date-parts":[["2013","12"]]},"page":"273-278","publisher":"IEEE","title":"Hybrid speech recognition with Deep Bidirectional LSTM","type":"paper-conference"},"uris":["http://www.mendeley.com/documents/?uuid=91b07db8-6e4f-3cfa-a28f-7a4f7926dc2e"]}],"mendeley":{"formattedCitation":"(Graves et al., 2013; Graves &amp; Schmidhuber, 2005)","manualFormatting":"(e.g., Graves &amp; Schmidhuber, 2005; Graves et al., 2013)","plainTextFormattedCitation":"(Graves et al., 2013; Graves &amp; Schmidhuber, 2005)","previouslyFormattedCitation":"(Graves et al., 2013; Graves &amp; Schmidhuber, 2005)"},"properties":{"noteIndex":0},"schema":"https://github.com/citation-style-language/schema/raw/master/csl-citation.json"}</w:instrText>
      </w:r>
      <w:r>
        <w:fldChar w:fldCharType="separate"/>
      </w:r>
      <w:r w:rsidRPr="00442B26">
        <w:rPr>
          <w:noProof/>
        </w:rPr>
        <w:t>(</w:t>
      </w:r>
      <w:r>
        <w:rPr>
          <w:noProof/>
        </w:rPr>
        <w:t>e.g.,</w:t>
      </w:r>
      <w:r w:rsidRPr="003F4595">
        <w:rPr>
          <w:noProof/>
        </w:rPr>
        <w:t xml:space="preserve"> </w:t>
      </w:r>
      <w:r w:rsidRPr="00442B26">
        <w:rPr>
          <w:noProof/>
        </w:rPr>
        <w:t>Graves &amp; Schmidhuber, 2005</w:t>
      </w:r>
      <w:r>
        <w:rPr>
          <w:noProof/>
        </w:rPr>
        <w:t xml:space="preserve">; </w:t>
      </w:r>
      <w:r w:rsidRPr="00442B26">
        <w:rPr>
          <w:noProof/>
        </w:rPr>
        <w:t>Graves et al., 2013)</w:t>
      </w:r>
      <w:r>
        <w:fldChar w:fldCharType="end"/>
      </w:r>
      <w:r>
        <w:t xml:space="preserve">, and etc. Among them, as observed by </w:t>
      </w:r>
      <w:r>
        <w:fldChar w:fldCharType="begin" w:fldLock="1"/>
      </w:r>
      <w:r>
        <w:instrText>ADDIN CSL_CITATION {"citationItems":[{"id":"ITEM-1","itemData":{"DOI":"10.1038/nature14539","ISSN":"0028-0836","abstract":"Deep learning","author":[{"dropping-particle":"","family":"LeCun","given":"Yann","non-dropping-particle":"","parse-names":false,"suffix":""},{"dropping-particle":"","family":"Bengio","given":"Yoshua","non-dropping-particle":"","parse-names":false,"suffix":""},{"dropping-particle":"","family":"Hinton","given":"Geoffrey","non-dropping-particle":"","parse-names":false,"suffix":""}],"container-title":"Nature","id":"ITEM-1","issue":"7553","issued":{"date-parts":[["2015","5","28"]]},"page":"436-444","publisher":"Nature Publishing Group","title":"Deep learning","type":"article-journal","volume":"521"},"uris":["http://www.mendeley.com/documents/?uuid=0649e55b-84c4-3d3a-a37b-adcdaa740493"]}],"mendeley":{"formattedCitation":"(LeCun et al., 2015)","manualFormatting":"LeCun et al. (2015)","plainTextFormattedCitation":"(LeCun et al., 2015)","previouslyFormattedCitation":"(LeCun et al., 2015)"},"properties":{"noteIndex":0},"schema":"https://github.com/citation-style-language/schema/raw/master/csl-citation.json"}</w:instrText>
      </w:r>
      <w:r>
        <w:fldChar w:fldCharType="separate"/>
      </w:r>
      <w:r w:rsidRPr="006B596B">
        <w:rPr>
          <w:noProof/>
        </w:rPr>
        <w:t xml:space="preserve">LeCun et al. </w:t>
      </w:r>
      <w:r>
        <w:rPr>
          <w:noProof/>
        </w:rPr>
        <w:t>(</w:t>
      </w:r>
      <w:r w:rsidRPr="006B596B">
        <w:rPr>
          <w:noProof/>
        </w:rPr>
        <w:t>2015)</w:t>
      </w:r>
      <w:r>
        <w:fldChar w:fldCharType="end"/>
      </w:r>
      <w:r>
        <w:t xml:space="preserve">, the work of </w:t>
      </w:r>
      <w:r>
        <w:fldChar w:fldCharType="begin" w:fldLock="1"/>
      </w:r>
      <w:r>
        <w:instrText>ADDIN CSL_CITATION {"citationItems":[{"id":"ITEM-1","itemData":{"author":[{"dropping-particle":"","family":"Krizhevsky","given":"Alex","non-dropping-particle":"","parse-names":false,"suffix":""},{"dropping-particle":"","family":"Sutskever","given":"Ilya","non-dropping-particle":"","parse-names":false,"suffix":""},{"dropping-particle":"","family":"Hinton","given":"Geoffrey E","non-dropping-particle":"","parse-names":false,"suffix":""}],"collection-title":"NIPS'12","container-title":"Proceedings of the 25th International Conference on Neural Information Processing Systems - Volume 1","id":"ITEM-1","issued":{"date-parts":[["2012"]]},"page":"1097-1105","publisher":"Curran Associates Inc.","publisher-place":"USA","title":"ImageNet Classification with Deep Convolutional Neural Networks","type":"paper-conference"},"uris":["http://www.mendeley.com/documents/?uuid=d1bdbb5f-bb6d-464f-b23e-e9ad964cafa2"]}],"mendeley":{"formattedCitation":"(Krizhevsky et al., 2012)","manualFormatting":"Krizhevsky et al. (2012)","plainTextFormattedCitation":"(Krizhevsky et al., 2012)","previouslyFormattedCitation":"(Krizhevsky et al., 2012)"},"properties":{"noteIndex":0},"schema":"https://github.com/citation-style-language/schema/raw/master/csl-citation.json"}</w:instrText>
      </w:r>
      <w:r>
        <w:fldChar w:fldCharType="separate"/>
      </w:r>
      <w:r w:rsidRPr="006B596B">
        <w:rPr>
          <w:noProof/>
        </w:rPr>
        <w:t xml:space="preserve">Krizhevsky et al. </w:t>
      </w:r>
      <w:r>
        <w:rPr>
          <w:noProof/>
        </w:rPr>
        <w:t>(</w:t>
      </w:r>
      <w:r w:rsidRPr="006B596B">
        <w:rPr>
          <w:noProof/>
        </w:rPr>
        <w:t>2012)</w:t>
      </w:r>
      <w:r>
        <w:fldChar w:fldCharType="end"/>
      </w:r>
      <w:r>
        <w:t xml:space="preserve"> was the breakthrough responsive for</w:t>
      </w:r>
      <w:r w:rsidRPr="00F1014E">
        <w:t xml:space="preserve"> the rapid adoption of deep learning </w:t>
      </w:r>
      <w:r>
        <w:t>by the computer vision and others communities.</w:t>
      </w:r>
    </w:p>
    <w:p w14:paraId="48763455" w14:textId="77777777" w:rsidR="001D724A" w:rsidRDefault="001D724A" w:rsidP="001D724A">
      <w:pPr>
        <w:pStyle w:val="Text"/>
        <w:spacing w:line="480" w:lineRule="auto"/>
        <w:ind w:firstLine="0"/>
      </w:pPr>
      <w:r>
        <w:t xml:space="preserve">Meanwhile, the application of ML also has gained momentum in the space weather community. An early use of artificial neural networks to predict the flux of energetic electrons at geosynchronous (GEO) orbit was presented by </w:t>
      </w:r>
      <w:r>
        <w:fldChar w:fldCharType="begin" w:fldLock="1"/>
      </w:r>
      <w:r>
        <w:instrText>ADDIN CSL_CITATION {"citationItems":[{"id":"ITEM-1","itemData":{"DOI":"10.1029/GM097p0291","author":[{"dropping-particle":"","family":"Stringer","given":"G. A.","non-dropping-particle":"","parse-names":false,"suffix":""},{"dropping-particle":"","family":"Heuten","given":"I.","non-dropping-particle":"","parse-names":false,"suffix":""},{"dropping-particle":"","family":"Salazar","given":"C.","non-dropping-particle":"","parse-names":false,"suffix":""},{"dropping-particle":"","family":"Stokes","given":"B.","non-dropping-particle":"","parse-names":false,"suffix":""}],"id":"ITEM-1","issued":{"date-parts":[["1996","3","20"]]},"page":"291-295","publisher":"American Geophysical Union (AGU)","title":"Artificial Neural Network (ANN) Forecasting of Energetic Electrons at Geosynchronous Orbit","type":"chapter"},"uris":["http://www.mendeley.com/documents/?uuid=fbfa3d18-09c8-349f-8ee4-1014d1ef83aa"]}],"mendeley":{"formattedCitation":"(Stringer et al., 1996)","manualFormatting":"Stringer et al. (1996)","plainTextFormattedCitation":"(Stringer et al., 1996)","previouslyFormattedCitation":"(Stringer et al., 1996)"},"properties":{"noteIndex":0},"schema":"https://github.com/citation-style-language/schema/raw/master/csl-citation.json"}</w:instrText>
      </w:r>
      <w:r>
        <w:fldChar w:fldCharType="separate"/>
      </w:r>
      <w:r w:rsidRPr="009B467A">
        <w:rPr>
          <w:noProof/>
        </w:rPr>
        <w:t xml:space="preserve">Stringer et al. </w:t>
      </w:r>
      <w:r>
        <w:rPr>
          <w:noProof/>
        </w:rPr>
        <w:t>(</w:t>
      </w:r>
      <w:r w:rsidRPr="009B467A">
        <w:rPr>
          <w:noProof/>
        </w:rPr>
        <w:t>1996)</w:t>
      </w:r>
      <w:r>
        <w:fldChar w:fldCharType="end"/>
      </w:r>
      <w:r>
        <w:t xml:space="preserve"> in which GOES-7 data were used to make one-hour nowcasts of hourly-averaged fluxes of electrons at energies of 3-5 MeV. Later, </w:t>
      </w:r>
      <w:r>
        <w:fldChar w:fldCharType="begin" w:fldLock="1"/>
      </w:r>
      <w:r>
        <w:instrText>ADDIN CSL_CITATION {"citationItems":[{"id":"ITEM-1","itemData":{"DOI":"10.1029/2004GL019616","ISSN":"00948276","author":[{"dropping-particle":"","family":"Ukhorskiy","given":"A. Y.","non-dropping-particle":"","parse-names":false,"suffix":""},{"dropping-particle":"","family":"Sitnov","given":"M. I.","non-dropping-particle":"","parse-names":false,"suffix":""},{"dropping-particle":"","family":"Sharma","given":"A. S.","non-dropping-particle":"","parse-names":false,"suffix":""},{"dropping-particle":"","family":"Anderson","given":"B. J.","non-dropping-particle":"","parse-names":false,"suffix":""},{"dropping-particle":"","family":"Ohtani","given":"S.","non-dropping-particle":"","parse-names":false,"suffix":""},{"dropping-particle":"","family":"Lui","given":"A. T. Y.","non-dropping-particle":"","parse-names":false,"suffix":""}],"container-title":"Geophysical Research Letters","id":"ITEM-1","issue":"9","issued":{"date-parts":[["2004","5","16"]]},"page":"L09806","publisher":"John Wiley &amp; Sons, Ltd","title":"Data-derived forecasting model for relativistic electron intensity at geosynchronous orbit","type":"article-journal","volume":"31"},"uris":["http://www.mendeley.com/documents/?uuid=47bf5bd6-af57-372a-ba06-18bb6ac41ed8"]}],"mendeley":{"formattedCitation":"(Ukhorskiy et al., 2004)","manualFormatting":"Ukhorskiy et al. (2004)","plainTextFormattedCitation":"(Ukhorskiy et al., 2004)","previouslyFormattedCitation":"(Ukhorskiy et al., 2004)"},"properties":{"noteIndex":0},"schema":"https://github.com/citation-style-language/schema/raw/master/csl-citation.json"}</w:instrText>
      </w:r>
      <w:r>
        <w:fldChar w:fldCharType="separate"/>
      </w:r>
      <w:r w:rsidRPr="00AF1240">
        <w:rPr>
          <w:noProof/>
        </w:rPr>
        <w:t xml:space="preserve">Ukhorskiy et al. </w:t>
      </w:r>
      <w:r>
        <w:rPr>
          <w:noProof/>
        </w:rPr>
        <w:t>(</w:t>
      </w:r>
      <w:r w:rsidRPr="00AF1240">
        <w:rPr>
          <w:noProof/>
        </w:rPr>
        <w:t>2004)</w:t>
      </w:r>
      <w:r>
        <w:fldChar w:fldCharType="end"/>
      </w:r>
      <w:r>
        <w:t xml:space="preserve"> and </w:t>
      </w:r>
      <w:r>
        <w:fldChar w:fldCharType="begin" w:fldLock="1"/>
      </w:r>
      <w:r>
        <w:instrText>ADDIN CSL_CITATION {"citationItems":[{"id":"ITEM-1","itemData":{"DOI":"10.1007/s10015-011-0957-1","ISSN":"1433-5298","author":[{"dropping-particle":"","family":"Kitamura","given":"K.","non-dropping-particle":"","parse-names":false,"suffix":""},{"dropping-particle":"","family":"Nakamura","given":"Y.","non-dropping-particle":"","parse-names":false,"suffix":""},{"dropping-particle":"","family":"Tokumitsu","given":"M.","non-dropping-particle":"","parse-names":false,"suffix":""},{"dropping-particle":"","family":"Ishida","given":"Y.","non-dropping-particle":"","parse-names":false,"suffix":""},{"dropping-particle":"","family":"Watari","given":"S.","non-dropping-particle":"","parse-names":false,"suffix":""}],"container-title":"Artificial Life and Robotics","id":"ITEM-1","issue":"3","issued":{"date-parts":[["2011","12","2"]]},"page":"389-392","publisher":"Springer Japan","title":"Prediction of the electron flux environment in geosynchronous orbit using a neural network technique","type":"article-journal","volume":"16"},"uris":["http://www.mendeley.com/documents/?uuid=07f713c5-3940-39c3-8488-26d14edba999"]}],"mendeley":{"formattedCitation":"(Kitamura et al., 2011)","manualFormatting":"Kitamura et al. (2011)","plainTextFormattedCitation":"(Kitamura et al., 2011)","previouslyFormattedCitation":"(Kitamura et al., 2011)"},"properties":{"noteIndex":0},"schema":"https://github.com/citation-style-language/schema/raw/master/csl-citation.json"}</w:instrText>
      </w:r>
      <w:r>
        <w:fldChar w:fldCharType="separate"/>
      </w:r>
      <w:r w:rsidRPr="00AF1240">
        <w:rPr>
          <w:noProof/>
        </w:rPr>
        <w:t xml:space="preserve">Kitamura et al. </w:t>
      </w:r>
      <w:r>
        <w:rPr>
          <w:noProof/>
        </w:rPr>
        <w:t>(</w:t>
      </w:r>
      <w:r w:rsidRPr="00AF1240">
        <w:rPr>
          <w:noProof/>
        </w:rPr>
        <w:t>2011)</w:t>
      </w:r>
      <w:r>
        <w:fldChar w:fldCharType="end"/>
      </w:r>
      <w:r>
        <w:t xml:space="preserve"> used artificial neural networks to develop one-day forecasts of daily averaged electron fluxes at GEO. More recently, </w:t>
      </w:r>
      <w:r>
        <w:fldChar w:fldCharType="begin" w:fldLock="1"/>
      </w:r>
      <w:r>
        <w:instrText>ADDIN CSL_CITATION {"citationItems":[{"id":"ITEM-1","itemData":{"DOI":"10.1002/2015SW001359","ISSN":"15427390","author":[{"dropping-particle":"","family":"Shin","given":"Dae-Kyu","non-dropping-particle":"","parse-names":false,"suffix":""},{"dropping-particle":"","family":"Lee","given":"Dae-Young","non-dropping-particle":"","parse-names":false,"suffix":""},{"dropping-particle":"","family":"Kim","given":"Kyung-Chan","non-dropping-particle":"","parse-names":false,"suffix":""},{"dropping-particle":"","family":"Hwang","given":"Junga","non-dropping-particle":"","parse-names":false,"suffix":""},{"dropping-particle":"","family":"Kim","given":"Jaehun","non-dropping-particle":"","parse-names":false,"suffix":""}],"container-title":"Space Weather","id":"ITEM-1","issue":"4","issued":{"date-parts":[["2016","4","1"]]},"page":"313-321","publisher":"John Wiley &amp; Sons, Ltd","title":"Artificial neural network prediction model for geosynchronous electron fluxes: Dependence on satellite position and particle energy","type":"article-journal","volume":"14"},"uris":["http://www.mendeley.com/documents/?uuid=458346fa-6d9c-356d-a35d-4db08148e0cc"]}],"mendeley":{"formattedCitation":"(Shin et al., 2016)","manualFormatting":"Shin et al. (2016)","plainTextFormattedCitation":"(Shin et al., 2016)","previouslyFormattedCitation":"(Shin et al., 2016)"},"properties":{"noteIndex":0},"schema":"https://github.com/citation-style-language/schema/raw/master/csl-citation.json"}</w:instrText>
      </w:r>
      <w:r>
        <w:fldChar w:fldCharType="separate"/>
      </w:r>
      <w:r w:rsidRPr="00592DC8">
        <w:rPr>
          <w:noProof/>
        </w:rPr>
        <w:t xml:space="preserve">Shin et al. </w:t>
      </w:r>
      <w:r>
        <w:rPr>
          <w:noProof/>
        </w:rPr>
        <w:t>(</w:t>
      </w:r>
      <w:r w:rsidRPr="00592DC8">
        <w:rPr>
          <w:noProof/>
        </w:rPr>
        <w:t>2016)</w:t>
      </w:r>
      <w:r>
        <w:fldChar w:fldCharType="end"/>
      </w:r>
      <w:r>
        <w:t xml:space="preserve"> used a</w:t>
      </w:r>
      <w:r w:rsidRPr="00592DC8">
        <w:t xml:space="preserve"> neural network scheme </w:t>
      </w:r>
      <w:r>
        <w:t xml:space="preserve">with </w:t>
      </w:r>
      <w:r w:rsidRPr="00592DC8">
        <w:t xml:space="preserve">solar wind </w:t>
      </w:r>
      <w:r>
        <w:t xml:space="preserve">inputs </w:t>
      </w:r>
      <w:r w:rsidRPr="00592DC8">
        <w:t>to predict GEO electrons</w:t>
      </w:r>
      <w:r>
        <w:t xml:space="preserve"> over a wide energy range and different time resolutions. </w:t>
      </w:r>
      <w:r>
        <w:fldChar w:fldCharType="begin" w:fldLock="1"/>
      </w:r>
      <w:r>
        <w:instrText>ADDIN CSL_CITATION {"citationItems":[{"id":"ITEM-1","itemData":{"DOI":"10.1029/2018SW001829","ISSN":"15427390","author":[{"dropping-particle":"","family":"Wei","given":"Lihang","non-dropping-particle":"","parse-names":false,"suffix":""},{"dropping-particle":"","family":"Zhong","given":"Qiuzhen","non-dropping-particle":"","parse-names":false,"suffix":""},{"dropping-particle":"","family":"Lin","given":"Ruilin","non-dropping-particle":"","parse-names":false,"suffix":""},{"dropping-particle":"","family":"Wang","given":"Jingjing","non-dropping-particle":"","parse-names":false,"suffix":""},{"dropping-particle":"","family":"Liu","given":"Siqing","non-dropping-particle":"","parse-names":false,"suffix":""},{"dropping-particle":"","family":"Cao","given":"Yong","non-dropping-particle":"","parse-names":false,"suffix":""}],"container-title":"Space Weather","id":"ITEM-1","issue":"7","issued":{"date-parts":[["2018","7","1"]]},"page":"903-916","publisher":"John Wiley &amp; Sons, Ltd","title":"Quantitative Prediction of High-Energy Electron Integral Flux at Geostationary Orbit Based on Deep Learning","type":"article-journal","volume":"16"},"uris":["http://www.mendeley.com/documents/?uuid=d7c46c97-a5ff-3f91-900e-667df698fecf"]}],"mendeley":{"formattedCitation":"(Wei et al., 2018)","manualFormatting":"Wei et al. (2018)","plainTextFormattedCitation":"(Wei et al., 2018)","previouslyFormattedCitation":"(Wei et al., 2018)"},"properties":{"noteIndex":0},"schema":"https://github.com/citation-style-language/schema/raw/master/csl-citation.json"}</w:instrText>
      </w:r>
      <w:r>
        <w:fldChar w:fldCharType="separate"/>
      </w:r>
      <w:r>
        <w:rPr>
          <w:noProof/>
        </w:rPr>
        <w:t>Wei et al.</w:t>
      </w:r>
      <w:r w:rsidRPr="00576A97">
        <w:rPr>
          <w:noProof/>
        </w:rPr>
        <w:t xml:space="preserve"> </w:t>
      </w:r>
      <w:r>
        <w:rPr>
          <w:noProof/>
        </w:rPr>
        <w:t>(</w:t>
      </w:r>
      <w:r w:rsidRPr="00576A97">
        <w:rPr>
          <w:noProof/>
        </w:rPr>
        <w:t>2018)</w:t>
      </w:r>
      <w:r>
        <w:fldChar w:fldCharType="end"/>
      </w:r>
      <w:r>
        <w:t xml:space="preserve"> also successfully improved the one-day forecasts of &gt;2 MeV electron fluxes at GEO by applying deep learning algorithms.  For a review,  </w:t>
      </w:r>
      <w:r>
        <w:fldChar w:fldCharType="begin" w:fldLock="1"/>
      </w:r>
      <w:r>
        <w:instrText>ADDIN CSL_CITATION {"citationItems":[{"id":"ITEM-1","itemData":{"DOI":"10.1029/2018SW002061","ISSN":"1542-7390","author":[{"dropping-particle":"","family":"Camporeale","given":"E.","non-dropping-particle":"","parse-names":false,"suffix":""}],"container-title":"Space Weather","id":"ITEM-1","issued":{"date-parts":[["2019","8","9"]]},"page":"2018SW002061","publisher":"John Wiley &amp; Sons, Ltd","title":"The Challenge of Machine Learning in Space Weather: Nowcasting and Forecasting","type":"article-journal"},"uris":["http://www.mendeley.com/documents/?uuid=7b110464-c60e-38a8-be53-106c4b7845a9"]}],"mendeley":{"formattedCitation":"(Camporeale, 2019)","manualFormatting":"Camporeale (2019)","plainTextFormattedCitation":"(Camporeale, 2019)","previouslyFormattedCitation":"(Camporeale, 2019)"},"properties":{"noteIndex":0},"schema":"https://github.com/citation-style-language/schema/raw/master/csl-citation.json"}</w:instrText>
      </w:r>
      <w:r>
        <w:fldChar w:fldCharType="separate"/>
      </w:r>
      <w:r w:rsidRPr="007416CE">
        <w:rPr>
          <w:noProof/>
        </w:rPr>
        <w:t xml:space="preserve">Camporeale </w:t>
      </w:r>
      <w:r>
        <w:rPr>
          <w:noProof/>
        </w:rPr>
        <w:t>(</w:t>
      </w:r>
      <w:r w:rsidRPr="007416CE">
        <w:rPr>
          <w:noProof/>
        </w:rPr>
        <w:t>2019)</w:t>
      </w:r>
      <w:r>
        <w:fldChar w:fldCharType="end"/>
      </w:r>
      <w:r>
        <w:t xml:space="preserve"> has summarized the recent progresses and opportunities of applying </w:t>
      </w:r>
      <w:r w:rsidRPr="007416CE">
        <w:t xml:space="preserve"> </w:t>
      </w:r>
      <w:r>
        <w:t xml:space="preserve">ML </w:t>
      </w:r>
      <w:r w:rsidRPr="007416CE">
        <w:t xml:space="preserve">for </w:t>
      </w:r>
      <w:r>
        <w:t xml:space="preserve">space weather forecasting problems, including predicting </w:t>
      </w:r>
      <w:r w:rsidRPr="007416CE">
        <w:t xml:space="preserve">geomagnetic indices, </w:t>
      </w:r>
      <w:r w:rsidRPr="007416CE">
        <w:lastRenderedPageBreak/>
        <w:t>relativistic electrons</w:t>
      </w:r>
      <w:r>
        <w:t xml:space="preserve">, solar flares occurrence, </w:t>
      </w:r>
      <w:r w:rsidRPr="007416CE">
        <w:t>coronal mass e</w:t>
      </w:r>
      <w:r>
        <w:t xml:space="preserve">jection propagation time, </w:t>
      </w:r>
      <w:r w:rsidRPr="007416CE">
        <w:t>solar wind speed</w:t>
      </w:r>
      <w:r>
        <w:t xml:space="preserve"> and etc.</w:t>
      </w:r>
    </w:p>
    <w:p w14:paraId="79C26A01" w14:textId="77777777" w:rsidR="001D724A" w:rsidRDefault="001D724A" w:rsidP="001D724A">
      <w:pPr>
        <w:pStyle w:val="Text"/>
        <w:spacing w:line="480" w:lineRule="auto"/>
        <w:ind w:firstLine="0"/>
      </w:pPr>
      <w:r>
        <w:t>The purpose of this work is to present how PreMevE has been upgraded with ML algorithms to make improved predictions of MeV electron flux distributions. With no requirement of in-situ MeV electron measurements except for at GEO, this unique model has shown its great potential of meeting the predictive requirements for outer-belt electrons during the post-RBSP era. Section 2 briefly describes the data and parameters used for this study, and the selected ML algorithms and their implementations are explained in Section 3. Section 4 compares and summarizes the prediction performance of different models, followed by detailed discussions in Section 5. This work is concluded by Section 6 with a summary of our findings and possible future directions.</w:t>
      </w:r>
    </w:p>
    <w:p w14:paraId="3269B35B" w14:textId="77777777" w:rsidR="009E29A4" w:rsidRDefault="009E29A4" w:rsidP="001D724A">
      <w:pPr>
        <w:pStyle w:val="Text"/>
        <w:spacing w:line="480" w:lineRule="auto"/>
        <w:ind w:firstLine="0"/>
      </w:pPr>
    </w:p>
    <w:p w14:paraId="1C1281CD" w14:textId="77777777" w:rsidR="001D724A" w:rsidRPr="00E56D55" w:rsidRDefault="001D724A" w:rsidP="009E29A4">
      <w:pPr>
        <w:pStyle w:val="Heading2"/>
      </w:pPr>
      <w:bookmarkStart w:id="293" w:name="_Toc26534650"/>
      <w:r w:rsidRPr="00E56D55">
        <w:t>2. Data and Input Parameters</w:t>
      </w:r>
      <w:bookmarkEnd w:id="293"/>
    </w:p>
    <w:p w14:paraId="0D0A63DA" w14:textId="77777777" w:rsidR="001D724A" w:rsidRDefault="001D724A" w:rsidP="001D724A">
      <w:pPr>
        <w:pStyle w:val="Text"/>
        <w:spacing w:line="480" w:lineRule="auto"/>
        <w:ind w:firstLine="0"/>
      </w:pPr>
      <w:r>
        <w:t xml:space="preserve">Electron data used in this work include observations made by particle instruments aboard a RBSP spacecraft, one Los Alamos National Laboratory (LANL) GEO satellite, and one NOAA Polar Operational Environmental Satellite (POES) in </w:t>
      </w:r>
      <w:r w:rsidRPr="00982D1E">
        <w:t>a period ranging from February 2013 to August 2016</w:t>
      </w:r>
      <w:r>
        <w:t xml:space="preserve">, as shown in </w:t>
      </w:r>
      <w:r w:rsidR="00857B42">
        <w:fldChar w:fldCharType="begin"/>
      </w:r>
      <w:r w:rsidR="00857B42">
        <w:instrText xml:space="preserve"> REF _Ref23751092 \h </w:instrText>
      </w:r>
      <w:r w:rsidR="00857B42">
        <w:fldChar w:fldCharType="separate"/>
      </w:r>
      <w:r w:rsidR="00857B42" w:rsidRPr="00E219C7">
        <w:rPr>
          <w:bCs/>
          <w:iCs/>
        </w:rPr>
        <w:t xml:space="preserve">Figure </w:t>
      </w:r>
      <w:r w:rsidR="00857B42">
        <w:rPr>
          <w:bCs/>
          <w:iCs/>
          <w:noProof/>
        </w:rPr>
        <w:t>24</w:t>
      </w:r>
      <w:r w:rsidR="00857B42">
        <w:fldChar w:fldCharType="end"/>
      </w:r>
      <w:r w:rsidRPr="00507285">
        <w:t xml:space="preserve">. </w:t>
      </w:r>
      <w:r>
        <w:t xml:space="preserve">Electron data used here are the same as in Chen et al. (2019) in which detailed descriptions of the original data and their preparation can be found, and here is a brief recap. First, trapped 1 MeV electrons across a range of L‐shells (L ≤ 6) are in situ measured by the Magnetic Electron Ion Spectrometer (MagEIS) instrument </w:t>
      </w:r>
      <w:r>
        <w:fldChar w:fldCharType="begin" w:fldLock="1"/>
      </w:r>
      <w:r>
        <w:instrText>ADDIN CSL_CITATION {"citationItems":[{"id":"ITEM-1","itemData":{"DOI":"10.1007/s11214-013-9991-8","ISSN":"0038-6308","author":[{"dropping-particle":"","family":"Blake","given":"J. B.","non-dropping-particle":"","parse-names":false,"suffix":""},{"dropping-particle":"","family":"Carranza","given":"P. A.","non-dropping-particle":"","parse-names":false,"suffix":""},{"dropping-particle":"","family":"Claudepierre","given":"S. G.","non-dropping-particle":"","parse-names":false,"suffix":""},{"dropping-particle":"","family":"Clemmons","given":"J. H.","non-dropping-particle":"","parse-names":false,"suffix":""},{"dropping-particle":"","family":"Crain","given":"W. R.","non-dropping-particle":"","parse-names":false,"suffix":""},{"dropping-particle":"","family":"Dotan","given":"Y.","non-dropping-particle":"","parse-names":false,"suffix":""},{"dropping-particle":"","family":"Fennell","given":"J. F.","non-dropping-particle":"","parse-names":false,"suffix":""},{"dropping-particle":"","family":"Fuentes","given":"F. H.","non-dropping-particle":"","parse-names":false,"suffix":""},{"dropping-particle":"","family":"Galvan","given":"R. M.","non-dropping-particle":"","parse-names":false,"suffix":""},{"dropping-particle":"","family":"George","given":"J. S.","non-dropping-particle":"","parse-names":false,"suffix":""},{"dropping-particle":"","family":"Henderson","given":"M. G.","non-dropping-particle":"","parse-names":false,"suffix":""},{"dropping-particle":"","family":"Lalic","given":"M.","non-dropping-particle":"","parse-names":false,"suffix":""},{"dropping-particle":"","family":"Lin","given":"A. Y.","non-dropping-particle":"","parse-names":false,"suffix":""},{"dropping-particle":"","family":"Looper","given":"M. D.","non-dropping-particle":"","parse-names":false,"suffix":""},{"dropping-particle":"","family":"Mabry","given":"D. J.","non-dropping-particle":"","parse-names":false,"suffix":""},{"dropping-particle":"","family":"Mazur","given":"J. E.","non-dropping-particle":"","parse-names":false,"suffix":""},{"dropping-particle":"","family":"McCarthy","given":"B.","non-dropping-particle":"","parse-names":false,"suffix":""},{"dropping-particle":"","family":"Nguyen","given":"C. Q.","non-dropping-particle":"","parse-names":false,"suffix":""},{"dropping-particle":"","family":"O’Brien","given":"T. P.","non-dropping-particle":"","parse-names":false,"suffix":""},{"dropping-particle":"","family":"Perez","given":"M. A.","non-dropping-particle":"","parse-names":false,"suffix":""},{"dropping-particle":"","family":"Redding","given":"M. T.","non-dropping-particle":"","parse-names":false,"suffix":""},{"dropping-particle":"","family":"Roeder","given":"J. L.","non-dropping-particle":"","parse-names":false,"suffix":""},{"dropping-particle":"","family":"Salvaggio","given":"D. J.","non-dropping-particle":"","parse-names":false,"suffix":""},{"dropping-particle":"","family":"Sorensen","given":"G. A.","non-dropping-particle":"","parse-names":false,"suffix":""},{"dropping-particle":"","family":"Spence","given":"H. E.","non-dropping-particle":"","parse-names":false,"suffix":""},{"dropping-particle":"","family":"Yi","given":"S.","non-dropping-particle":"","parse-names":false,"suffix":""},{"dropping-particle":"","family":"Zakrzewski","given":"M. P.","non-dropping-particle":"","parse-names":false,"suffix":""}],"container-title":"Space Science Reviews","id":"ITEM-1","issue":"1-4","issued":{"date-parts":[["2013","11","7"]]},"page":"383-421","publisher":"Springer Netherlands","title":"The Magnetic Electron Ion Spectrometer (MagEIS) Instruments Aboard the Radiation Belt Storm Probes (RBSP) Spacecraft","type":"article-journal","volume":"179"},"uris":["http://www.mendeley.com/documents/?uuid=bc45c695-d8d2-3486-a532-d16347e66c3a"]}],"mendeley":{"formattedCitation":"(Blake et al., 2013)","plainTextFormattedCitation":"(Blake et al., 2013)","previouslyFormattedCitation":"(Blake et al., 2013)"},"properties":{"noteIndex":0},"schema":"https://github.com/citation-style-language/schema/raw/master/csl-citation.json"}</w:instrText>
      </w:r>
      <w:r>
        <w:fldChar w:fldCharType="separate"/>
      </w:r>
      <w:r w:rsidRPr="007F7F20">
        <w:rPr>
          <w:noProof/>
        </w:rPr>
        <w:t>(Blake et al., 2013)</w:t>
      </w:r>
      <w:r>
        <w:fldChar w:fldCharType="end"/>
      </w:r>
      <w:r>
        <w:t xml:space="preserve"> on board RBSP-a, and the spin‐averaged fluxes are plotted in Panel A as a function of Lshell and time. Here we use McIlwain's L values </w:t>
      </w:r>
      <w:r>
        <w:fldChar w:fldCharType="begin" w:fldLock="1"/>
      </w:r>
      <w:r>
        <w:instrText>ADDIN CSL_CITATION {"citationItems":[{"id":"ITEM-1","itemData":{"DOI":"10.1007/BF00167327","ISSN":"0038-6308","author":[{"dropping-particle":"","family":"McIlwain","given":"Carl E.","non-dropping-particle":"","parse-names":false,"suffix":""}],"container-title":"Space Science Reviews","id":"ITEM-1","issue":"5","issued":{"date-parts":[["1966","8"]]},"page":"585-598","publisher":"Kluwer Academic Publishers","title":"Magnetic coordinates","type":"article-journal","volume":"5"},"uris":["http://www.mendeley.com/documents/?uuid=b00b4bf5-f318-3e58-a307-405c8ebe6e1a"]}],"mendeley":{"formattedCitation":"(McIlwain, 1966)","plainTextFormattedCitation":"(McIlwain, 1966)","previouslyFormattedCitation":"(McIlwain, 1966)"},"properties":{"noteIndex":0},"schema":"https://github.com/citation-style-language/schema/raw/master/csl-citation.json"}</w:instrText>
      </w:r>
      <w:r>
        <w:fldChar w:fldCharType="separate"/>
      </w:r>
      <w:r w:rsidRPr="007F7F20">
        <w:rPr>
          <w:noProof/>
        </w:rPr>
        <w:t>(McIlwain, 1966)</w:t>
      </w:r>
      <w:r>
        <w:fldChar w:fldCharType="end"/>
      </w:r>
      <w:r>
        <w:t xml:space="preserve"> calculated from the quiet Olson and Pfitzer magnetic field model </w:t>
      </w:r>
      <w:r>
        <w:fldChar w:fldCharType="begin" w:fldLock="1"/>
      </w:r>
      <w:r>
        <w:instrText>ADDIN CSL_CITATION {"citationItems":[{"id":"ITEM-1","itemData":{"author":[{"dropping-particle":"","family":"Olson","given":"W P","non-dropping-particle":"","parse-names":false,"suffix":""},{"dropping-particle":"","family":"Pfitzer","given":"K A","non-dropping-particle":"","parse-names":false,"suffix":""}],"id":"ITEM-1","issued":{"date-parts":[["1977"]]},"publisher-place":"Huntington Beach","title":"Magnetospheric magnetic field modeling. Annual scientific report","type":"report"},"uris":["http://www.mendeley.com/documents/?uuid=5d035cda-574e-4a6c-804d-d383be8d0687"]}],"mendeley":{"formattedCitation":"(Olson &amp; Pfitzer, 1977)","plainTextFormattedCitation":"(Olson &amp; Pfitzer, 1977)","previouslyFormattedCitation":"(Olson &amp; Pfitzer, 1977)"},"properties":{"noteIndex":0},"schema":"https://github.com/citation-style-language/schema/raw/master/csl-citation.json"}</w:instrText>
      </w:r>
      <w:r>
        <w:fldChar w:fldCharType="separate"/>
      </w:r>
      <w:r w:rsidRPr="007F7F20">
        <w:rPr>
          <w:noProof/>
        </w:rPr>
        <w:t>(Olson &amp; Pfitzer, 1977)</w:t>
      </w:r>
      <w:r>
        <w:fldChar w:fldCharType="end"/>
      </w:r>
      <w:r>
        <w:t xml:space="preserve"> together with the International Geomagnetic Reference Field model. At GEO,  we use observations from the Synchronous Orbit </w:t>
      </w:r>
      <w:r>
        <w:lastRenderedPageBreak/>
        <w:t xml:space="preserve">Particle Analyzer (SOPA; </w:t>
      </w:r>
      <w:r>
        <w:fldChar w:fldCharType="begin" w:fldLock="1"/>
      </w:r>
      <w:r>
        <w:instrText>ADDIN CSL_CITATION {"citationItems":[{"id":"ITEM-1","itemData":{"DOI":"10.1029/92JA01139","ISSN":"0148-0227","author":[{"dropping-particle":"","family":"Belian","given":"R. D.","non-dropping-particle":"","parse-names":false,"suffix":""},{"dropping-particle":"","family":"Gisler","given":"G. R.","non-dropping-particle":"","parse-names":false,"suffix":""},{"dropping-particle":"","family":"Cayton","given":"T.","non-dropping-particle":"","parse-names":false,"suffix":""},{"dropping-particle":"","family":"Christensen","given":"R.","non-dropping-particle":"","parse-names":false,"suffix":""}],"container-title":"Journal of Geophysical Research","id":"ITEM-1","issue":"A11","issued":{"date-parts":[["1992","11","1"]]},"page":"16897","publisher":"John Wiley &amp; Sons, Ltd","title":"High- &lt;i&gt;Z&lt;/i&gt; energetic particles at geosynchronous orbit during the Great Solar Proton Event Series of October 1989","type":"article-journal","volume":"97"},"uris":["http://www.mendeley.com/documents/?uuid=914ea8da-d2d9-38da-b951-826c1d97da89"]}],"mendeley":{"formattedCitation":"(Belian et al., 1992)","manualFormatting":"Belian et al., 1992)","plainTextFormattedCitation":"(Belian et al., 1992)","previouslyFormattedCitation":"(Belian et al., 1992)"},"properties":{"noteIndex":0},"schema":"https://github.com/citation-style-language/schema/raw/master/csl-citation.json"}</w:instrText>
      </w:r>
      <w:r>
        <w:fldChar w:fldCharType="separate"/>
      </w:r>
      <w:r w:rsidRPr="00064304">
        <w:rPr>
          <w:noProof/>
        </w:rPr>
        <w:t>Belian et al., 1992)</w:t>
      </w:r>
      <w:r>
        <w:fldChar w:fldCharType="end"/>
      </w:r>
      <w:r>
        <w:t xml:space="preserve"> instrument carried by the GEO satellite LANL‐01A. For simplicity, all GEO fluxes are put on the fixed L = 6.6 and plotted in the top of Panel A. Then, precipitating electrons are monitored by the Space Environment Monitor 2 (SEM2) instruments on board NOAA POES satellites in low-Earth-orbits (LEOs, </w:t>
      </w:r>
      <w:r>
        <w:fldChar w:fldCharType="begin" w:fldLock="1"/>
      </w:r>
      <w:r>
        <w:instrText>ADDIN CSL_CITATION {"citationItems":[{"id":"ITEM-1","itemData":{"author":[{"dropping-particle":"","family":"Evans","given":"Dain Stedman.","non-dropping-particle":"","parse-names":false,"suffix":""},{"dropping-particle":"","family":"Greer","given":"M S","non-dropping-particle":"","parse-names":false,"suffix":""},{"dropping-particle":"","family":"(U.S.)","given":"Space Environment Center","non-dropping-particle":"","parse-names":false,"suffix":""}],"id":"ITEM-1","issued":{"date-parts":[["2000"]]},"number-of-pages":"1 v. (various pagings) :","publisher":"U.S. Dept. of Commerce, National Oceanic and Atmospheric Administration, Oceanic and Atmospheric Research Laboratories, Space Environment Center","publisher-place":"Boulder, CO","title":"Polar orbiting environmental satellite space environment monitor-2: instrument description and archive data documentation","type":"book"},"uris":["http://www.mendeley.com/documents/?uuid=f2be3788-7efa-4f81-b779-955f2ddfe3b7"]}],"mendeley":{"formattedCitation":"(Evans et al., 2000)","manualFormatting":"Evans et al., 2000)","plainTextFormattedCitation":"(Evans et al., 2000)","previouslyFormattedCitation":"(Evans et al., 2000)"},"properties":{"noteIndex":0},"schema":"https://github.com/citation-style-language/schema/raw/master/csl-citation.json"}</w:instrText>
      </w:r>
      <w:r>
        <w:fldChar w:fldCharType="separate"/>
      </w:r>
      <w:r w:rsidRPr="00147414">
        <w:rPr>
          <w:noProof/>
        </w:rPr>
        <w:t>Evans et al., 2000)</w:t>
      </w:r>
      <w:r>
        <w:fldChar w:fldCharType="end"/>
      </w:r>
      <w:r>
        <w:t xml:space="preserve">, and the count rates from the 90° telescopes on NOAA‐15 are presented for three energy channels as in Panels B, C and D. Here L values for NOAA-15 are calculated from the International Geomagnetic Reference Field model. Additionally, upstream solar wind (SW) speeds in Panel E are downloaded from CDAweb site and added to models’ inputs. All RBSP-a, LANL‐01A, and POES‐15 electron fluxes as well as solar wind speeds in </w:t>
      </w:r>
      <w:r w:rsidR="00857B42">
        <w:fldChar w:fldCharType="begin"/>
      </w:r>
      <w:r w:rsidR="00857B42">
        <w:instrText xml:space="preserve"> REF _Ref23751092 \h </w:instrText>
      </w:r>
      <w:r w:rsidR="00857B42">
        <w:fldChar w:fldCharType="separate"/>
      </w:r>
      <w:r w:rsidR="00857B42" w:rsidRPr="00E219C7">
        <w:rPr>
          <w:bCs/>
          <w:iCs/>
        </w:rPr>
        <w:t xml:space="preserve">Figure </w:t>
      </w:r>
      <w:r w:rsidR="00857B42">
        <w:rPr>
          <w:bCs/>
          <w:iCs/>
          <w:noProof/>
        </w:rPr>
        <w:t>24</w:t>
      </w:r>
      <w:r w:rsidR="00857B42">
        <w:fldChar w:fldCharType="end"/>
      </w:r>
      <w:r>
        <w:t xml:space="preserve"> are binned by 5 hours to allow for RBSP's full coverage on the outer belt for each time bin. Lshell bin size for electrons is 0.1. </w:t>
      </w:r>
    </w:p>
    <w:p w14:paraId="62A55585" w14:textId="77777777" w:rsidR="001D724A" w:rsidRDefault="001D724A" w:rsidP="001D724A">
      <w:pPr>
        <w:pStyle w:val="Text"/>
        <w:spacing w:line="480" w:lineRule="auto"/>
        <w:ind w:firstLine="0"/>
      </w:pPr>
      <w:r>
        <w:t xml:space="preserve">Throughout this work, we refer to POES electron fluxes at </w:t>
      </w:r>
      <w:r w:rsidRPr="00990E9F">
        <w:t>&gt;</w:t>
      </w:r>
      <w:r>
        <w:t xml:space="preserve"> </w:t>
      </w:r>
      <w:r w:rsidRPr="00990E9F">
        <w:t>100 keV</w:t>
      </w:r>
      <w:r>
        <w:t>, &gt; 3</w:t>
      </w:r>
      <w:r w:rsidRPr="00990E9F">
        <w:t>00 keV</w:t>
      </w:r>
      <w:r>
        <w:t xml:space="preserve">, </w:t>
      </w:r>
      <w:r w:rsidRPr="00990E9F">
        <w:t>and &gt;</w:t>
      </w:r>
      <w:r>
        <w:t xml:space="preserve"> </w:t>
      </w:r>
      <w:r w:rsidRPr="00990E9F">
        <w:t>100</w:t>
      </w:r>
      <w:r>
        <w:t>0</w:t>
      </w:r>
      <w:r w:rsidRPr="00990E9F">
        <w:t xml:space="preserve"> keV</w:t>
      </w:r>
      <w:r>
        <w:t xml:space="preserve"> as E2, E3, and P6 respectively. Logarithmic values of E2, E3, and P6, along with standardized scaled values of SW speeds form the input data sets, or the predictors, being used to forecast the logarithm of 1 </w:t>
      </w:r>
      <w:r w:rsidRPr="00990E9F">
        <w:t>MeV</w:t>
      </w:r>
      <w:r>
        <w:t xml:space="preserve"> trapped electron fluxes, sometimes also referred to as “target”. The standardized of SW is done by subtracting the mean and dividing by the standard deviation (both the mean of 404.8 km/s and standard variation of 86.8 km/s are computed with the training set as defined in Section 4). Hereinafter, when we refer to 1 MeV target, E2, E3, and P6 fluxes, we are actually referring to their logarithmic values. Lshell coverage of this study is confined to 2.8 – 6 (the range of RBSP) and 6.6 (LANL GEO), while fluxes at other Lshells can be derived by interpolation or extrapolation (Chen et al., 2019).  </w:t>
      </w:r>
    </w:p>
    <w:p w14:paraId="7BCEB969" w14:textId="77777777" w:rsidR="009E29A4" w:rsidRPr="00B05CFC" w:rsidRDefault="009E29A4" w:rsidP="001D724A">
      <w:pPr>
        <w:pStyle w:val="Text"/>
        <w:spacing w:line="480" w:lineRule="auto"/>
        <w:ind w:firstLine="0"/>
      </w:pPr>
    </w:p>
    <w:p w14:paraId="44ABF924" w14:textId="77777777" w:rsidR="001D724A" w:rsidRPr="00E56D55" w:rsidRDefault="001D724A" w:rsidP="009E29A4">
      <w:pPr>
        <w:pStyle w:val="Heading2"/>
      </w:pPr>
      <w:bookmarkStart w:id="294" w:name="_Toc26534651"/>
      <w:r w:rsidRPr="00E56D55">
        <w:lastRenderedPageBreak/>
        <w:t>3. Supervised Learning Algorithms</w:t>
      </w:r>
      <w:bookmarkEnd w:id="294"/>
      <w:r w:rsidRPr="00E56D55">
        <w:t xml:space="preserve"> </w:t>
      </w:r>
    </w:p>
    <w:p w14:paraId="1481A7A2" w14:textId="77777777" w:rsidR="001D724A" w:rsidRDefault="001D724A" w:rsidP="001D724A">
      <w:pPr>
        <w:pStyle w:val="Text"/>
        <w:spacing w:line="480" w:lineRule="auto"/>
        <w:ind w:firstLine="0"/>
      </w:pPr>
      <w:r>
        <w:t xml:space="preserve">ML can be described as </w:t>
      </w:r>
      <w:r w:rsidRPr="009A1B19">
        <w:t xml:space="preserve">a collection of </w:t>
      </w:r>
      <w:r>
        <w:t>techniques</w:t>
      </w:r>
      <w:r w:rsidRPr="009A1B19">
        <w:t xml:space="preserve"> in which systems improve their performance through automatic analysis of data</w:t>
      </w:r>
      <w:r>
        <w:t xml:space="preserve">. The power of ML models lies in their capacity to extract statistical information (patterns and features) from ample data with no requirement of hypothesis, in a sharp contrast to physics-based models in which researchers manually select parameters to be used as input for models with specific governing physics. ML models are capable of extracting signature and correspondence that might be overlooked by traditional methods, e.g., nonlinear relationship, and can be relatively easier to use with multiple input sources. Therefore, under certain circumstances, ML models can outperform traditional ones. For example, </w:t>
      </w:r>
      <w:r>
        <w:fldChar w:fldCharType="begin" w:fldLock="1"/>
      </w:r>
      <w:r>
        <w:instrText>ADDIN CSL_CITATION {"citationItems":[{"id":"ITEM-1","itemData":{"DOI":"10.1109/TMI.2016.2535302","ISSN":"0278-0062","author":[{"dropping-particle":"","family":"Tajbakhsh","given":"N","non-dropping-particle":"","parse-names":false,"suffix":""},{"dropping-particle":"","family":"Shin","given":"J Y","non-dropping-particle":"","parse-names":false,"suffix":""},{"dropping-particle":"","family":"Gurudu","given":"S R","non-dropping-particle":"","parse-names":false,"suffix":""},{"dropping-particle":"","family":"Hurst","given":"R T","non-dropping-particle":"","parse-names":false,"suffix":""},{"dropping-particle":"","family":"Kendall","given":"C B","non-dropping-particle":"","parse-names":false,"suffix":""},{"dropping-particle":"","family":"Gotway","given":"M B","non-dropping-particle":"","parse-names":false,"suffix":""},{"dropping-particle":"","family":"Liang","given":"J","non-dropping-particle":"","parse-names":false,"suffix":""}],"container-title":"IEEE Transactions on Medical Imaging","id":"ITEM-1","issue":"5","issued":{"date-parts":[["2016","5"]]},"page":"1299-1312","title":"Convolutional Neural Networks for Medical Image Analysis: Full Training or Fine Tuning?","type":"article-journal","volume":"35"},"uris":["http://www.mendeley.com/documents/?uuid=c64876b4-48ab-46e8-9105-85ebf700feaf"]}],"mendeley":{"formattedCitation":"(Tajbakhsh et al., 2016)","manualFormatting":"Tajbakhsh et al. (2016)","plainTextFormattedCitation":"(Tajbakhsh et al., 2016)","previouslyFormattedCitation":"(Tajbakhsh et al., 2016)"},"properties":{"noteIndex":0},"schema":"https://github.com/citation-style-language/schema/raw/master/csl-citation.json"}</w:instrText>
      </w:r>
      <w:r>
        <w:fldChar w:fldCharType="separate"/>
      </w:r>
      <w:r w:rsidRPr="009626E3">
        <w:rPr>
          <w:noProof/>
        </w:rPr>
        <w:t xml:space="preserve">Tajbakhsh et al. </w:t>
      </w:r>
      <w:r>
        <w:rPr>
          <w:noProof/>
        </w:rPr>
        <w:t>(</w:t>
      </w:r>
      <w:r w:rsidRPr="009626E3">
        <w:rPr>
          <w:noProof/>
        </w:rPr>
        <w:t>2016)</w:t>
      </w:r>
      <w:r>
        <w:fldChar w:fldCharType="end"/>
      </w:r>
      <w:r>
        <w:t xml:space="preserve"> found that deep neural network models outperformed handcrafted solutions in medical image analysis tasks. One of major drawbacks of ML models, particularly deep neural networks, is its incomplete capability in interpretability (“how”) and explainability (“why”) </w:t>
      </w:r>
      <w:r>
        <w:fldChar w:fldCharType="begin" w:fldLock="1"/>
      </w:r>
      <w:r>
        <w:instrText>ADDIN CSL_CITATION {"citationItems":[{"id":"ITEM-1","itemData":{"DOI":"10.1073/pnas.1900654116","abstract":"The recent surge in interpretability research has led to confusion on numerous fronts. In particular, it is unclear what it means to be interpretable and how to select, evaluate, or even discuss methods for producing interpretations of machine-learning models. We aim to clarify these concerns by defining interpretable machine learning and constructing a unifying framework for existing methods which highlights the underappreciated role played by human audiences. Within this framework, methods are organized into 2 classes: model based and post hoc. To provide guidance in selecting and evaluating interpretation methods, we introduce 3 desiderata: predictive accuracy, descriptive accuracy, and relevancy. Using our framework, we review existing work, grounded in real-world studies which exemplify our desiderata, and suggest directions for future work.Machine-learning models have demonstrated great success in learning complex patterns that enable them to make predictions about unobserved data. In addition to using models for prediction, the ability to interpret what a model has learned is receiving an increasing amount of attention. However, this increased focus has led to considerable confusion about the notion of interpretability. In particular, it is unclear how the wide array of proposed interpretation methods are related and what common concepts can be used to evaluate them. We aim to address these concerns by defining interpretability in the context of machine learning and introducing the predictive, descriptive, relevant (PDR) framework for discussing interpretations. The PDR framework provides 3 overarching desiderata for evaluation: predictive accuracy, descriptive accuracy, and relevancy, with relevancy judged relative to a human audience. Moreover, to help manage the deluge of interpretation methods, we introduce a categorization of existing techniques into model-based and post hoc categories, with subgroups including sparsity, modularity, and simulatability. To demonstrate how practitioners can use the PDR framework to evaluate and understand interpretations, we provide numerous real-world examples. These examples highlight the often underappreciated role played by human audiences in discussions of interpretability. Finally, based on our framework, we discuss limitations of existing methods and directions for future work. We hope that this work will provide a common vocabulary that will make it easier for both practitioners and researchers to disc…","author":[{"dropping-particle":"","family":"Murdoch","given":"W James","non-dropping-particle":"","parse-names":false,"suffix":""},{"dropping-particle":"","family":"Singh","given":"Chandan","non-dropping-particle":"","parse-names":false,"suffix":""},{"dropping-particle":"","family":"Kumbier","given":"Karl","non-dropping-particle":"","parse-names":false,"suffix":""},{"dropping-particle":"","family":"Abbasi-Asl","given":"Reza","non-dropping-particle":"","parse-names":false,"suffix":""},{"dropping-particle":"","family":"Yu","given":"Bin","non-dropping-particle":"","parse-names":false,"suffix":""}],"container-title":"Proceedings of the National Academy of Sciences","id":"ITEM-1","issue":"44","issued":{"date-parts":[["2019","10","29"]]},"page":"22071 LP  - 22080","title":"Definitions, methods, and applications in interpretable machine learning","type":"article-journal","volume":"116"},"uris":["http://www.mendeley.com/documents/?uuid=eff26232-1bf0-4c34-a582-e94e7ae34d98"]}],"mendeley":{"formattedCitation":"(Murdoch et al., 2019)","plainTextFormattedCitation":"(Murdoch et al., 2019)","previouslyFormattedCitation":"(Murdoch et al., 2019)"},"properties":{"noteIndex":0},"schema":"https://github.com/citation-style-language/schema/raw/master/csl-citation.json"}</w:instrText>
      </w:r>
      <w:r>
        <w:fldChar w:fldCharType="separate"/>
      </w:r>
      <w:r w:rsidRPr="000D3877">
        <w:rPr>
          <w:noProof/>
        </w:rPr>
        <w:t>(Murdoch et al., 2019)</w:t>
      </w:r>
      <w:r>
        <w:fldChar w:fldCharType="end"/>
      </w:r>
      <w:r>
        <w:t>. Thus, sometimes ML models can be complicated to explain, hindering our ability to propose new theories based on ML results.</w:t>
      </w:r>
    </w:p>
    <w:p w14:paraId="4D08A540" w14:textId="77777777" w:rsidR="001D724A" w:rsidRDefault="001D724A" w:rsidP="001D724A">
      <w:pPr>
        <w:pStyle w:val="Text"/>
        <w:spacing w:line="480" w:lineRule="auto"/>
        <w:ind w:firstLine="0"/>
      </w:pPr>
      <w:r>
        <w:t xml:space="preserve">Common </w:t>
      </w:r>
      <w:r w:rsidRPr="009A1B19">
        <w:t xml:space="preserve">ML </w:t>
      </w:r>
      <w:r>
        <w:t xml:space="preserve">algorithm types </w:t>
      </w:r>
      <w:r w:rsidRPr="009A1B19">
        <w:t>include supervised, unsupervised, semi-supervised, and reinforcement learning</w:t>
      </w:r>
      <w:r>
        <w:t xml:space="preserve"> </w:t>
      </w:r>
      <w:r>
        <w:fldChar w:fldCharType="begin" w:fldLock="1"/>
      </w:r>
      <w:r>
        <w:instrText>ADDIN CSL_CITATION {"citationItems":[{"id":"ITEM-1","itemData":{"author":[{"dropping-particle":"","family":"Ayodele","given":"Taiwo Oladipupo","non-dropping-particle":"","parse-names":false,"suffix":""}],"container-title":"New advances in machine learning","id":"ITEM-1","issued":{"date-parts":[["2010"]]},"publisher":"IntechOpen","title":"Types of machine learning algorithms","type":"chapter"},"uris":["http://www.mendeley.com/documents/?uuid=4695d136-648e-4527-bae8-6df2211c3024"]}],"mendeley":{"formattedCitation":"(Ayodele, 2010)","plainTextFormattedCitation":"(Ayodele, 2010)"},"properties":{"noteIndex":0},"schema":"https://github.com/citation-style-language/schema/raw/master/csl-citation.json"}</w:instrText>
      </w:r>
      <w:r>
        <w:fldChar w:fldCharType="separate"/>
      </w:r>
      <w:r w:rsidRPr="00C82B9B">
        <w:rPr>
          <w:noProof/>
        </w:rPr>
        <w:t>(Ayodele, 2010)</w:t>
      </w:r>
      <w:r>
        <w:fldChar w:fldCharType="end"/>
      </w:r>
      <w:r w:rsidRPr="009A1B19">
        <w:t>.</w:t>
      </w:r>
      <w:r>
        <w:t xml:space="preserve"> The algorithms used here fall under the category of supervised learning as they make use of input sample data paired with an appropriate label. The label here refers to 1 MeV electron flux at different Lshells, the target value to be forecasted. Moreover, the models implemented here can be classified as regressions, as the labels are specified scalar values. </w:t>
      </w:r>
    </w:p>
    <w:p w14:paraId="5FB87951" w14:textId="77777777" w:rsidR="001D724A" w:rsidRDefault="001D724A" w:rsidP="001D724A">
      <w:pPr>
        <w:pStyle w:val="Text"/>
        <w:spacing w:line="480" w:lineRule="auto"/>
        <w:ind w:firstLine="0"/>
      </w:pPr>
      <w:r>
        <w:t xml:space="preserve">As explained by </w:t>
      </w:r>
      <w:r>
        <w:fldChar w:fldCharType="begin" w:fldLock="1"/>
      </w:r>
      <w:r>
        <w:instrText>ADDIN CSL_CITATION {"citationItems":[{"id":"ITEM-1","itemData":{"DOI":"10.1029/2018SW002061","ISSN":"1542-7390","author":[{"dropping-particle":"","family":"Camporeale","given":"E.","non-dropping-particle":"","parse-names":false,"suffix":""}],"container-title":"Space Weather","id":"ITEM-1","issued":{"date-parts":[["2019","8","9"]]},"page":"2018SW002061","publisher":"John Wiley &amp; Sons, Ltd","title":"The Challenge of Machine Learning in Space Weather: Nowcasting and Forecasting","type":"article-journal"},"uris":["http://www.mendeley.com/documents/?uuid=7b110464-c60e-38a8-be53-106c4b7845a9"]}],"mendeley":{"formattedCitation":"(Camporeale, 2019)","manualFormatting":"Camporeale (2019)","plainTextFormattedCitation":"(Camporeale, 2019)","previouslyFormattedCitation":"(Camporeale, 2019)"},"properties":{"noteIndex":0},"schema":"https://github.com/citation-style-language/schema/raw/master/csl-citation.json"}</w:instrText>
      </w:r>
      <w:r>
        <w:fldChar w:fldCharType="separate"/>
      </w:r>
      <w:r w:rsidRPr="007416CE">
        <w:rPr>
          <w:noProof/>
        </w:rPr>
        <w:t xml:space="preserve">Camporeale </w:t>
      </w:r>
      <w:r>
        <w:rPr>
          <w:noProof/>
        </w:rPr>
        <w:t>(</w:t>
      </w:r>
      <w:r w:rsidRPr="007416CE">
        <w:rPr>
          <w:noProof/>
        </w:rPr>
        <w:t>2019)</w:t>
      </w:r>
      <w:r>
        <w:fldChar w:fldCharType="end"/>
      </w:r>
      <w:r>
        <w:t xml:space="preserve">, supervised regressors try to find the mapping relationship between a set of multidimensional inputs </w:t>
      </w:r>
      <m:oMath>
        <m:r>
          <m:rPr>
            <m:sty m:val="bi"/>
          </m:rPr>
          <w:rPr>
            <w:rFonts w:ascii="Cambria Math" w:hAnsi="Cambria Math"/>
          </w:rPr>
          <m:t>x</m:t>
        </m:r>
        <m:r>
          <w:rPr>
            <w:rFonts w:ascii="Cambria Math" w:hAnsi="Cambria Math"/>
          </w:rPr>
          <m:t>=</m:t>
        </m:r>
        <w:bookmarkStart w:id="295" w:name="_Hlk20913824"/>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N</m:t>
            </m:r>
          </m:sub>
        </m:sSub>
        <m:r>
          <w:rPr>
            <w:rFonts w:ascii="Cambria Math" w:hAnsi="Cambria Math"/>
          </w:rPr>
          <m:t>)</m:t>
        </m:r>
      </m:oMath>
      <w:bookmarkEnd w:id="295"/>
      <w:r>
        <w:t xml:space="preserve"> and its corresponding scalar output label </w:t>
      </w:r>
      <m:oMath>
        <m:r>
          <w:rPr>
            <w:rFonts w:ascii="Cambria Math" w:hAnsi="Cambria Math"/>
          </w:rPr>
          <m:t>y</m:t>
        </m:r>
      </m:oMath>
      <w:r>
        <w:t>, under the general form</w:t>
      </w:r>
    </w:p>
    <w:p w14:paraId="4312F5F0" w14:textId="77777777" w:rsidR="001D724A" w:rsidRPr="003450E8" w:rsidRDefault="00CE1F3C" w:rsidP="001D724A">
      <w:pPr>
        <w:pStyle w:val="Text"/>
        <w:spacing w:line="480" w:lineRule="auto"/>
      </w:pPr>
      <m:oMathPara>
        <m:oMath>
          <m:eqArr>
            <m:eqArrPr>
              <m:maxDist m:val="1"/>
              <m:ctrlPr>
                <w:rPr>
                  <w:rFonts w:ascii="Cambria Math" w:hAnsi="Cambria Math"/>
                  <w:i/>
                </w:rPr>
              </m:ctrlPr>
            </m:eqArrPr>
            <m:e>
              <m:r>
                <w:rPr>
                  <w:rFonts w:ascii="Cambria Math" w:hAnsi="Cambria Math"/>
                </w:rPr>
                <m:t>y=f</m:t>
              </m:r>
              <m:d>
                <m:dPr>
                  <m:ctrlPr>
                    <w:rPr>
                      <w:rFonts w:ascii="Cambria Math" w:hAnsi="Cambria Math"/>
                      <w:i/>
                    </w:rPr>
                  </m:ctrlPr>
                </m:dPr>
                <m:e>
                  <m:r>
                    <m:rPr>
                      <m:sty m:val="bi"/>
                    </m:rPr>
                    <w:rPr>
                      <w:rFonts w:ascii="Cambria Math" w:hAnsi="Cambria Math"/>
                    </w:rPr>
                    <m:t>x</m:t>
                  </m:r>
                </m:e>
              </m:d>
              <m:r>
                <w:rPr>
                  <w:rFonts w:ascii="Cambria Math" w:hAnsi="Cambria Math"/>
                </w:rPr>
                <m:t>+ϵ,#</m:t>
              </m:r>
              <m:d>
                <m:dPr>
                  <m:ctrlPr>
                    <w:rPr>
                      <w:rFonts w:ascii="Cambria Math" w:hAnsi="Cambria Math"/>
                      <w:i/>
                    </w:rPr>
                  </m:ctrlPr>
                </m:dPr>
                <m:e>
                  <m:r>
                    <w:rPr>
                      <w:rFonts w:ascii="Cambria Math" w:hAnsi="Cambria Math"/>
                    </w:rPr>
                    <m:t>1</m:t>
                  </m:r>
                </m:e>
              </m:d>
            </m:e>
          </m:eqArr>
        </m:oMath>
      </m:oMathPara>
    </w:p>
    <w:p w14:paraId="4971C60A" w14:textId="77777777" w:rsidR="001D724A" w:rsidRDefault="001D724A" w:rsidP="001D724A">
      <w:pPr>
        <w:pStyle w:val="Text"/>
        <w:spacing w:line="480" w:lineRule="auto"/>
        <w:ind w:firstLine="0"/>
      </w:pPr>
      <w:r w:rsidRPr="000357C7">
        <w:rPr>
          <w:color w:val="333333"/>
          <w:shd w:val="clear" w:color="auto" w:fill="FFFFFF"/>
        </w:rPr>
        <w:t>where</w:t>
      </w:r>
      <w:r w:rsidRPr="003450E8">
        <w:rPr>
          <w:color w:val="333333"/>
          <w:sz w:val="21"/>
          <w:szCs w:val="21"/>
          <w:shd w:val="clear" w:color="auto" w:fill="FFFFFF"/>
        </w:rPr>
        <w:t xml:space="preserve"> </w:t>
      </w:r>
      <m:oMath>
        <m:r>
          <w:rPr>
            <w:rFonts w:ascii="Cambria Math" w:hAnsi="Cambria Math"/>
            <w:color w:val="333333"/>
            <w:sz w:val="21"/>
            <w:szCs w:val="21"/>
            <w:shd w:val="clear" w:color="auto" w:fill="FFFFFF"/>
          </w:rPr>
          <m:t xml:space="preserve">f: </m:t>
        </m:r>
        <m:sSup>
          <m:sSupPr>
            <m:ctrlPr>
              <w:rPr>
                <w:rFonts w:ascii="Cambria Math" w:hAnsi="Cambria Math"/>
                <w:color w:val="333333"/>
                <w:sz w:val="21"/>
                <w:szCs w:val="21"/>
                <w:shd w:val="clear" w:color="auto" w:fill="FFFFFF"/>
              </w:rPr>
            </m:ctrlPr>
          </m:sSupPr>
          <m:e>
            <m:r>
              <m:rPr>
                <m:scr m:val="double-struck"/>
                <m:sty m:val="p"/>
              </m:rPr>
              <w:rPr>
                <w:rFonts w:ascii="Cambria Math" w:hAnsi="Cambria Math"/>
                <w:color w:val="333333"/>
                <w:sz w:val="21"/>
                <w:szCs w:val="21"/>
                <w:shd w:val="clear" w:color="auto" w:fill="FFFFFF"/>
              </w:rPr>
              <m:t>R</m:t>
            </m:r>
          </m:e>
          <m:sup>
            <m:r>
              <w:rPr>
                <w:rFonts w:ascii="Cambria Math" w:hAnsi="Cambria Math"/>
                <w:color w:val="333333"/>
                <w:sz w:val="21"/>
                <w:szCs w:val="21"/>
                <w:shd w:val="clear" w:color="auto" w:fill="FFFFFF"/>
              </w:rPr>
              <m:t>N</m:t>
            </m:r>
          </m:sup>
        </m:sSup>
        <m:r>
          <m:rPr>
            <m:scr m:val="double-struck"/>
            <m:sty m:val="p"/>
          </m:rPr>
          <w:rPr>
            <w:rFonts w:ascii="Cambria Math" w:hAnsi="Cambria Math"/>
            <w:color w:val="333333"/>
            <w:sz w:val="21"/>
            <w:szCs w:val="21"/>
            <w:shd w:val="clear" w:color="auto" w:fill="FFFFFF"/>
          </w:rPr>
          <m:t>→R</m:t>
        </m:r>
      </m:oMath>
      <w:r>
        <w:rPr>
          <w:color w:val="333333"/>
          <w:sz w:val="21"/>
          <w:szCs w:val="21"/>
          <w:shd w:val="clear" w:color="auto" w:fill="FFFFFF"/>
        </w:rPr>
        <w:t xml:space="preserve"> </w:t>
      </w:r>
      <w:r w:rsidRPr="000357C7">
        <w:rPr>
          <w:color w:val="333333"/>
          <w:shd w:val="clear" w:color="auto" w:fill="FFFFFF"/>
        </w:rPr>
        <w:t>is a linear or nonlinear function and</w:t>
      </w:r>
      <w:r>
        <w:rPr>
          <w:color w:val="333333"/>
          <w:sz w:val="21"/>
          <w:szCs w:val="21"/>
          <w:shd w:val="clear" w:color="auto" w:fill="FFFFFF"/>
        </w:rPr>
        <w:t xml:space="preserve"> </w:t>
      </w:r>
      <m:oMath>
        <m:r>
          <w:rPr>
            <w:rFonts w:ascii="Cambria Math" w:hAnsi="Cambria Math"/>
          </w:rPr>
          <m:t>ϵ</m:t>
        </m:r>
      </m:oMath>
      <w:r>
        <w:t xml:space="preserve"> represents additive noise. All methods used to find the unknown function </w:t>
      </w:r>
      <m:oMath>
        <m:r>
          <w:rPr>
            <w:rFonts w:ascii="Cambria Math" w:hAnsi="Cambria Math"/>
            <w:color w:val="333333"/>
            <w:sz w:val="21"/>
            <w:szCs w:val="21"/>
            <w:shd w:val="clear" w:color="auto" w:fill="FFFFFF"/>
          </w:rPr>
          <m:t>f</m:t>
        </m:r>
      </m:oMath>
      <w:r>
        <w:t xml:space="preserve"> can be seen as an optimization problem, where the objective is to minimize a given loss function. The loss function is a </w:t>
      </w:r>
      <w:r w:rsidRPr="00BE47E4">
        <w:t xml:space="preserve">function that maps </w:t>
      </w:r>
      <w:r>
        <w:t xml:space="preserve">the distance between all the predicted and target values into a </w:t>
      </w:r>
      <w:r w:rsidRPr="00BE47E4">
        <w:t>real number</w:t>
      </w:r>
      <w:r>
        <w:t>,</w:t>
      </w:r>
      <w:r w:rsidRPr="00BE47E4">
        <w:t xml:space="preserve"> </w:t>
      </w:r>
      <w:r>
        <w:t xml:space="preserve">therefore providing </w:t>
      </w:r>
      <w:r w:rsidRPr="00BE47E4">
        <w:t xml:space="preserve">some "cost" associated </w:t>
      </w:r>
      <w:r>
        <w:t>with the prediction</w:t>
      </w:r>
      <w:r w:rsidRPr="00BE47E4">
        <w:t xml:space="preserve">. </w:t>
      </w:r>
      <w:r>
        <w:t xml:space="preserve">The following four subsections provide more details in each one of the supervised regressor models used in this study. A comprehensive discussion on artificial neural networks and deep learning models can be found in </w:t>
      </w:r>
      <w:r>
        <w:fldChar w:fldCharType="begin" w:fldLock="1"/>
      </w:r>
      <w:r>
        <w:instrText>ADDIN CSL_CITATION {"citationItems":[{"id":"ITEM-1","itemData":{"DOI":"10.1038/nature14539","ISSN":"0028-0836","abstract":"Deep learning","author":[{"dropping-particle":"","family":"LeCun","given":"Yann","non-dropping-particle":"","parse-names":false,"suffix":""},{"dropping-particle":"","family":"Bengio","given":"Yoshua","non-dropping-particle":"","parse-names":false,"suffix":""},{"dropping-particle":"","family":"Hinton","given":"Geoffrey","non-dropping-particle":"","parse-names":false,"suffix":""}],"container-title":"Nature","id":"ITEM-1","issue":"7553","issued":{"date-parts":[["2015","5","28"]]},"page":"436-444","publisher":"Nature Publishing Group","title":"Deep learning","type":"article-journal","volume":"521"},"uris":["http://www.mendeley.com/documents/?uuid=0649e55b-84c4-3d3a-a37b-adcdaa740493"]}],"mendeley":{"formattedCitation":"(LeCun et al., 2015)","manualFormatting":"LeCun et al. (2015)","plainTextFormattedCitation":"(LeCun et al., 2015)","previouslyFormattedCitation":"(LeCun et al., 2015)"},"properties":{"noteIndex":0},"schema":"https://github.com/citation-style-language/schema/raw/master/csl-citation.json"}</w:instrText>
      </w:r>
      <w:r>
        <w:fldChar w:fldCharType="separate"/>
      </w:r>
      <w:r w:rsidRPr="00306AE5">
        <w:rPr>
          <w:noProof/>
        </w:rPr>
        <w:t xml:space="preserve">LeCun et al. </w:t>
      </w:r>
      <w:r>
        <w:rPr>
          <w:noProof/>
        </w:rPr>
        <w:t>(</w:t>
      </w:r>
      <w:r w:rsidRPr="00306AE5">
        <w:rPr>
          <w:noProof/>
        </w:rPr>
        <w:t>2015)</w:t>
      </w:r>
      <w:r>
        <w:fldChar w:fldCharType="end"/>
      </w:r>
      <w:r>
        <w:t xml:space="preserve">, with information about techniques common to several artificial intelligence applications. To exemplify the supervised learning problem as a flux forecasting task, consider predicting the 1 MeV electron fluxes at time </w:t>
      </w:r>
      <m:oMath>
        <m:r>
          <w:rPr>
            <w:rFonts w:ascii="Cambria Math" w:hAnsi="Cambria Math"/>
          </w:rPr>
          <m:t>t</m:t>
        </m:r>
      </m:oMath>
      <w:r>
        <w:t xml:space="preserve"> at GEO shell using the past values of 1 MeV electrons at GEO. Suppose we use </w:t>
      </w:r>
      <m:oMath>
        <m:r>
          <w:rPr>
            <w:rFonts w:ascii="Cambria Math" w:hAnsi="Cambria Math"/>
          </w:rPr>
          <m:t>M</m:t>
        </m:r>
      </m:oMath>
      <w:r>
        <w:t xml:space="preserve"> training samples to perform the analysis, and the number of past values we wish to use for each time step is four (</w:t>
      </w:r>
      <m:oMath>
        <m:r>
          <w:rPr>
            <w:rFonts w:ascii="Cambria Math" w:hAnsi="Cambria Math"/>
          </w:rPr>
          <m:t>N=4)</m:t>
        </m:r>
      </m:oMath>
      <w:r>
        <w:t xml:space="preserve">. That is, we have </w:t>
      </w:r>
      <m:oMath>
        <m:r>
          <w:rPr>
            <w:rFonts w:ascii="Cambria Math" w:hAnsi="Cambria Math"/>
          </w:rPr>
          <m:t>M</m:t>
        </m:r>
      </m:oMath>
      <w:r>
        <w:t xml:space="preserve"> pairs of </w:t>
      </w:r>
      <m:oMath>
        <m:d>
          <m:dPr>
            <m:ctrlPr>
              <w:rPr>
                <w:rFonts w:ascii="Cambria Math" w:hAnsi="Cambria Math"/>
                <w:i/>
              </w:rPr>
            </m:ctrlPr>
          </m:dPr>
          <m:e>
            <m:sSub>
              <m:sSubPr>
                <m:ctrlPr>
                  <w:rPr>
                    <w:rFonts w:ascii="Cambria Math" w:hAnsi="Cambria Math"/>
                    <w:i/>
                  </w:rPr>
                </m:ctrlPr>
              </m:sSubPr>
              <m:e>
                <m:r>
                  <m:rPr>
                    <m:sty m:val="bi"/>
                  </m:rPr>
                  <w:rPr>
                    <w:rFonts w:ascii="Cambria Math" w:hAnsi="Cambria Math"/>
                  </w:rPr>
                  <m:t>x</m:t>
                </m:r>
              </m:e>
              <m:sub>
                <m:r>
                  <w:rPr>
                    <w:rFonts w:ascii="Cambria Math" w:hAnsi="Cambria Math"/>
                  </w:rPr>
                  <m:t>t</m:t>
                </m:r>
              </m:sub>
            </m:sSub>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t</m:t>
                </m:r>
              </m:sub>
            </m:sSub>
          </m:e>
        </m:d>
      </m:oMath>
      <w:r>
        <w:t xml:space="preserve"> training samples, or </w:t>
      </w:r>
      <m:oMath>
        <m:r>
          <w:rPr>
            <w:rFonts w:ascii="Cambria Math" w:hAnsi="Cambria Math"/>
          </w:rPr>
          <m:t>{</m:t>
        </m:r>
        <m:d>
          <m:dPr>
            <m:ctrlPr>
              <w:rPr>
                <w:rFonts w:ascii="Cambria Math" w:hAnsi="Cambria Math"/>
                <w:i/>
              </w:rPr>
            </m:ctrlPr>
          </m:dPr>
          <m:e>
            <m:sSub>
              <m:sSubPr>
                <m:ctrlPr>
                  <w:rPr>
                    <w:rFonts w:ascii="Cambria Math" w:hAnsi="Cambria Math"/>
                    <w:i/>
                  </w:rPr>
                </m:ctrlPr>
              </m:sSubPr>
              <m:e>
                <m:r>
                  <m:rPr>
                    <m:sty m:val="bi"/>
                  </m:rPr>
                  <w:rPr>
                    <w:rFonts w:ascii="Cambria Math" w:hAnsi="Cambria Math"/>
                  </w:rPr>
                  <m:t>x</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1</m:t>
                </m:r>
              </m:sub>
            </m:sSub>
          </m:e>
        </m:d>
        <m:r>
          <w:rPr>
            <w:rFonts w:ascii="Cambria Math" w:hAnsi="Cambria Math"/>
          </w:rPr>
          <m:t>,</m:t>
        </m:r>
        <m:d>
          <m:dPr>
            <m:ctrlPr>
              <w:rPr>
                <w:rFonts w:ascii="Cambria Math" w:hAnsi="Cambria Math"/>
                <w:i/>
              </w:rPr>
            </m:ctrlPr>
          </m:dPr>
          <m:e>
            <m:sSub>
              <m:sSubPr>
                <m:ctrlPr>
                  <w:rPr>
                    <w:rFonts w:ascii="Cambria Math" w:hAnsi="Cambria Math"/>
                    <w:i/>
                  </w:rPr>
                </m:ctrlPr>
              </m:sSubPr>
              <m:e>
                <m:r>
                  <m:rPr>
                    <m:sty m:val="bi"/>
                  </m:rPr>
                  <w:rPr>
                    <w:rFonts w:ascii="Cambria Math" w:hAnsi="Cambria Math"/>
                  </w:rPr>
                  <m:t>x</m:t>
                </m:r>
              </m:e>
              <m:sub>
                <m:r>
                  <w:rPr>
                    <w:rFonts w:ascii="Cambria Math" w:hAnsi="Cambria Math"/>
                  </w:rPr>
                  <m:t>2</m:t>
                </m:r>
              </m:sub>
            </m:sSub>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2</m:t>
                </m:r>
              </m:sub>
            </m:sSub>
          </m:e>
        </m:d>
        <m:r>
          <w:rPr>
            <w:rFonts w:ascii="Cambria Math" w:hAnsi="Cambria Math"/>
          </w:rPr>
          <m:t>...,</m:t>
        </m:r>
        <m:d>
          <m:dPr>
            <m:ctrlPr>
              <w:rPr>
                <w:rFonts w:ascii="Cambria Math" w:hAnsi="Cambria Math"/>
                <w:i/>
              </w:rPr>
            </m:ctrlPr>
          </m:dPr>
          <m:e>
            <m:sSub>
              <m:sSubPr>
                <m:ctrlPr>
                  <w:rPr>
                    <w:rFonts w:ascii="Cambria Math" w:hAnsi="Cambria Math"/>
                    <w:i/>
                  </w:rPr>
                </m:ctrlPr>
              </m:sSubPr>
              <m:e>
                <m:r>
                  <m:rPr>
                    <m:sty m:val="bi"/>
                  </m:rPr>
                  <w:rPr>
                    <w:rFonts w:ascii="Cambria Math" w:hAnsi="Cambria Math"/>
                  </w:rPr>
                  <m:t>x</m:t>
                </m:r>
              </m:e>
              <m:sub>
                <m:r>
                  <w:rPr>
                    <w:rFonts w:ascii="Cambria Math" w:hAnsi="Cambria Math"/>
                  </w:rPr>
                  <m:t>M</m:t>
                </m:r>
              </m:sub>
            </m:sSub>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M</m:t>
                </m:r>
              </m:sub>
            </m:sSub>
          </m:e>
        </m:d>
        <m:r>
          <w:rPr>
            <w:rFonts w:ascii="Cambria Math" w:hAnsi="Cambria Math"/>
          </w:rPr>
          <m:t>}</m:t>
        </m:r>
      </m:oMath>
      <w:r>
        <w:t xml:space="preserve"> where </w:t>
      </w:r>
      <m:oMath>
        <m:sSub>
          <m:sSubPr>
            <m:ctrlPr>
              <w:rPr>
                <w:rFonts w:ascii="Cambria Math" w:hAnsi="Cambria Math"/>
                <w:b/>
                <w:i/>
              </w:rPr>
            </m:ctrlPr>
          </m:sSubPr>
          <m:e>
            <m:r>
              <m:rPr>
                <m:sty m:val="bi"/>
              </m:rPr>
              <w:rPr>
                <w:rFonts w:ascii="Cambria Math" w:hAnsi="Cambria Math"/>
              </w:rPr>
              <m:t>x</m:t>
            </m:r>
          </m:e>
          <m:sub>
            <m:r>
              <m:rPr>
                <m:sty m:val="bi"/>
              </m:rPr>
              <w:rPr>
                <w:rFonts w:ascii="Cambria Math" w:hAnsi="Cambria Math"/>
              </w:rPr>
              <m:t>t</m:t>
            </m:r>
          </m:sub>
        </m:sSub>
        <m:r>
          <m:rPr>
            <m:sty m:val="bi"/>
          </m:rPr>
          <w:rPr>
            <w:rFonts w:ascii="Cambria Math" w:hAnsi="Cambria Math"/>
          </w:rPr>
          <m:t>=</m:t>
        </m:r>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t-1</m:t>
                    </m:r>
                  </m:sub>
                </m:sSub>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t-2</m:t>
                    </m:r>
                  </m:sub>
                </m:sSub>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t-3</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t-4</m:t>
                    </m:r>
                  </m:sub>
                </m:sSub>
              </m:e>
            </m:d>
          </m:e>
          <m:sup>
            <m:r>
              <w:rPr>
                <w:rFonts w:ascii="Cambria Math" w:hAnsi="Cambria Math"/>
              </w:rPr>
              <m:t>T</m:t>
            </m:r>
          </m:sup>
        </m:sSup>
        <m:r>
          <w:rPr>
            <w:rFonts w:ascii="Cambria Math" w:hAnsi="Cambria Math"/>
          </w:rPr>
          <m:t>∈</m:t>
        </m:r>
        <m:sSup>
          <m:sSupPr>
            <m:ctrlPr>
              <w:rPr>
                <w:rFonts w:ascii="Cambria Math" w:hAnsi="Cambria Math"/>
                <w:i/>
              </w:rPr>
            </m:ctrlPr>
          </m:sSupPr>
          <m:e>
            <m:r>
              <m:rPr>
                <m:scr m:val="double-struck"/>
              </m:rPr>
              <w:rPr>
                <w:rFonts w:ascii="Cambria Math" w:hAnsi="Cambria Math"/>
              </w:rPr>
              <m:t>R</m:t>
            </m:r>
          </m:e>
          <m:sup>
            <m:r>
              <w:rPr>
                <w:rFonts w:ascii="Cambria Math" w:hAnsi="Cambria Math"/>
              </w:rPr>
              <m:t>N=4</m:t>
            </m:r>
          </m:sup>
        </m:sSup>
      </m:oMath>
      <w:r>
        <w:t xml:space="preserve"> and </w:t>
      </w:r>
      <m:oMath>
        <m:sSub>
          <m:sSubPr>
            <m:ctrlPr>
              <w:rPr>
                <w:rFonts w:ascii="Cambria Math" w:hAnsi="Cambria Math"/>
                <w:i/>
              </w:rPr>
            </m:ctrlPr>
          </m:sSubPr>
          <m:e>
            <m:r>
              <w:rPr>
                <w:rFonts w:ascii="Cambria Math" w:hAnsi="Cambria Math"/>
              </w:rPr>
              <m:t>y</m:t>
            </m:r>
          </m:e>
          <m:sub>
            <m:r>
              <w:rPr>
                <w:rFonts w:ascii="Cambria Math" w:hAnsi="Cambria Math"/>
              </w:rPr>
              <m:t>t</m:t>
            </m:r>
          </m:sub>
        </m:sSub>
        <m:r>
          <m:rPr>
            <m:scr m:val="double-struck"/>
          </m:rPr>
          <w:rPr>
            <w:rFonts w:ascii="Cambria Math" w:hAnsi="Cambria Math"/>
          </w:rPr>
          <m:t>∈R</m:t>
        </m:r>
      </m:oMath>
      <w:r>
        <w:t xml:space="preserve">. We can rewrite the predictors </w:t>
      </w:r>
      <m:oMath>
        <m:sSub>
          <m:sSubPr>
            <m:ctrlPr>
              <w:rPr>
                <w:rFonts w:ascii="Cambria Math" w:hAnsi="Cambria Math"/>
                <w:b/>
                <w:i/>
              </w:rPr>
            </m:ctrlPr>
          </m:sSubPr>
          <m:e>
            <m:r>
              <m:rPr>
                <m:sty m:val="bi"/>
              </m:rPr>
              <w:rPr>
                <w:rFonts w:ascii="Cambria Math" w:hAnsi="Cambria Math"/>
              </w:rPr>
              <m:t>x</m:t>
            </m:r>
          </m:e>
          <m:sub>
            <m:r>
              <m:rPr>
                <m:sty m:val="bi"/>
              </m:rPr>
              <w:rPr>
                <w:rFonts w:ascii="Cambria Math" w:hAnsi="Cambria Math"/>
              </w:rPr>
              <m:t>t</m:t>
            </m:r>
          </m:sub>
        </m:sSub>
      </m:oMath>
      <w:r w:rsidRPr="00E2656D">
        <w:rPr>
          <w:bCs/>
        </w:rPr>
        <w:t xml:space="preserve"> as a </w:t>
      </w:r>
      <w:r>
        <w:rPr>
          <w:bCs/>
        </w:rPr>
        <w:t xml:space="preserve">matrix </w:t>
      </w:r>
      <m:oMath>
        <m:r>
          <w:rPr>
            <w:rFonts w:ascii="Cambria Math" w:hAnsi="Cambria Math"/>
          </w:rPr>
          <m:t>X∈</m:t>
        </m:r>
        <m:sSup>
          <m:sSupPr>
            <m:ctrlPr>
              <w:rPr>
                <w:rFonts w:ascii="Cambria Math" w:hAnsi="Cambria Math"/>
                <w:i/>
              </w:rPr>
            </m:ctrlPr>
          </m:sSupPr>
          <m:e>
            <m:r>
              <m:rPr>
                <m:scr m:val="double-struck"/>
              </m:rPr>
              <w:rPr>
                <w:rFonts w:ascii="Cambria Math" w:hAnsi="Cambria Math"/>
              </w:rPr>
              <m:t>R</m:t>
            </m:r>
          </m:e>
          <m:sup>
            <m:r>
              <w:rPr>
                <w:rFonts w:ascii="Cambria Math" w:hAnsi="Cambria Math"/>
              </w:rPr>
              <m:t>NxM</m:t>
            </m:r>
          </m:sup>
        </m:sSup>
      </m:oMath>
      <w:r>
        <w:t xml:space="preserve">, where each column of the matrix </w:t>
      </w:r>
      <w:r w:rsidRPr="001E5112">
        <w:rPr>
          <w:i/>
        </w:rPr>
        <w:t>X</w:t>
      </w:r>
      <w:r>
        <w:t xml:space="preserve"> represents one </w:t>
      </w:r>
      <m:oMath>
        <m:sSub>
          <m:sSubPr>
            <m:ctrlPr>
              <w:rPr>
                <w:rFonts w:ascii="Cambria Math" w:hAnsi="Cambria Math"/>
                <w:b/>
                <w:i/>
              </w:rPr>
            </m:ctrlPr>
          </m:sSubPr>
          <m:e>
            <m:r>
              <m:rPr>
                <m:sty m:val="bi"/>
              </m:rPr>
              <w:rPr>
                <w:rFonts w:ascii="Cambria Math" w:hAnsi="Cambria Math"/>
              </w:rPr>
              <m:t>x</m:t>
            </m:r>
          </m:e>
          <m:sub>
            <m:r>
              <m:rPr>
                <m:sty m:val="bi"/>
              </m:rPr>
              <w:rPr>
                <w:rFonts w:ascii="Cambria Math" w:hAnsi="Cambria Math"/>
              </w:rPr>
              <m:t>t</m:t>
            </m:r>
          </m:sub>
        </m:sSub>
      </m:oMath>
      <w:r w:rsidRPr="00E2656D">
        <w:rPr>
          <w:bCs/>
        </w:rPr>
        <w:t xml:space="preserve"> training sample vector</w:t>
      </w:r>
      <w:r>
        <w:rPr>
          <w:b/>
        </w:rPr>
        <w:t xml:space="preserve">. </w:t>
      </w:r>
      <w:r w:rsidRPr="00817400">
        <w:t>The</w:t>
      </w:r>
      <w:r>
        <w:rPr>
          <w:b/>
        </w:rPr>
        <w:t xml:space="preserve"> </w:t>
      </w:r>
      <m:oMath>
        <m:sSub>
          <m:sSubPr>
            <m:ctrlPr>
              <w:rPr>
                <w:rFonts w:ascii="Cambria Math" w:hAnsi="Cambria Math"/>
                <w:i/>
              </w:rPr>
            </m:ctrlPr>
          </m:sSubPr>
          <m:e>
            <m:r>
              <w:rPr>
                <w:rFonts w:ascii="Cambria Math" w:hAnsi="Cambria Math"/>
              </w:rPr>
              <m:t>y</m:t>
            </m:r>
          </m:e>
          <m:sub>
            <m:r>
              <w:rPr>
                <w:rFonts w:ascii="Cambria Math" w:hAnsi="Cambria Math"/>
              </w:rPr>
              <m:t>t</m:t>
            </m:r>
          </m:sub>
        </m:sSub>
      </m:oMath>
      <w:r>
        <w:t xml:space="preserve"> samples can also be defined as a single row matrix </w:t>
      </w:r>
      <m:oMath>
        <m:r>
          <w:rPr>
            <w:rFonts w:ascii="Cambria Math" w:hAnsi="Cambria Math"/>
          </w:rPr>
          <m:t>Y∈</m:t>
        </m:r>
        <m:sSup>
          <m:sSupPr>
            <m:ctrlPr>
              <w:rPr>
                <w:rFonts w:ascii="Cambria Math" w:hAnsi="Cambria Math"/>
                <w:i/>
              </w:rPr>
            </m:ctrlPr>
          </m:sSupPr>
          <m:e>
            <m:r>
              <m:rPr>
                <m:scr m:val="double-struck"/>
              </m:rPr>
              <w:rPr>
                <w:rFonts w:ascii="Cambria Math" w:hAnsi="Cambria Math"/>
              </w:rPr>
              <m:t>R</m:t>
            </m:r>
          </m:e>
          <m:sup>
            <m:r>
              <w:rPr>
                <w:rFonts w:ascii="Cambria Math" w:hAnsi="Cambria Math"/>
              </w:rPr>
              <m:t>1xM</m:t>
            </m:r>
          </m:sup>
        </m:sSup>
      </m:oMath>
      <w:r>
        <w:t xml:space="preserve">. The goal of ML training is to optimize the internal parameter values of the given mapping function </w:t>
      </w:r>
      <w:r w:rsidRPr="00BB0A38">
        <w:rPr>
          <w:i/>
        </w:rPr>
        <w:t>f</w:t>
      </w:r>
      <w:r>
        <w:t xml:space="preserve">—a specified ML algorithm—by minimizing the loss function associated with the noise matrix </w:t>
      </w:r>
      <m:oMath>
        <m:r>
          <w:rPr>
            <w:rFonts w:ascii="Cambria Math" w:hAnsi="Cambria Math"/>
          </w:rPr>
          <m:t>ϵ</m:t>
        </m:r>
      </m:oMath>
      <w:r>
        <w:t xml:space="preserve"> after inserting </w:t>
      </w:r>
      <w:r w:rsidRPr="00BB0A38">
        <w:rPr>
          <w:i/>
        </w:rPr>
        <w:t>X</w:t>
      </w:r>
      <w:r>
        <w:t xml:space="preserve"> and </w:t>
      </w:r>
      <w:r w:rsidRPr="00BB0A38">
        <w:rPr>
          <w:i/>
        </w:rPr>
        <w:t>Y</w:t>
      </w:r>
      <w:r>
        <w:t xml:space="preserve"> back into Eq. (1). Here we use the past values of multiple input data, including E2, E3, P6, and solar wind speed, to forecast 1 MeV electron fluxes at each individual L-shell. Next, we describe the four selected algorithms including linear regression, multilayer perceptron, convolutional neural networks, and l</w:t>
      </w:r>
      <w:r w:rsidRPr="00A4513F">
        <w:t>ong short-term memory</w:t>
      </w:r>
      <w:r>
        <w:t xml:space="preserve"> methods.</w:t>
      </w:r>
    </w:p>
    <w:p w14:paraId="2CC73CE9" w14:textId="77777777" w:rsidR="009E29A4" w:rsidRPr="00E2656D" w:rsidRDefault="009E29A4" w:rsidP="001D724A">
      <w:pPr>
        <w:pStyle w:val="Text"/>
        <w:spacing w:line="480" w:lineRule="auto"/>
        <w:ind w:firstLine="0"/>
      </w:pPr>
    </w:p>
    <w:p w14:paraId="727870DC" w14:textId="77777777" w:rsidR="001D724A" w:rsidRPr="00E56D55" w:rsidRDefault="001D724A" w:rsidP="009E29A4">
      <w:pPr>
        <w:pStyle w:val="Heading3"/>
      </w:pPr>
      <w:bookmarkStart w:id="296" w:name="_Toc26534652"/>
      <w:r w:rsidRPr="00E56D55">
        <w:t>3.1 Linear Regression</w:t>
      </w:r>
      <w:bookmarkEnd w:id="296"/>
    </w:p>
    <w:p w14:paraId="118EAD4C" w14:textId="77777777" w:rsidR="001D724A" w:rsidRDefault="001D724A" w:rsidP="001D724A">
      <w:pPr>
        <w:pStyle w:val="Text"/>
        <w:spacing w:line="480" w:lineRule="auto"/>
        <w:ind w:firstLine="0"/>
      </w:pPr>
      <w:r>
        <w:t>Linear regression is the simplest supervised learning method, while sometimes it is also interpreted as the simplest ML algorithm. This algorithm has a vast range of applications and constitutes a basic building block for more complex algorithms. The linear regression equation is given by</w:t>
      </w:r>
    </w:p>
    <w:p w14:paraId="299AFC60" w14:textId="77777777" w:rsidR="001D724A" w:rsidRPr="007D1866" w:rsidRDefault="00CE1F3C" w:rsidP="001D724A">
      <w:pPr>
        <w:pStyle w:val="Text"/>
        <w:spacing w:line="480" w:lineRule="auto"/>
      </w:pPr>
      <m:oMathPara>
        <m:oMath>
          <m:eqArr>
            <m:eqArrPr>
              <m:maxDist m:val="1"/>
              <m:ctrlPr>
                <w:rPr>
                  <w:rFonts w:ascii="Cambria Math" w:hAnsi="Cambria Math"/>
                  <w:i/>
                </w:rPr>
              </m:ctrlPr>
            </m:eqArrPr>
            <m:e>
              <m:r>
                <w:rPr>
                  <w:rFonts w:ascii="Cambria Math" w:hAnsi="Cambria Math"/>
                </w:rPr>
                <m:t>f</m:t>
              </m:r>
              <m:d>
                <m:dPr>
                  <m:ctrlPr>
                    <w:rPr>
                      <w:rFonts w:ascii="Cambria Math" w:hAnsi="Cambria Math"/>
                      <w:i/>
                    </w:rPr>
                  </m:ctrlPr>
                </m:dPr>
                <m:e>
                  <m:sSub>
                    <m:sSubPr>
                      <m:ctrlPr>
                        <w:rPr>
                          <w:rFonts w:ascii="Cambria Math" w:hAnsi="Cambria Math"/>
                          <w:b/>
                          <w:i/>
                        </w:rPr>
                      </m:ctrlPr>
                    </m:sSubPr>
                    <m:e>
                      <m:r>
                        <m:rPr>
                          <m:sty m:val="bi"/>
                        </m:rPr>
                        <w:rPr>
                          <w:rFonts w:ascii="Cambria Math" w:hAnsi="Cambria Math"/>
                        </w:rPr>
                        <m:t>x</m:t>
                      </m:r>
                    </m:e>
                    <m:sub>
                      <m:r>
                        <m:rPr>
                          <m:sty m:val="bi"/>
                        </m:rPr>
                        <w:rPr>
                          <w:rFonts w:ascii="Cambria Math" w:hAnsi="Cambria Math"/>
                        </w:rPr>
                        <m:t>i</m:t>
                      </m:r>
                    </m:sub>
                  </m:sSub>
                  <m:ctrlPr>
                    <w:rPr>
                      <w:rFonts w:ascii="Cambria Math" w:hAnsi="Cambria Math"/>
                      <w:b/>
                      <w:i/>
                    </w:rPr>
                  </m:ctrlPr>
                </m:e>
              </m:d>
              <m:r>
                <w:rPr>
                  <w:rFonts w:ascii="Cambria Math" w:hAnsi="Cambria Math"/>
                </w:rPr>
                <m:t>=</m:t>
              </m:r>
              <m:sSup>
                <m:sSupPr>
                  <m:ctrlPr>
                    <w:rPr>
                      <w:rFonts w:ascii="Cambria Math" w:hAnsi="Cambria Math"/>
                      <w:b/>
                      <w:i/>
                    </w:rPr>
                  </m:ctrlPr>
                </m:sSupPr>
                <m:e>
                  <m:r>
                    <m:rPr>
                      <m:sty m:val="bi"/>
                    </m:rPr>
                    <w:rPr>
                      <w:rFonts w:ascii="Cambria Math" w:hAnsi="Cambria Math"/>
                    </w:rPr>
                    <m:t>w</m:t>
                  </m:r>
                </m:e>
                <m:sup>
                  <m:r>
                    <m:rPr>
                      <m:sty m:val="bi"/>
                    </m:rPr>
                    <w:rPr>
                      <w:rFonts w:ascii="Cambria Math" w:hAnsi="Cambria Math"/>
                    </w:rPr>
                    <m:t>T</m:t>
                  </m:r>
                </m:sup>
              </m:sSup>
              <m:sSub>
                <m:sSubPr>
                  <m:ctrlPr>
                    <w:rPr>
                      <w:rFonts w:ascii="Cambria Math" w:hAnsi="Cambria Math"/>
                      <w:b/>
                      <w:i/>
                    </w:rPr>
                  </m:ctrlPr>
                </m:sSubPr>
                <m:e>
                  <m:r>
                    <m:rPr>
                      <m:sty m:val="bi"/>
                    </m:rPr>
                    <w:rPr>
                      <w:rFonts w:ascii="Cambria Math" w:hAnsi="Cambria Math"/>
                    </w:rPr>
                    <m:t>x</m:t>
                  </m:r>
                </m:e>
                <m:sub>
                  <m:r>
                    <m:rPr>
                      <m:sty m:val="bi"/>
                    </m:rPr>
                    <w:rPr>
                      <w:rFonts w:ascii="Cambria Math" w:hAnsi="Cambria Math"/>
                    </w:rPr>
                    <m:t>i</m:t>
                  </m:r>
                </m:sub>
              </m:sSub>
              <m:r>
                <m:rPr>
                  <m:sty m:val="bi"/>
                </m:rPr>
                <w:rPr>
                  <w:rFonts w:ascii="Cambria Math" w:hAnsi="Cambria Math"/>
                </w:rPr>
                <m:t>+b,</m:t>
              </m:r>
              <m:r>
                <w:rPr>
                  <w:rFonts w:ascii="Cambria Math" w:hAnsi="Cambria Math"/>
                </w:rPr>
                <m:t>#</m:t>
              </m:r>
              <m:d>
                <m:dPr>
                  <m:ctrlPr>
                    <w:rPr>
                      <w:rFonts w:ascii="Cambria Math" w:hAnsi="Cambria Math"/>
                      <w:i/>
                    </w:rPr>
                  </m:ctrlPr>
                </m:dPr>
                <m:e>
                  <m:r>
                    <w:rPr>
                      <w:rFonts w:ascii="Cambria Math" w:hAnsi="Cambria Math"/>
                    </w:rPr>
                    <m:t>2</m:t>
                  </m:r>
                </m:e>
              </m:d>
            </m:e>
          </m:eqArr>
        </m:oMath>
      </m:oMathPara>
    </w:p>
    <w:p w14:paraId="39D0B875" w14:textId="77777777" w:rsidR="001D724A" w:rsidRDefault="001D724A" w:rsidP="001D724A">
      <w:pPr>
        <w:pStyle w:val="Text"/>
        <w:spacing w:line="480" w:lineRule="auto"/>
        <w:ind w:firstLine="0"/>
      </w:pPr>
      <w:r>
        <w:t xml:space="preserve">where </w:t>
      </w:r>
      <m:oMath>
        <m:r>
          <m:rPr>
            <m:sty m:val="bi"/>
          </m:rPr>
          <w:rPr>
            <w:rFonts w:ascii="Cambria Math" w:hAnsi="Cambria Math"/>
          </w:rPr>
          <m:t>w</m:t>
        </m:r>
      </m:oMath>
      <w:r>
        <w:rPr>
          <w:b/>
          <w:bCs/>
        </w:rPr>
        <w:t xml:space="preserve"> </w:t>
      </w:r>
      <w:r w:rsidRPr="001D1B18">
        <w:t xml:space="preserve">is a </w:t>
      </w:r>
      <w:r>
        <w:t xml:space="preserve">vector containing weights and </w:t>
      </w:r>
      <m:oMath>
        <m:r>
          <m:rPr>
            <m:sty m:val="bi"/>
          </m:rPr>
          <w:rPr>
            <w:rFonts w:ascii="Cambria Math" w:hAnsi="Cambria Math"/>
          </w:rPr>
          <m:t>b</m:t>
        </m:r>
      </m:oMath>
      <w:r>
        <w:rPr>
          <w:b/>
        </w:rPr>
        <w:t xml:space="preserve"> </w:t>
      </w:r>
      <w:r w:rsidRPr="002F74F4">
        <w:rPr>
          <w:bCs/>
        </w:rPr>
        <w:t>is</w:t>
      </w:r>
      <w:r>
        <w:t xml:space="preserve"> the bias term. In a predictive problem, </w:t>
      </w:r>
      <m:oMath>
        <m:r>
          <w:rPr>
            <w:rFonts w:ascii="Cambria Math" w:hAnsi="Cambria Math"/>
          </w:rPr>
          <m:t>y</m:t>
        </m:r>
      </m:oMath>
      <w:r>
        <w:t xml:space="preserve"> as in Eq. (1) represents the label, or target, to be predicted (the 1 MeV electron flux), </w:t>
      </w:r>
      <m:oMath>
        <m:r>
          <m:rPr>
            <m:sty m:val="bi"/>
          </m:rPr>
          <w:rPr>
            <w:rFonts w:ascii="Cambria Math" w:hAnsi="Cambria Math"/>
          </w:rPr>
          <m:t>x</m:t>
        </m:r>
      </m:oMath>
      <w:r>
        <w:rPr>
          <w:b/>
        </w:rPr>
        <w:t xml:space="preserve"> </w:t>
      </w:r>
      <w:r w:rsidRPr="00EF2285">
        <w:rPr>
          <w:bCs/>
        </w:rPr>
        <w:t>repres</w:t>
      </w:r>
      <w:r>
        <w:rPr>
          <w:bCs/>
        </w:rPr>
        <w:t xml:space="preserve">ents the input data (e.g. past values of precipitating electron fluxes) and </w:t>
      </w:r>
      <m:oMath>
        <m:r>
          <m:rPr>
            <m:sty m:val="bi"/>
          </m:rPr>
          <w:rPr>
            <w:rFonts w:ascii="Cambria Math" w:hAnsi="Cambria Math"/>
          </w:rPr>
          <m:t>w</m:t>
        </m:r>
      </m:oMath>
      <w:r>
        <w:rPr>
          <w:b/>
        </w:rPr>
        <w:t xml:space="preserve"> </w:t>
      </w:r>
      <w:r>
        <w:rPr>
          <w:bCs/>
        </w:rPr>
        <w:t xml:space="preserve">represents the set of linear coefficients that minimize the loss, or the sum of the errors of all true values of </w:t>
      </w:r>
      <m:oMath>
        <m:r>
          <w:rPr>
            <w:rFonts w:ascii="Cambria Math" w:hAnsi="Cambria Math"/>
          </w:rPr>
          <m:t>y</m:t>
        </m:r>
      </m:oMath>
      <w:r>
        <w:t xml:space="preserve"> and the predicted </w:t>
      </w:r>
      <m:oMath>
        <m:r>
          <w:rPr>
            <w:rFonts w:ascii="Cambria Math" w:hAnsi="Cambria Math"/>
          </w:rPr>
          <m:t>f</m:t>
        </m:r>
        <m:d>
          <m:dPr>
            <m:ctrlPr>
              <w:rPr>
                <w:rFonts w:ascii="Cambria Math" w:hAnsi="Cambria Math"/>
                <w:i/>
              </w:rPr>
            </m:ctrlPr>
          </m:dPr>
          <m:e>
            <m:sSub>
              <m:sSubPr>
                <m:ctrlPr>
                  <w:rPr>
                    <w:rFonts w:ascii="Cambria Math" w:hAnsi="Cambria Math"/>
                    <w:b/>
                    <w:i/>
                  </w:rPr>
                </m:ctrlPr>
              </m:sSubPr>
              <m:e>
                <m:r>
                  <m:rPr>
                    <m:sty m:val="bi"/>
                  </m:rPr>
                  <w:rPr>
                    <w:rFonts w:ascii="Cambria Math" w:hAnsi="Cambria Math"/>
                  </w:rPr>
                  <m:t>x</m:t>
                </m:r>
              </m:e>
              <m:sub>
                <m:r>
                  <m:rPr>
                    <m:sty m:val="bi"/>
                  </m:rPr>
                  <w:rPr>
                    <w:rFonts w:ascii="Cambria Math" w:hAnsi="Cambria Math"/>
                  </w:rPr>
                  <m:t>i</m:t>
                </m:r>
              </m:sub>
            </m:sSub>
            <m:ctrlPr>
              <w:rPr>
                <w:rFonts w:ascii="Cambria Math" w:hAnsi="Cambria Math"/>
                <w:b/>
                <w:i/>
              </w:rPr>
            </m:ctrlPr>
          </m:e>
        </m:d>
      </m:oMath>
      <w:r>
        <w:t xml:space="preserve">. From the optimization perspective, the weights </w:t>
      </w:r>
      <m:oMath>
        <m:r>
          <m:rPr>
            <m:sty m:val="bi"/>
          </m:rPr>
          <w:rPr>
            <w:rFonts w:ascii="Cambria Math" w:hAnsi="Cambria Math"/>
          </w:rPr>
          <m:t>w</m:t>
        </m:r>
      </m:oMath>
      <w:r>
        <w:t xml:space="preserve"> can be obtained using a simple ordinary least squares method. Linear models are simple models generally very useful as baselines, and their selection for this work is also due to the success of previous work by Chen et al. (2019).  </w:t>
      </w:r>
    </w:p>
    <w:p w14:paraId="17412238" w14:textId="77777777" w:rsidR="009E29A4" w:rsidRPr="00EF2285" w:rsidRDefault="009E29A4" w:rsidP="001D724A">
      <w:pPr>
        <w:pStyle w:val="Text"/>
        <w:spacing w:line="480" w:lineRule="auto"/>
        <w:ind w:firstLine="0"/>
        <w:rPr>
          <w:bCs/>
        </w:rPr>
      </w:pPr>
    </w:p>
    <w:p w14:paraId="38CA7D49" w14:textId="77777777" w:rsidR="001D724A" w:rsidRPr="00FE1913" w:rsidRDefault="001D724A" w:rsidP="009E29A4">
      <w:pPr>
        <w:pStyle w:val="Heading3"/>
      </w:pPr>
      <w:bookmarkStart w:id="297" w:name="_Toc26534653"/>
      <w:r w:rsidRPr="00FE1913">
        <w:t>3.2 Multilayer Perceptron</w:t>
      </w:r>
      <w:bookmarkEnd w:id="297"/>
      <w:r w:rsidRPr="00FE1913">
        <w:t xml:space="preserve"> </w:t>
      </w:r>
    </w:p>
    <w:p w14:paraId="4B35232C" w14:textId="77777777" w:rsidR="001D724A" w:rsidRDefault="001D724A" w:rsidP="001D724A">
      <w:pPr>
        <w:pStyle w:val="Text"/>
        <w:spacing w:line="480" w:lineRule="auto"/>
        <w:ind w:firstLine="0"/>
      </w:pPr>
      <w:r>
        <w:t>Starting from the linear model, a single neuron can be defined as</w:t>
      </w:r>
    </w:p>
    <w:p w14:paraId="50933E07" w14:textId="77777777" w:rsidR="001D724A" w:rsidRPr="009C7005" w:rsidRDefault="00CE1F3C" w:rsidP="001D724A">
      <w:pPr>
        <w:pStyle w:val="Text"/>
        <w:spacing w:line="480" w:lineRule="auto"/>
      </w:pPr>
      <m:oMathPara>
        <m:oMath>
          <m:eqArr>
            <m:eqArrPr>
              <m:maxDist m:val="1"/>
              <m:ctrlPr>
                <w:rPr>
                  <w:rFonts w:ascii="Cambria Math" w:hAnsi="Cambria Math"/>
                  <w:i/>
                </w:rPr>
              </m:ctrlPr>
            </m:eqArrPr>
            <m:e>
              <m:r>
                <w:rPr>
                  <w:rFonts w:ascii="Cambria Math" w:hAnsi="Cambria Math"/>
                </w:rPr>
                <m:t>f=a</m:t>
              </m:r>
              <m:d>
                <m:dPr>
                  <m:ctrlPr>
                    <w:rPr>
                      <w:rFonts w:ascii="Cambria Math" w:hAnsi="Cambria Math"/>
                      <w:i/>
                    </w:rPr>
                  </m:ctrlPr>
                </m:dPr>
                <m:e>
                  <m:sSup>
                    <m:sSupPr>
                      <m:ctrlPr>
                        <w:rPr>
                          <w:rFonts w:ascii="Cambria Math" w:hAnsi="Cambria Math"/>
                          <w:b/>
                          <w:i/>
                        </w:rPr>
                      </m:ctrlPr>
                    </m:sSupPr>
                    <m:e>
                      <m:r>
                        <m:rPr>
                          <m:sty m:val="bi"/>
                        </m:rPr>
                        <w:rPr>
                          <w:rFonts w:ascii="Cambria Math" w:hAnsi="Cambria Math"/>
                        </w:rPr>
                        <m:t>w</m:t>
                      </m:r>
                    </m:e>
                    <m:sup>
                      <m:r>
                        <m:rPr>
                          <m:sty m:val="bi"/>
                        </m:rPr>
                        <w:rPr>
                          <w:rFonts w:ascii="Cambria Math" w:hAnsi="Cambria Math"/>
                        </w:rPr>
                        <m:t>T</m:t>
                      </m:r>
                    </m:sup>
                  </m:sSup>
                  <m:sSub>
                    <m:sSubPr>
                      <m:ctrlPr>
                        <w:rPr>
                          <w:rFonts w:ascii="Cambria Math" w:hAnsi="Cambria Math"/>
                          <w:b/>
                          <w:i/>
                        </w:rPr>
                      </m:ctrlPr>
                    </m:sSubPr>
                    <m:e>
                      <m:r>
                        <m:rPr>
                          <m:sty m:val="bi"/>
                        </m:rPr>
                        <w:rPr>
                          <w:rFonts w:ascii="Cambria Math" w:hAnsi="Cambria Math"/>
                        </w:rPr>
                        <m:t>x</m:t>
                      </m:r>
                    </m:e>
                    <m:sub>
                      <m:r>
                        <m:rPr>
                          <m:sty m:val="bi"/>
                        </m:rPr>
                        <w:rPr>
                          <w:rFonts w:ascii="Cambria Math" w:hAnsi="Cambria Math"/>
                        </w:rPr>
                        <m:t>i</m:t>
                      </m:r>
                    </m:sub>
                  </m:sSub>
                  <m:r>
                    <m:rPr>
                      <m:sty m:val="bi"/>
                    </m:rPr>
                    <w:rPr>
                      <w:rFonts w:ascii="Cambria Math" w:hAnsi="Cambria Math"/>
                    </w:rPr>
                    <m:t>+b</m:t>
                  </m:r>
                  <m:ctrlPr>
                    <w:rPr>
                      <w:rFonts w:ascii="Cambria Math" w:hAnsi="Cambria Math"/>
                      <w:b/>
                      <w:bCs/>
                      <w:i/>
                    </w:rPr>
                  </m:ctrlPr>
                </m:e>
              </m:d>
              <m:r>
                <w:rPr>
                  <w:rFonts w:ascii="Cambria Math" w:hAnsi="Cambria Math"/>
                </w:rPr>
                <m:t>,#</m:t>
              </m:r>
              <m:d>
                <m:dPr>
                  <m:ctrlPr>
                    <w:rPr>
                      <w:rFonts w:ascii="Cambria Math" w:hAnsi="Cambria Math"/>
                      <w:i/>
                    </w:rPr>
                  </m:ctrlPr>
                </m:dPr>
                <m:e>
                  <m:r>
                    <w:rPr>
                      <w:rFonts w:ascii="Cambria Math" w:hAnsi="Cambria Math"/>
                    </w:rPr>
                    <m:t>3</m:t>
                  </m:r>
                </m:e>
              </m:d>
            </m:e>
          </m:eqArr>
        </m:oMath>
      </m:oMathPara>
    </w:p>
    <w:p w14:paraId="3BBF73BA" w14:textId="1B3E0B27" w:rsidR="001D724A" w:rsidRDefault="001D724A" w:rsidP="001D724A">
      <w:pPr>
        <w:pStyle w:val="Text"/>
        <w:spacing w:line="480" w:lineRule="auto"/>
        <w:ind w:firstLine="0"/>
      </w:pPr>
      <w:r>
        <w:t xml:space="preserve">where </w:t>
      </w:r>
      <m:oMath>
        <m:r>
          <w:rPr>
            <w:rFonts w:ascii="Cambria Math" w:hAnsi="Cambria Math"/>
          </w:rPr>
          <m:t>a</m:t>
        </m:r>
        <m:d>
          <m:dPr>
            <m:ctrlPr>
              <w:rPr>
                <w:rFonts w:ascii="Cambria Math" w:hAnsi="Cambria Math"/>
                <w:i/>
              </w:rPr>
            </m:ctrlPr>
          </m:dPr>
          <m:e>
            <m:r>
              <m:rPr>
                <m:sty m:val="bi"/>
              </m:rPr>
              <w:rPr>
                <w:rFonts w:ascii="Cambria Math" w:hAnsi="Cambria Math"/>
              </w:rPr>
              <m:t>.</m:t>
            </m:r>
            <m:ctrlPr>
              <w:rPr>
                <w:rFonts w:ascii="Cambria Math" w:hAnsi="Cambria Math"/>
                <w:b/>
                <w:bCs/>
                <w:i/>
              </w:rPr>
            </m:ctrlPr>
          </m:e>
        </m:d>
      </m:oMath>
      <w:r>
        <w:rPr>
          <w:b/>
          <w:bCs/>
        </w:rPr>
        <w:t xml:space="preserve"> </w:t>
      </w:r>
      <w:r>
        <w:t xml:space="preserve">is an element-wise activation function. The activation function is responsible to introduce non-linearity to the model. Some of the most common activation functions are the Rectified Linear Unit (ReLU, </w:t>
      </w:r>
      <w:r>
        <w:fldChar w:fldCharType="begin" w:fldLock="1"/>
      </w:r>
      <w:r>
        <w:instrText>ADDIN CSL_CITATION {"citationItems":[{"id":"ITEM-1","itemData":{"ISBN":"978-1-60558-907-7","author":[{"dropping-particle":"","family":"Nair","given":"Vinod","non-dropping-particle":"","parse-names":false,"suffix":""},{"dropping-particle":"","family":"Hinton","given":"Geoffrey E","non-dropping-particle":"","parse-names":false,"suffix":""}],"collection-title":"ICML'10","container-title":"Proceedings of the 27th International Conference on International Conference on Machine Learning","id":"ITEM-1","issued":{"date-parts":[["2010"]]},"page":"807-814","publisher":"Omnipress","publisher-place":"USA","title":"Rectified Linear Units Improve Restricted Boltzmann Machines","type":"paper-conference"},"uris":["http://www.mendeley.com/documents/?uuid=f41817c4-7a19-4bab-8ecc-886f4b90eca9"]},{"id":"ITEM-2","itemData":{"DOI":"10.1038/35016072","ISSN":"1476-4687","abstract":"Digital circuits such as the flip-flop use feedback to achieve multi-stability and nonlinearity to restore signals to logical levels, for example 0 and 1. Analogue feedback circuits are generally designed to operate linearly, so that signals are over a range, and the response is unique. By contrast, the response of cortical circuits to sensory stimulation can be both multistable and graded1,2,3,4. We propose that the neocortex combines digital selection of an active set of neurons with analogue response by dynamically varying the positive feedback inherent in its recurrent connections. Strong positive feedback causes differential instabilities that drive the selection of a set of active neurons under the constraints embedded in the synaptic weights. Once selected, the active neurons generate weaker, stable feedback that provides analogue amplification of the input. Here we present our model of cortical processing as an electronic circuit that emulates this hybrid operation, and so is able to perform computations that are similar to stimulus selection, gain modulation and spatiotemporal pattern generation in the neocortex. ","author":[{"dropping-particle":"","family":"Hahnloser","given":"Richard H R","non-dropping-particle":"","parse-names":false,"suffix":""},{"dropping-particle":"","family":"Sarpeshkar","given":"Rahul","non-dropping-particle":"","parse-names":false,"suffix":""},{"dropping-particle":"","family":"Mahowald","given":"Misha A","non-dropping-particle":"","parse-names":false,"suffix":""},{"dropping-particle":"","family":"Douglas","given":"Rodney J","non-dropping-particle":"","parse-names":false,"suffix":""},{"dropping-particle":"","family":"Seung","given":"H Sebastian","non-dropping-particle":"","parse-names":false,"suffix":""}],"container-title":"Nature","id":"ITEM-2","issue":"6789","issued":{"date-parts":[["2000"]]},"page":"947-951","title":"Digital selection and analogue amplification coexist in a cortex-inspired silicon circuit","type":"article-journal","volume":"405"},"uris":["http://www.mendeley.com/documents/?uuid=018918bc-f4f9-4579-8672-4142060d4cf0"]}],"mendeley":{"formattedCitation":"(Hahnloser et al., 2000; Nair &amp; Hinton, 2010)","manualFormatting":"Hahnloser et al., 2000; Nair &amp; Hinton, 2010)","plainTextFormattedCitation":"(Hahnloser et al., 2000; Nair &amp; Hinton, 2010)","previouslyFormattedCitation":"(Hahnloser et al., 2000; Nair &amp; Hinton, 2010)"},"properties":{"noteIndex":0},"schema":"https://github.com/citation-style-language/schema/raw/master/csl-citation.json"}</w:instrText>
      </w:r>
      <w:r>
        <w:fldChar w:fldCharType="separate"/>
      </w:r>
      <w:r w:rsidRPr="00A35C4E">
        <w:rPr>
          <w:noProof/>
        </w:rPr>
        <w:t>Hahnloser et al., 2000; Nair &amp; Hinton, 2010)</w:t>
      </w:r>
      <w:r>
        <w:fldChar w:fldCharType="end"/>
      </w:r>
      <w:r>
        <w:t xml:space="preserve"> and the E</w:t>
      </w:r>
      <w:r w:rsidRPr="009C7005">
        <w:t xml:space="preserve">xponential </w:t>
      </w:r>
      <w:r>
        <w:lastRenderedPageBreak/>
        <w:t>L</w:t>
      </w:r>
      <w:r w:rsidRPr="009C7005">
        <w:t xml:space="preserve">inear </w:t>
      </w:r>
      <w:r>
        <w:t xml:space="preserve">Unit (ELU, </w:t>
      </w:r>
      <w:r>
        <w:fldChar w:fldCharType="begin" w:fldLock="1"/>
      </w:r>
      <w:r>
        <w:instrText>ADDIN CSL_CITATION {"citationItems":[{"id":"ITEM-1","itemData":{"author":[{"dropping-particle":"","family":"Clevert","given":"Djork-Arné","non-dropping-particle":"","parse-names":false,"suffix":""},{"dropping-particle":"","family":"Unterthiner","given":"Thomas","non-dropping-particle":"","parse-names":false,"suffix":""},{"dropping-particle":"","family":"Hochreiter","given":"Sepp","non-dropping-particle":"","parse-names":false,"suffix":""}],"container-title":"arXiv e-prints","id":"ITEM-1","issued":{"date-parts":[["2015","11"]]},"page":"arXiv:1511.07289","title":"Fast and Accurate Deep Network Learning by Exponential Linear Units (ELUs)","type":"article-journal"},"uris":["http://www.mendeley.com/documents/?uuid=67f31e5d-0694-4a59-a1c7-31d2a8bb60a7"]}],"mendeley":{"formattedCitation":"(Clevert et al., 2015)","manualFormatting":"Clevert et al., 2015)","plainTextFormattedCitation":"(Clevert et al., 2015)","previouslyFormattedCitation":"(Clevert et al., 2015)"},"properties":{"noteIndex":0},"schema":"https://github.com/citation-style-language/schema/raw/master/csl-citation.json"}</w:instrText>
      </w:r>
      <w:r>
        <w:fldChar w:fldCharType="separate"/>
      </w:r>
      <w:r w:rsidRPr="00515400">
        <w:rPr>
          <w:noProof/>
        </w:rPr>
        <w:t>Clevert et al., 2015)</w:t>
      </w:r>
      <w:r>
        <w:fldChar w:fldCharType="end"/>
      </w:r>
      <w:r>
        <w:t>. ReLU</w:t>
      </w:r>
      <w:r w:rsidRPr="009879AE">
        <w:t xml:space="preserve"> is a piecewise linear function that </w:t>
      </w:r>
      <w:r>
        <w:t xml:space="preserve">outputs the input for positive values, zero otherwise. ELU outputs the identity for positive values as well, however ELU uses a logarithm </w:t>
      </w:r>
      <w:r w:rsidRPr="00F642E7">
        <w:t xml:space="preserve">curve for negative values </w:t>
      </w:r>
      <w:r>
        <w:t>(</w:t>
      </w:r>
      <m:oMath>
        <m:r>
          <w:rPr>
            <w:rFonts w:ascii="Cambria Math" w:hAnsi="Cambria Math"/>
          </w:rPr>
          <m:t>constant</m:t>
        </m:r>
        <m:d>
          <m:dPr>
            <m:ctrlPr>
              <w:rPr>
                <w:rFonts w:ascii="Cambria Math" w:hAnsi="Cambria Math"/>
                <w:i/>
              </w:rPr>
            </m:ctrlPr>
          </m:dPr>
          <m:e>
            <m:r>
              <w:rPr>
                <w:rFonts w:ascii="Cambria Math" w:hAnsi="Cambria Math"/>
              </w:rPr>
              <m:t>exp(input)</m:t>
            </m:r>
            <m:r>
              <m:rPr>
                <m:sty m:val="bi"/>
              </m:rPr>
              <w:rPr>
                <w:rFonts w:ascii="Cambria Math" w:hAnsi="Cambria Math"/>
              </w:rPr>
              <m:t>-1</m:t>
            </m:r>
            <m:ctrlPr>
              <w:rPr>
                <w:rFonts w:ascii="Cambria Math" w:hAnsi="Cambria Math"/>
                <w:b/>
                <w:bCs/>
                <w:i/>
              </w:rPr>
            </m:ctrlPr>
          </m:e>
        </m:d>
      </m:oMath>
      <w:r>
        <w:t>)</w:t>
      </w:r>
      <w:r w:rsidRPr="00F642E7">
        <w:t>.</w:t>
      </w:r>
      <w:r>
        <w:t xml:space="preserve"> A hidden layer is a set of neurons, or units, that </w:t>
      </w:r>
      <w:r w:rsidRPr="008474AC">
        <w:t xml:space="preserve">take </w:t>
      </w:r>
      <w:r>
        <w:t xml:space="preserve">in a </w:t>
      </w:r>
      <w:r w:rsidRPr="008474AC">
        <w:t xml:space="preserve">set of inputs </w:t>
      </w:r>
      <w:r>
        <w:t>(</w:t>
      </w:r>
      <m:oMath>
        <m:r>
          <m:rPr>
            <m:sty m:val="bi"/>
          </m:rPr>
          <w:rPr>
            <w:rFonts w:ascii="Cambria Math" w:hAnsi="Cambria Math"/>
          </w:rPr>
          <m:t>x</m:t>
        </m:r>
      </m:oMath>
      <w:r>
        <w:t xml:space="preserve">) </w:t>
      </w:r>
      <w:r w:rsidRPr="008474AC">
        <w:t>and produce an output</w:t>
      </w:r>
      <w:r>
        <w:t xml:space="preserve"> </w:t>
      </w:r>
      <m:oMath>
        <m:r>
          <w:rPr>
            <w:rFonts w:ascii="Cambria Math" w:hAnsi="Cambria Math"/>
          </w:rPr>
          <m:t>f</m:t>
        </m:r>
      </m:oMath>
      <w:r w:rsidRPr="008474AC">
        <w:t>.</w:t>
      </w:r>
      <w:r>
        <w:t xml:space="preserve"> If we use the </w:t>
      </w:r>
      <m:oMath>
        <m:sSubSup>
          <m:sSubSupPr>
            <m:ctrlPr>
              <w:rPr>
                <w:rFonts w:ascii="Cambria Math" w:hAnsi="Cambria Math"/>
                <w:i/>
              </w:rPr>
            </m:ctrlPr>
          </m:sSubSupPr>
          <m:e>
            <m:r>
              <w:rPr>
                <w:rFonts w:ascii="Cambria Math" w:hAnsi="Cambria Math"/>
              </w:rPr>
              <m:t>f</m:t>
            </m:r>
          </m:e>
          <m:sub>
            <m:r>
              <w:rPr>
                <w:rFonts w:ascii="Cambria Math" w:hAnsi="Cambria Math"/>
              </w:rPr>
              <m:t>i</m:t>
            </m:r>
          </m:sub>
          <m:sup>
            <m:r>
              <w:rPr>
                <w:rFonts w:ascii="Cambria Math" w:hAnsi="Cambria Math"/>
              </w:rPr>
              <m:t>[l]</m:t>
            </m:r>
          </m:sup>
        </m:sSubSup>
      </m:oMath>
      <w:r>
        <w:t xml:space="preserve"> notation to represent the output of the neuron </w:t>
      </w:r>
      <m:oMath>
        <m:r>
          <w:rPr>
            <w:rFonts w:ascii="Cambria Math" w:hAnsi="Cambria Math"/>
          </w:rPr>
          <m:t>i</m:t>
        </m:r>
      </m:oMath>
      <w:r>
        <w:t xml:space="preserve"> at layer </w:t>
      </w:r>
      <m:oMath>
        <m:r>
          <w:rPr>
            <w:rFonts w:ascii="Cambria Math" w:hAnsi="Cambria Math"/>
          </w:rPr>
          <m:t>l</m:t>
        </m:r>
      </m:oMath>
      <w:r>
        <w:t xml:space="preserve">, we can write Eq. (3) for the following layer as </w:t>
      </w:r>
      <m:oMath>
        <m:sSup>
          <m:sSupPr>
            <m:ctrlPr>
              <w:rPr>
                <w:rFonts w:ascii="Cambria Math" w:hAnsi="Cambria Math"/>
                <w:i/>
              </w:rPr>
            </m:ctrlPr>
          </m:sSupPr>
          <m:e>
            <m:r>
              <w:rPr>
                <w:rFonts w:ascii="Cambria Math" w:hAnsi="Cambria Math"/>
              </w:rPr>
              <m:t>f</m:t>
            </m:r>
          </m:e>
          <m:sup>
            <m:r>
              <w:rPr>
                <w:rFonts w:ascii="Cambria Math" w:hAnsi="Cambria Math"/>
              </w:rPr>
              <m:t>l+1</m:t>
            </m:r>
          </m:sup>
        </m:sSup>
        <m:r>
          <w:rPr>
            <w:rFonts w:ascii="Cambria Math" w:hAnsi="Cambria Math"/>
          </w:rPr>
          <m:t>=a</m:t>
        </m:r>
        <m:d>
          <m:dPr>
            <m:ctrlPr>
              <w:rPr>
                <w:rFonts w:ascii="Cambria Math" w:hAnsi="Cambria Math"/>
                <w:i/>
              </w:rPr>
            </m:ctrlPr>
          </m:dPr>
          <m:e>
            <m:sSup>
              <m:sSupPr>
                <m:ctrlPr>
                  <w:rPr>
                    <w:rFonts w:ascii="Cambria Math" w:hAnsi="Cambria Math"/>
                    <w:b/>
                    <w:i/>
                  </w:rPr>
                </m:ctrlPr>
              </m:sSupPr>
              <m:e>
                <m:r>
                  <m:rPr>
                    <m:sty m:val="bi"/>
                  </m:rPr>
                  <w:rPr>
                    <w:rFonts w:ascii="Cambria Math" w:hAnsi="Cambria Math"/>
                  </w:rPr>
                  <m:t>w</m:t>
                </m:r>
              </m:e>
              <m:sup>
                <m:r>
                  <m:rPr>
                    <m:sty m:val="bi"/>
                  </m:rPr>
                  <w:rPr>
                    <w:rFonts w:ascii="Cambria Math" w:hAnsi="Cambria Math"/>
                  </w:rPr>
                  <m:t>T</m:t>
                </m:r>
              </m:sup>
            </m:sSup>
            <m:sSup>
              <m:sSupPr>
                <m:ctrlPr>
                  <w:rPr>
                    <w:rFonts w:ascii="Cambria Math" w:hAnsi="Cambria Math"/>
                    <w:b/>
                    <w:i/>
                  </w:rPr>
                </m:ctrlPr>
              </m:sSupPr>
              <m:e>
                <m:r>
                  <m:rPr>
                    <m:sty m:val="bi"/>
                  </m:rPr>
                  <w:rPr>
                    <w:rFonts w:ascii="Cambria Math" w:hAnsi="Cambria Math"/>
                  </w:rPr>
                  <m:t>f</m:t>
                </m:r>
              </m:e>
              <m:sup>
                <m:r>
                  <m:rPr>
                    <m:sty m:val="bi"/>
                  </m:rPr>
                  <w:rPr>
                    <w:rFonts w:ascii="Cambria Math" w:hAnsi="Cambria Math"/>
                  </w:rPr>
                  <m:t>[l]</m:t>
                </m:r>
              </m:sup>
            </m:sSup>
            <m:r>
              <m:rPr>
                <m:sty m:val="bi"/>
              </m:rPr>
              <w:rPr>
                <w:rFonts w:ascii="Cambria Math" w:hAnsi="Cambria Math"/>
              </w:rPr>
              <m:t>+b</m:t>
            </m:r>
            <m:ctrlPr>
              <w:rPr>
                <w:rFonts w:ascii="Cambria Math" w:hAnsi="Cambria Math"/>
                <w:b/>
                <w:bCs/>
                <w:i/>
              </w:rPr>
            </m:ctrlPr>
          </m:e>
        </m:d>
      </m:oMath>
      <w:r>
        <w:rPr>
          <w:b/>
          <w:bCs/>
        </w:rPr>
        <w:t xml:space="preserve"> </w:t>
      </w:r>
      <w:r w:rsidRPr="00B2513C">
        <w:t xml:space="preserve">to represent </w:t>
      </w:r>
      <w:r>
        <w:t xml:space="preserve">the inputs for layer </w:t>
      </w:r>
      <m:oMath>
        <m:r>
          <w:rPr>
            <w:rFonts w:ascii="Cambria Math" w:hAnsi="Cambria Math"/>
          </w:rPr>
          <m:t>l</m:t>
        </m:r>
      </m:oMath>
      <w:r>
        <w:t xml:space="preserve"> +1 depend on the output of layer </w:t>
      </w:r>
      <m:oMath>
        <m:r>
          <w:rPr>
            <w:rFonts w:ascii="Cambria Math" w:hAnsi="Cambria Math"/>
          </w:rPr>
          <m:t>l</m:t>
        </m:r>
      </m:oMath>
      <w:r w:rsidRPr="00B2513C">
        <w:t>.</w:t>
      </w:r>
      <w:r w:rsidRPr="00F3521D">
        <w:t xml:space="preserve"> </w:t>
      </w:r>
      <w:r w:rsidRPr="003F4E63">
        <w:fldChar w:fldCharType="begin"/>
      </w:r>
      <w:r w:rsidRPr="003F4E63">
        <w:instrText xml:space="preserve"> REF _Ref20904416 \h  \* MERGEFORMAT </w:instrText>
      </w:r>
      <w:r w:rsidRPr="003F4E63">
        <w:fldChar w:fldCharType="separate"/>
      </w:r>
      <w:r w:rsidR="00857B42" w:rsidRPr="00857B42">
        <w:rPr>
          <w:bCs/>
        </w:rPr>
        <w:t xml:space="preserve">Figure </w:t>
      </w:r>
      <w:r w:rsidR="00857B42" w:rsidRPr="00857B42">
        <w:rPr>
          <w:bCs/>
          <w:noProof/>
        </w:rPr>
        <w:t>25</w:t>
      </w:r>
      <w:r w:rsidRPr="003F4E63">
        <w:fldChar w:fldCharType="end"/>
      </w:r>
      <w:r w:rsidRPr="00F3521D">
        <w:t xml:space="preserve"> </w:t>
      </w:r>
      <w:r>
        <w:t xml:space="preserve">illustrates a single neuron in the left </w:t>
      </w:r>
      <w:r w:rsidRPr="00F3521D">
        <w:t>and how sets of neurons can be combined to form layers</w:t>
      </w:r>
      <w:r w:rsidRPr="00B2513C">
        <w:t xml:space="preserve"> and neural networks</w:t>
      </w:r>
      <w:r>
        <w:t xml:space="preserve"> in the right</w:t>
      </w:r>
      <w:r w:rsidRPr="00B2513C">
        <w:t xml:space="preserve">. </w:t>
      </w:r>
      <w:r>
        <w:t>Here</w:t>
      </w:r>
      <w:r w:rsidRPr="00F3521D">
        <w:t xml:space="preserve"> the information flows from left (the input) to right (the output). This structure is a class of Feedforward Networks, </w:t>
      </w:r>
      <w:r w:rsidRPr="00B2513C">
        <w:t>sometimes</w:t>
      </w:r>
      <w:r>
        <w:t xml:space="preserve"> named m</w:t>
      </w:r>
      <w:r w:rsidRPr="00B2513C">
        <w:t xml:space="preserve">ultilayer perceptron (MLP). </w:t>
      </w:r>
      <w:r w:rsidRPr="00C13905">
        <w:t>Loosely defined, an artificial neural network</w:t>
      </w:r>
      <w:r>
        <w:t xml:space="preserve"> (NN)</w:t>
      </w:r>
      <w:r w:rsidRPr="00C13905">
        <w:t xml:space="preserve"> is a model consisting of connected neurons. </w:t>
      </w:r>
      <w:r w:rsidRPr="00742529">
        <w:t xml:space="preserve">The term deep model or deep learning is generally used for </w:t>
      </w:r>
      <w:r w:rsidRPr="00F3521D">
        <w:t>n</w:t>
      </w:r>
      <w:r>
        <w:softHyphen/>
      </w:r>
      <w:r>
        <w:softHyphen/>
      </w:r>
      <w:r w:rsidRPr="00F3521D">
        <w:t xml:space="preserve">eural networks containing </w:t>
      </w:r>
      <w:r>
        <w:t>more than one</w:t>
      </w:r>
      <w:r w:rsidRPr="00F3521D">
        <w:t xml:space="preserve"> hidden layer. When all neurons in a layer receive input from all elements in the previous la</w:t>
      </w:r>
      <w:r>
        <w:t xml:space="preserve">yer (e.g. the hidden layers in </w:t>
      </w:r>
      <w:r w:rsidRPr="003F4E63">
        <w:fldChar w:fldCharType="begin"/>
      </w:r>
      <w:r w:rsidRPr="003F4E63">
        <w:instrText xml:space="preserve"> REF _Ref20904416 \h  \* MERGEFORMAT </w:instrText>
      </w:r>
      <w:r w:rsidRPr="003F4E63">
        <w:fldChar w:fldCharType="separate"/>
      </w:r>
      <w:r w:rsidR="00857B42" w:rsidRPr="00857B42">
        <w:rPr>
          <w:bCs/>
        </w:rPr>
        <w:t xml:space="preserve">Figure </w:t>
      </w:r>
      <w:r w:rsidR="00857B42" w:rsidRPr="00857B42">
        <w:rPr>
          <w:bCs/>
          <w:noProof/>
        </w:rPr>
        <w:t>25</w:t>
      </w:r>
      <w:r w:rsidRPr="003F4E63">
        <w:fldChar w:fldCharType="end"/>
      </w:r>
      <w:r w:rsidRPr="003F4E63">
        <w:rPr>
          <w:bCs/>
        </w:rPr>
        <w:t>b</w:t>
      </w:r>
      <w:r w:rsidRPr="00F3521D">
        <w:t>)</w:t>
      </w:r>
      <w:r>
        <w:t>,</w:t>
      </w:r>
      <w:r w:rsidRPr="00F3521D">
        <w:t xml:space="preserve"> they </w:t>
      </w:r>
      <w:r>
        <w:t xml:space="preserve">are also called fully or densely connected layers. </w:t>
      </w:r>
    </w:p>
    <w:p w14:paraId="3AC7709A" w14:textId="77777777" w:rsidR="009E29A4" w:rsidRDefault="009E29A4" w:rsidP="001D724A">
      <w:pPr>
        <w:pStyle w:val="Text"/>
        <w:spacing w:line="480" w:lineRule="auto"/>
        <w:ind w:firstLine="0"/>
      </w:pPr>
    </w:p>
    <w:p w14:paraId="1037891B" w14:textId="77777777" w:rsidR="001D724A" w:rsidRPr="00D736EE" w:rsidRDefault="001D724A" w:rsidP="009E29A4">
      <w:pPr>
        <w:pStyle w:val="Heading3"/>
      </w:pPr>
      <w:bookmarkStart w:id="298" w:name="_Toc26534654"/>
      <w:r w:rsidRPr="00D736EE">
        <w:t>3.3 Convolutional Neural Networks</w:t>
      </w:r>
      <w:bookmarkEnd w:id="298"/>
    </w:p>
    <w:p w14:paraId="3D939D63" w14:textId="77777777" w:rsidR="001D724A" w:rsidRDefault="001D724A" w:rsidP="001D724A">
      <w:pPr>
        <w:pStyle w:val="Text"/>
        <w:spacing w:line="480" w:lineRule="auto"/>
        <w:ind w:firstLine="0"/>
      </w:pPr>
      <w:r>
        <w:t xml:space="preserve">Convolutional neural networks (CNNs) are powerful and influential deep learning model architectures. The computer vision field strongly adopted CNNs as their workforce after the CNN described in </w:t>
      </w:r>
      <w:r>
        <w:fldChar w:fldCharType="begin" w:fldLock="1"/>
      </w:r>
      <w:r>
        <w:instrText>ADDIN CSL_CITATION {"citationItems":[{"id":"ITEM-1","itemData":{"author":[{"dropping-particle":"","family":"Krizhevsky","given":"Alex","non-dropping-particle":"","parse-names":false,"suffix":""},{"dropping-particle":"","family":"Sutskever","given":"Ilya","non-dropping-particle":"","parse-names":false,"suffix":""},{"dropping-particle":"","family":"Hinton","given":"Geoffrey E","non-dropping-particle":"","parse-names":false,"suffix":""}],"collection-title":"NIPS'12","container-title":"Proceedings of the 25th International Conference on Neural Information Processing Systems - Volume 1","id":"ITEM-1","issued":{"date-parts":[["2012"]]},"page":"1097-1105","publisher":"Curran Associates Inc.","publisher-place":"USA","title":"ImageNet Classification with Deep Convolutional Neural Networks","type":"paper-conference"},"uris":["http://www.mendeley.com/documents/?uuid=d1bdbb5f-bb6d-464f-b23e-e9ad964cafa2"]}],"mendeley":{"formattedCitation":"(Krizhevsky et al., 2012)","manualFormatting":"Krizhevsky et al. (2012)","plainTextFormattedCitation":"(Krizhevsky et al., 2012)","previouslyFormattedCitation":"(Krizhevsky et al., 2012)"},"properties":{"noteIndex":0},"schema":"https://github.com/citation-style-language/schema/raw/master/csl-citation.json"}</w:instrText>
      </w:r>
      <w:r>
        <w:fldChar w:fldCharType="separate"/>
      </w:r>
      <w:r w:rsidRPr="006D4565">
        <w:rPr>
          <w:noProof/>
        </w:rPr>
        <w:t xml:space="preserve">Krizhevsky et al. </w:t>
      </w:r>
      <w:r>
        <w:rPr>
          <w:noProof/>
        </w:rPr>
        <w:t>(</w:t>
      </w:r>
      <w:r w:rsidRPr="006D4565">
        <w:rPr>
          <w:noProof/>
        </w:rPr>
        <w:t>2012)</w:t>
      </w:r>
      <w:r>
        <w:fldChar w:fldCharType="end"/>
      </w:r>
      <w:r>
        <w:t xml:space="preserve"> and achieved new levels of accuracy in the popular </w:t>
      </w:r>
      <w:r w:rsidRPr="006D4565">
        <w:t xml:space="preserve">ImageNet Large Scale Visual Recognition Competition </w:t>
      </w:r>
      <w:r>
        <w:fldChar w:fldCharType="begin" w:fldLock="1"/>
      </w:r>
      <w:r>
        <w:instrText>ADDIN CSL_CITATION {"citationItems":[{"id":"ITEM-1","itemData":{"DOI":"10.1007/s11263-015-0816-y","ISSN":"0920-5691","author":[{"dropping-particle":"","family":"Russakovsky","given":"Olga","non-dropping-particle":"","parse-names":false,"suffix":""},{"dropping-particle":"","family":"Deng","given":"Jia","non-dropping-particle":"","parse-names":false,"suffix":""},{"dropping-particle":"","family":"Su","given":"Hao","non-dropping-particle":"","parse-names":false,"suffix":""},{"dropping-particle":"","family":"Krause","given":"Jonathan","non-dropping-particle":"","parse-names":false,"suffix":""},{"dropping-particle":"","family":"Satheesh","given":"Sanjeev","non-dropping-particle":"","parse-names":false,"suffix":""},{"dropping-particle":"","family":"Ma","given":"Sean","non-dropping-particle":"","parse-names":false,"suffix":""},{"dropping-particle":"","family":"Huang","given":"Zhiheng","non-dropping-particle":"","parse-names":false,"suffix":""},{"dropping-particle":"","family":"Karpathy","given":"Andrej","non-dropping-particle":"","parse-names":false,"suffix":""},{"dropping-particle":"","family":"Khosla","given":"Aditya","non-dropping-particle":"","parse-names":false,"suffix":""},{"dropping-particle":"","family":"Bernstein","given":"Michael","non-dropping-particle":"","parse-names":false,"suffix":""},{"dropping-particle":"","family":"Berg","given":"Alexander C.","non-dropping-particle":"","parse-names":false,"suffix":""},{"dropping-particle":"","family":"Fei-Fei","given":"Li","non-dropping-particle":"","parse-names":false,"suffix":""}],"container-title":"International Journal of Computer Vision","id":"ITEM-1","issue":"3","issued":{"date-parts":[["2015","12","11"]]},"page":"211-252","publisher":"Springer US","title":"ImageNet Large Scale Visual Recognition Challenge","type":"article-journal","volume":"115"},"uris":["http://www.mendeley.com/documents/?uuid=2c3988eb-b27d-3475-963d-67d67b346a31"]}],"mendeley":{"formattedCitation":"(Russakovsky et al., 2015)","plainTextFormattedCitation":"(Russakovsky et al., 2015)","previouslyFormattedCitation":"(Russakovsky et al., 2015)"},"properties":{"noteIndex":0},"schema":"https://github.com/citation-style-language/schema/raw/master/csl-citation.json"}</w:instrText>
      </w:r>
      <w:r>
        <w:fldChar w:fldCharType="separate"/>
      </w:r>
      <w:r w:rsidRPr="006D4565">
        <w:rPr>
          <w:noProof/>
        </w:rPr>
        <w:t>(Russakovsky et al., 2015)</w:t>
      </w:r>
      <w:r>
        <w:fldChar w:fldCharType="end"/>
      </w:r>
      <w:r>
        <w:t xml:space="preserve">. All CNNs make use of the fundamental convolutional kernel. Convolution operates on two functions, one generally interpreted as the “input”, and the other as a “filter”.  The filter is commonly referred to as “kernel”. The kernel is applied on the input, producing an output image or signal. During </w:t>
      </w:r>
      <w:r>
        <w:lastRenderedPageBreak/>
        <w:t xml:space="preserve">the training stage, the values of kernels are updated in such a way that the output generated by the CNN is more similar to the desired label, i.e., minimizes the cost. Just like the neurons described in subsection 3.2, a set of convolutional kernels can be combined into layers. </w:t>
      </w:r>
      <w:r>
        <w:fldChar w:fldCharType="begin" w:fldLock="1"/>
      </w:r>
      <w:r>
        <w:instrText>ADDIN CSL_CITATION {"citationItems":[{"id":"ITEM-1","itemData":{"author":[{"dropping-particle":"","family":"Dumoulin","given":"V","non-dropping-particle":"","parse-names":false,"suffix":""},{"dropping-particle":"","family":"Visin","given":"F","non-dropping-particle":"","parse-names":false,"suffix":""}],"container-title":"ArXiv e-prints","id":"ITEM-1","issued":{"date-parts":[["2016","3"]]},"title":"A guide to convolution arithmetic for deep learning","type":"article-journal"},"uris":["http://www.mendeley.com/documents/?uuid=ca964fad-8eae-4ccf-aa36-0a3d2463c2ff"]}],"mendeley":{"formattedCitation":"(Dumoulin &amp; Visin, 2016)","manualFormatting":"Dumoulin &amp; Visin (2016)","plainTextFormattedCitation":"(Dumoulin &amp; Visin, 2016)","previouslyFormattedCitation":"(Dumoulin &amp; Visin, 2016)"},"properties":{"noteIndex":0},"schema":"https://github.com/citation-style-language/schema/raw/master/csl-citation.json"}</w:instrText>
      </w:r>
      <w:r>
        <w:fldChar w:fldCharType="separate"/>
      </w:r>
      <w:r w:rsidRPr="00306AE5">
        <w:rPr>
          <w:noProof/>
        </w:rPr>
        <w:t xml:space="preserve">Dumoulin &amp; Visin </w:t>
      </w:r>
      <w:r>
        <w:rPr>
          <w:noProof/>
        </w:rPr>
        <w:t>(</w:t>
      </w:r>
      <w:r w:rsidRPr="00306AE5">
        <w:rPr>
          <w:noProof/>
        </w:rPr>
        <w:t>2016)</w:t>
      </w:r>
      <w:r>
        <w:fldChar w:fldCharType="end"/>
      </w:r>
      <w:r>
        <w:t xml:space="preserve"> showed details on the arithmetic of convolutions for deep learning. Here, we provide only the essential equation for 1D convolution. An 1D convolution of the input vector </w:t>
      </w:r>
      <m:oMath>
        <m:r>
          <m:rPr>
            <m:sty m:val="bi"/>
          </m:rPr>
          <w:rPr>
            <w:rFonts w:ascii="Cambria Math" w:hAnsi="Cambria Math"/>
          </w:rPr>
          <m:t>x</m:t>
        </m:r>
      </m:oMath>
      <w:r>
        <w:t xml:space="preserve"> and the kernel </w:t>
      </w:r>
      <m:oMath>
        <m:r>
          <m:rPr>
            <m:sty m:val="bi"/>
          </m:rPr>
          <w:rPr>
            <w:rFonts w:ascii="Cambria Math" w:hAnsi="Cambria Math"/>
          </w:rPr>
          <m:t>g</m:t>
        </m:r>
      </m:oMath>
      <w:r>
        <w:t xml:space="preserve"> of length </w:t>
      </w:r>
      <m:oMath>
        <m:r>
          <w:rPr>
            <w:rFonts w:ascii="Cambria Math" w:hAnsi="Cambria Math"/>
          </w:rPr>
          <m:t>m</m:t>
        </m:r>
      </m:oMath>
      <w:r>
        <w:t xml:space="preserve"> is given by</w:t>
      </w:r>
    </w:p>
    <w:p w14:paraId="6309AADE" w14:textId="77777777" w:rsidR="001D724A" w:rsidRPr="00905A4C" w:rsidRDefault="00CE1F3C" w:rsidP="001D724A">
      <w:pPr>
        <w:pStyle w:val="Text"/>
        <w:spacing w:line="480" w:lineRule="auto"/>
      </w:pPr>
      <m:oMathPara>
        <m:oMath>
          <m:eqArr>
            <m:eqArrPr>
              <m:maxDist m:val="1"/>
              <m:ctrlPr>
                <w:rPr>
                  <w:rFonts w:ascii="Cambria Math" w:hAnsi="Cambria Math"/>
                  <w:i/>
                </w:rPr>
              </m:ctrlPr>
            </m:eqArrPr>
            <m:e>
              <m:d>
                <m:dPr>
                  <m:ctrlPr>
                    <w:rPr>
                      <w:rFonts w:ascii="Cambria Math" w:hAnsi="Cambria Math"/>
                      <w:i/>
                    </w:rPr>
                  </m:ctrlPr>
                </m:dPr>
                <m:e>
                  <m:r>
                    <w:rPr>
                      <w:rFonts w:ascii="Cambria Math" w:hAnsi="Cambria Math"/>
                    </w:rPr>
                    <m:t>x*g</m:t>
                  </m:r>
                </m:e>
              </m:d>
              <m:d>
                <m:dPr>
                  <m:ctrlPr>
                    <w:rPr>
                      <w:rFonts w:ascii="Cambria Math" w:hAnsi="Cambria Math"/>
                      <w:i/>
                    </w:rPr>
                  </m:ctrlPr>
                </m:dPr>
                <m:e>
                  <m:r>
                    <w:rPr>
                      <w:rFonts w:ascii="Cambria Math" w:hAnsi="Cambria Math"/>
                    </w:rPr>
                    <m:t>i</m:t>
                  </m:r>
                </m:e>
              </m:d>
              <m:r>
                <w:rPr>
                  <w:rFonts w:ascii="Cambria Math" w:hAnsi="Cambria Math"/>
                </w:rPr>
                <m:t>=</m:t>
              </m:r>
              <m:nary>
                <m:naryPr>
                  <m:chr m:val="∑"/>
                  <m:limLoc m:val="undOvr"/>
                  <m:ctrlPr>
                    <w:rPr>
                      <w:rFonts w:ascii="Cambria Math" w:hAnsi="Cambria Math"/>
                      <w:i/>
                    </w:rPr>
                  </m:ctrlPr>
                </m:naryPr>
                <m:sub>
                  <m:r>
                    <w:rPr>
                      <w:rFonts w:ascii="Cambria Math" w:hAnsi="Cambria Math"/>
                    </w:rPr>
                    <m:t>j=1</m:t>
                  </m:r>
                </m:sub>
                <m:sup>
                  <m:r>
                    <w:rPr>
                      <w:rFonts w:ascii="Cambria Math" w:hAnsi="Cambria Math"/>
                    </w:rPr>
                    <m:t>m</m:t>
                  </m:r>
                </m:sup>
                <m:e>
                  <m:r>
                    <w:rPr>
                      <w:rFonts w:ascii="Cambria Math" w:hAnsi="Cambria Math"/>
                    </w:rPr>
                    <m:t>g</m:t>
                  </m:r>
                  <m:d>
                    <m:dPr>
                      <m:ctrlPr>
                        <w:rPr>
                          <w:rFonts w:ascii="Cambria Math" w:hAnsi="Cambria Math"/>
                          <w:i/>
                        </w:rPr>
                      </m:ctrlPr>
                    </m:dPr>
                    <m:e>
                      <m:r>
                        <w:rPr>
                          <w:rFonts w:ascii="Cambria Math" w:hAnsi="Cambria Math"/>
                        </w:rPr>
                        <m:t>j</m:t>
                      </m:r>
                    </m:e>
                  </m:d>
                  <m:r>
                    <w:rPr>
                      <w:rFonts w:ascii="Cambria Math" w:hAnsi="Cambria Math"/>
                    </w:rPr>
                    <m:t>x</m:t>
                  </m:r>
                  <m:d>
                    <m:dPr>
                      <m:ctrlPr>
                        <w:rPr>
                          <w:rFonts w:ascii="Cambria Math" w:hAnsi="Cambria Math"/>
                          <w:i/>
                        </w:rPr>
                      </m:ctrlPr>
                    </m:dPr>
                    <m:e>
                      <m:r>
                        <w:rPr>
                          <w:rFonts w:ascii="Cambria Math" w:hAnsi="Cambria Math"/>
                        </w:rPr>
                        <m:t>i-j+</m:t>
                      </m:r>
                      <m:f>
                        <m:fPr>
                          <m:ctrlPr>
                            <w:rPr>
                              <w:rFonts w:ascii="Cambria Math" w:hAnsi="Cambria Math"/>
                              <w:i/>
                            </w:rPr>
                          </m:ctrlPr>
                        </m:fPr>
                        <m:num>
                          <m:r>
                            <w:rPr>
                              <w:rFonts w:ascii="Cambria Math" w:hAnsi="Cambria Math"/>
                            </w:rPr>
                            <m:t>m</m:t>
                          </m:r>
                        </m:num>
                        <m:den>
                          <m:r>
                            <w:rPr>
                              <w:rFonts w:ascii="Cambria Math" w:hAnsi="Cambria Math"/>
                            </w:rPr>
                            <m:t>2</m:t>
                          </m:r>
                        </m:den>
                      </m:f>
                    </m:e>
                  </m:d>
                </m:e>
              </m:nary>
              <m:r>
                <w:rPr>
                  <w:rFonts w:ascii="Cambria Math" w:hAnsi="Cambria Math"/>
                </w:rPr>
                <m:t>.#</m:t>
              </m:r>
              <m:d>
                <m:dPr>
                  <m:ctrlPr>
                    <w:rPr>
                      <w:rFonts w:ascii="Cambria Math" w:hAnsi="Cambria Math"/>
                      <w:i/>
                    </w:rPr>
                  </m:ctrlPr>
                </m:dPr>
                <m:e>
                  <m:r>
                    <w:rPr>
                      <w:rFonts w:ascii="Cambria Math" w:hAnsi="Cambria Math"/>
                    </w:rPr>
                    <m:t>4</m:t>
                  </m:r>
                </m:e>
              </m:d>
            </m:e>
          </m:eqArr>
        </m:oMath>
      </m:oMathPara>
    </w:p>
    <w:p w14:paraId="04ECE091" w14:textId="77777777" w:rsidR="001D724A" w:rsidRPr="00691AC3" w:rsidRDefault="001D724A" w:rsidP="001D724A">
      <w:pPr>
        <w:pStyle w:val="Text"/>
        <w:spacing w:line="480" w:lineRule="auto"/>
        <w:ind w:firstLine="0"/>
        <w:rPr>
          <w:lang w:val="de-DE"/>
        </w:rPr>
      </w:pPr>
      <w:r>
        <w:t xml:space="preserve">A CNN unit in deep learning models is a composite of  activation function and the convolution term in Eq. </w:t>
      </w:r>
      <w:r w:rsidRPr="00691AC3">
        <w:rPr>
          <w:lang w:val="de-DE"/>
        </w:rPr>
        <w:t xml:space="preserve">(4), i.e., </w:t>
      </w:r>
      <m:oMath>
        <m:r>
          <w:rPr>
            <w:rFonts w:ascii="Cambria Math" w:hAnsi="Cambria Math"/>
          </w:rPr>
          <m:t>f</m:t>
        </m:r>
        <m:d>
          <m:dPr>
            <m:ctrlPr>
              <w:rPr>
                <w:rFonts w:ascii="Cambria Math" w:hAnsi="Cambria Math"/>
                <w:i/>
              </w:rPr>
            </m:ctrlPr>
          </m:dPr>
          <m:e>
            <m:r>
              <w:rPr>
                <w:rFonts w:ascii="Cambria Math" w:hAnsi="Cambria Math"/>
              </w:rPr>
              <m:t>i</m:t>
            </m:r>
          </m:e>
        </m:d>
        <m:r>
          <w:rPr>
            <w:rFonts w:ascii="Cambria Math" w:hAnsi="Cambria Math"/>
            <w:lang w:val="de-DE"/>
          </w:rPr>
          <m:t>=</m:t>
        </m:r>
        <m:r>
          <w:rPr>
            <w:rFonts w:ascii="Cambria Math" w:hAnsi="Cambria Math"/>
          </w:rPr>
          <m:t>a</m:t>
        </m:r>
        <m:r>
          <w:rPr>
            <w:rFonts w:ascii="Cambria Math" w:hAnsi="Cambria Math"/>
            <w:lang w:val="de-DE"/>
          </w:rPr>
          <m:t>(</m:t>
        </m:r>
        <m:d>
          <m:dPr>
            <m:ctrlPr>
              <w:rPr>
                <w:rFonts w:ascii="Cambria Math" w:hAnsi="Cambria Math"/>
                <w:i/>
              </w:rPr>
            </m:ctrlPr>
          </m:dPr>
          <m:e>
            <m:r>
              <w:rPr>
                <w:rFonts w:ascii="Cambria Math" w:hAnsi="Cambria Math"/>
              </w:rPr>
              <m:t>x</m:t>
            </m:r>
            <m:r>
              <w:rPr>
                <w:rFonts w:ascii="Cambria Math" w:hAnsi="Cambria Math"/>
                <w:lang w:val="de-DE"/>
              </w:rPr>
              <m:t>*</m:t>
            </m:r>
            <m:r>
              <w:rPr>
                <w:rFonts w:ascii="Cambria Math" w:hAnsi="Cambria Math"/>
              </w:rPr>
              <m:t>g</m:t>
            </m:r>
          </m:e>
        </m:d>
        <m:d>
          <m:dPr>
            <m:ctrlPr>
              <w:rPr>
                <w:rFonts w:ascii="Cambria Math" w:hAnsi="Cambria Math"/>
                <w:i/>
              </w:rPr>
            </m:ctrlPr>
          </m:dPr>
          <m:e>
            <m:r>
              <w:rPr>
                <w:rFonts w:ascii="Cambria Math" w:hAnsi="Cambria Math"/>
              </w:rPr>
              <m:t>i</m:t>
            </m:r>
          </m:e>
        </m:d>
        <m:r>
          <w:rPr>
            <w:rFonts w:ascii="Cambria Math" w:hAnsi="Cambria Math"/>
            <w:lang w:val="de-DE"/>
          </w:rPr>
          <m:t>)</m:t>
        </m:r>
      </m:oMath>
      <w:r w:rsidRPr="00691AC3">
        <w:rPr>
          <w:lang w:val="de-DE"/>
        </w:rPr>
        <w:t>.</w:t>
      </w:r>
    </w:p>
    <w:p w14:paraId="0E6FCCF5" w14:textId="77777777" w:rsidR="001D724A" w:rsidRDefault="001D724A" w:rsidP="001D724A">
      <w:pPr>
        <w:pStyle w:val="Text"/>
        <w:spacing w:line="480" w:lineRule="auto"/>
        <w:ind w:firstLine="0"/>
      </w:pPr>
      <w:r>
        <w:fldChar w:fldCharType="begin" w:fldLock="1"/>
      </w:r>
      <w:r w:rsidRPr="00691AC3">
        <w:rPr>
          <w:lang w:val="de-DE"/>
        </w:rPr>
        <w:instrText>ADDIN CSL_CITATION {"citationItems":[{"id":"ITEM-1","itemData":{"author":[{"dropping-particle":"","family":"Springenberg","given":"Jost Tobias","non-dropping-particle":"","parse-names":false,"suffix":""},{"dropping-particle":"","family":"Dosovitskiy","given":"Alexey","non-dropping-particle":"","parse-names":false,"suffix":""},{"dropping-particle":"","family":"Brox","given":"Thomas","non-dropping-particle":"","parse-names":false,"suffix":""},{"dropping-particle":"","family":"Riedmiller","given":"Martin","non-dropping-particle":"","parse-names":false,"suffix":""}],"container-title":"arXiv e-prints","id":"ITEM-1","issued":{"date-parts":[["2014","12"]]},"page":"arXiv:1412.6806","title":"Striving for Simplicity: The All Convolutional Net","type":"article-journal"},"uris":["http://www.mendeley.com/documents/?uuid=51798407-a86a-49cc-be29-96edeb498a5a"]}],"mendeley":{"formattedCitation":"(Springenberg et al., 2014)","manualFormatting":"Springenberg et al. (2014)","plainTextFormattedCitation":"(Springenberg et al., 2014)","previouslyFormattedCitation":"(Springenberg et al., 2014)"},"properties":{"noteIndex":0},"schema":"https://github.com/citation-style-language/schema/raw/master/csl-citation.json"}</w:instrText>
      </w:r>
      <w:r>
        <w:fldChar w:fldCharType="separate"/>
      </w:r>
      <w:r w:rsidRPr="00691AC3">
        <w:rPr>
          <w:noProof/>
          <w:lang w:val="de-DE"/>
        </w:rPr>
        <w:t xml:space="preserve">Springenberg et al. </w:t>
      </w:r>
      <w:r>
        <w:rPr>
          <w:noProof/>
        </w:rPr>
        <w:t>(</w:t>
      </w:r>
      <w:r w:rsidRPr="008455CD">
        <w:rPr>
          <w:noProof/>
        </w:rPr>
        <w:t>2014)</w:t>
      </w:r>
      <w:r>
        <w:fldChar w:fldCharType="end"/>
      </w:r>
      <w:r>
        <w:t xml:space="preserve"> observed that CNNs commonly use alternating convolution and max-pooling layers followed by a small number of fully connected layers. The models are typically regularized during training using dropout. Max-pooling are simple down-sampling steps in which </w:t>
      </w:r>
      <w:r w:rsidRPr="006B5700">
        <w:t>the maximum value for each patch</w:t>
      </w:r>
      <w:r>
        <w:t xml:space="preserve"> (containing multiple values)</w:t>
      </w:r>
      <w:r w:rsidRPr="006B5700">
        <w:t xml:space="preserve"> of </w:t>
      </w:r>
      <w:r>
        <w:t xml:space="preserve">a feature is used to represent the entire patch, effectively reducing the feature size. Dropouts layers randomly select a percentage of their inputs to be ignored during the training phase. Dropouts are useful to avoid overfitting. Dropout is a general approach and not specific for CNN models. </w:t>
      </w:r>
      <w:r>
        <w:fldChar w:fldCharType="begin" w:fldLock="1"/>
      </w:r>
      <w:r>
        <w:instrText>ADDIN CSL_CITATION {"citationItems":[{"id":"ITEM-1","itemData":{"ISSN":"1532-4435","author":[{"dropping-particle":"","family":"Srivastava","given":"Nitish","non-dropping-particle":"","parse-names":false,"suffix":""},{"dropping-particle":"","family":"Hinton","given":"Geoffrey","non-dropping-particle":"","parse-names":false,"suffix":""},{"dropping-particle":"","family":"Krizhevsky","given":"Alex","non-dropping-particle":"","parse-names":false,"suffix":""},{"dropping-particle":"","family":"Sutskever","given":"Ilya","non-dropping-particle":"","parse-names":false,"suffix":""},{"dropping-particle":"","family":"Salakhutdinov","given":"Ruslan","non-dropping-particle":"","parse-names":false,"suffix":""}],"container-title":"Journal of Machine Learning Research","id":"ITEM-1","issue":"1","issued":{"date-parts":[["2014","1"]]},"page":"1929-1958","publisher":"JMLR.org","title":"Dropout: A Simple Way to Prevent Neural Networks from Overfitting","type":"article-journal","volume":"15"},"uris":["http://www.mendeley.com/documents/?uuid=5785141d-a731-4264-9845-5dcc01fe3e59"]}],"mendeley":{"formattedCitation":"(Srivastava et al., 2014)","manualFormatting":"Srivastava et al. (2014)","plainTextFormattedCitation":"(Srivastava et al., 2014)","previouslyFormattedCitation":"(Srivastava et al., 2014)"},"properties":{"noteIndex":0},"schema":"https://github.com/citation-style-language/schema/raw/master/csl-citation.json"}</w:instrText>
      </w:r>
      <w:r>
        <w:fldChar w:fldCharType="separate"/>
      </w:r>
      <w:r w:rsidRPr="008554BA">
        <w:rPr>
          <w:noProof/>
        </w:rPr>
        <w:t xml:space="preserve">Srivastava et al. </w:t>
      </w:r>
      <w:r>
        <w:rPr>
          <w:noProof/>
        </w:rPr>
        <w:t>(</w:t>
      </w:r>
      <w:r w:rsidRPr="008554BA">
        <w:rPr>
          <w:noProof/>
        </w:rPr>
        <w:t>2014)</w:t>
      </w:r>
      <w:r>
        <w:fldChar w:fldCharType="end"/>
      </w:r>
      <w:r>
        <w:t xml:space="preserve"> showed that dropout improves the performance of neural networks on many supervised learning tasks such as </w:t>
      </w:r>
      <w:r w:rsidRPr="000B06F3">
        <w:t>speech recognition, document classification</w:t>
      </w:r>
      <w:r>
        <w:t>, vision</w:t>
      </w:r>
      <w:r w:rsidRPr="000B06F3">
        <w:t xml:space="preserve"> and computational biology</w:t>
      </w:r>
      <w:r>
        <w:t xml:space="preserve">. </w:t>
      </w:r>
    </w:p>
    <w:p w14:paraId="721681E8" w14:textId="77777777" w:rsidR="009E29A4" w:rsidRPr="003450E8" w:rsidRDefault="009E29A4" w:rsidP="001D724A">
      <w:pPr>
        <w:pStyle w:val="Text"/>
        <w:spacing w:line="480" w:lineRule="auto"/>
        <w:ind w:firstLine="0"/>
        <w:rPr>
          <w:color w:val="333333"/>
          <w:sz w:val="21"/>
          <w:szCs w:val="21"/>
          <w:shd w:val="clear" w:color="auto" w:fill="FFFFFF"/>
        </w:rPr>
      </w:pPr>
    </w:p>
    <w:p w14:paraId="6482963E" w14:textId="77777777" w:rsidR="001D724A" w:rsidRPr="007A7796" w:rsidRDefault="001D724A" w:rsidP="009E29A4">
      <w:pPr>
        <w:pStyle w:val="Heading3"/>
      </w:pPr>
      <w:bookmarkStart w:id="299" w:name="_Toc26534655"/>
      <w:r w:rsidRPr="007A7796">
        <w:lastRenderedPageBreak/>
        <w:t>3</w:t>
      </w:r>
      <w:r>
        <w:t>.4 Long Short-term M</w:t>
      </w:r>
      <w:r w:rsidRPr="007A7796">
        <w:t>emory</w:t>
      </w:r>
      <w:bookmarkEnd w:id="299"/>
    </w:p>
    <w:p w14:paraId="00CAB732" w14:textId="77777777" w:rsidR="001D724A" w:rsidRDefault="001D724A" w:rsidP="001D724A">
      <w:pPr>
        <w:pStyle w:val="Text"/>
        <w:spacing w:line="480" w:lineRule="auto"/>
        <w:ind w:firstLine="0"/>
      </w:pPr>
      <w:r>
        <w:t xml:space="preserve">Long short-term memory (LSTM) networks are a popular recurrent neural network (RNN) structure introduced by </w:t>
      </w:r>
      <w:r w:rsidRPr="00604EA6">
        <w:t>Hochreiter &amp; Schmidhuber</w:t>
      </w:r>
      <w:r>
        <w:t xml:space="preserve"> (</w:t>
      </w:r>
      <w:r w:rsidRPr="00604EA6">
        <w:t>1997</w:t>
      </w:r>
      <w:r>
        <w:t xml:space="preserve">). RNN is a class of artificial neural networks in which neurons can be connected to form a </w:t>
      </w:r>
      <w:r w:rsidRPr="00360542">
        <w:t>directed graph along a temporal sequence</w:t>
      </w:r>
      <w:r>
        <w:t xml:space="preserve"> </w:t>
      </w:r>
      <w:r w:rsidRPr="006D4162">
        <w:t>(</w:t>
      </w:r>
      <w:r w:rsidRPr="006D4162">
        <w:fldChar w:fldCharType="begin"/>
      </w:r>
      <w:r w:rsidRPr="006D4162">
        <w:instrText xml:space="preserve"> REF _Ref20904825 \h  \* MERGEFORMAT </w:instrText>
      </w:r>
      <w:r w:rsidRPr="006D4162">
        <w:fldChar w:fldCharType="separate"/>
      </w:r>
      <w:r w:rsidR="00857B42" w:rsidRPr="00857B42">
        <w:rPr>
          <w:bCs/>
        </w:rPr>
        <w:t xml:space="preserve">Figure </w:t>
      </w:r>
      <w:r w:rsidR="00857B42" w:rsidRPr="00857B42">
        <w:rPr>
          <w:bCs/>
          <w:noProof/>
        </w:rPr>
        <w:t>26</w:t>
      </w:r>
      <w:r w:rsidRPr="006D4162">
        <w:fldChar w:fldCharType="end"/>
      </w:r>
      <w:r w:rsidRPr="006D4162">
        <w:t>)</w:t>
      </w:r>
      <w:r>
        <w:t xml:space="preserve">. Different from traditional feedforward NNs, LSTM has internal loops to allow to retain information from previous times and decide its usage for predictions. Indeed, the LSTM basic unit is called memory cell inside which internal components can decide when to keep or override information in the memory cell, when to access the information in memory cell, and when to prevent other units from being perturbated </w:t>
      </w:r>
      <w:r>
        <w:fldChar w:fldCharType="begin" w:fldLock="1"/>
      </w:r>
      <w:r>
        <w:instrText>ADDIN CSL_CITATION {"citationItems":[{"id":"ITEM-1","itemData":{"DOI":"10.1162/neco.1997.9.8.1735","ISSN":"0899-7667","author":[{"dropping-particle":"","family":"Hochreiter","given":"Sepp","non-dropping-particle":"","parse-names":false,"suffix":""},{"dropping-particle":"","family":"Schmidhuber","given":"Jürgen","non-dropping-particle":"","parse-names":false,"suffix":""}],"container-title":"Neural Comput.","id":"ITEM-1","issue":"8","issued":{"date-parts":[["1997","11"]]},"page":"1735-1780","publisher":"MIT Press","publisher-place":"Cambridge, MA, USA","title":"Long Short-Term Memory","type":"article-journal","volume":"9"},"uris":["http://www.mendeley.com/documents/?uuid=babe966e-2ec8-49a3-940f-8940843f7dea"]}],"mendeley":{"formattedCitation":"(Hochreiter &amp; Schmidhuber, 1997)","plainTextFormattedCitation":"(Hochreiter &amp; Schmidhuber, 1997)","previouslyFormattedCitation":"(Hochreiter &amp; Schmidhuber, 1997)"},"properties":{"noteIndex":0},"schema":"https://github.com/citation-style-language/schema/raw/master/csl-citation.json"}</w:instrText>
      </w:r>
      <w:r>
        <w:fldChar w:fldCharType="separate"/>
      </w:r>
      <w:r w:rsidRPr="00A0522C">
        <w:rPr>
          <w:noProof/>
        </w:rPr>
        <w:t>(Hochreiter &amp; Schmidhuber, 1997)</w:t>
      </w:r>
      <w:r>
        <w:fldChar w:fldCharType="end"/>
      </w:r>
      <w:r>
        <w:t xml:space="preserve">. </w:t>
      </w:r>
      <w:r>
        <w:fldChar w:fldCharType="begin" w:fldLock="1"/>
      </w:r>
      <w:r>
        <w:instrText>ADDIN CSL_CITATION {"citationItems":[{"id":"ITEM-1","itemData":{"author":[{"dropping-particle":"","family":"Olah","given":"Christopher","non-dropping-particle":"","parse-names":false,"suffix":""}],"id":"ITEM-1","issued":{"date-parts":[["2015"]]},"title":"Understanding LSTM Networks","type":"article"},"uris":["http://www.mendeley.com/documents/?uuid=e10574c1-5606-4097-8a06-491b9b6b1000"]}],"mendeley":{"formattedCitation":"(Olah, 2015)","manualFormatting":"Olah (2015)","plainTextFormattedCitation":"(Olah, 2015)","previouslyFormattedCitation":"(Olah, 2015)"},"properties":{"noteIndex":0},"schema":"https://github.com/citation-style-language/schema/raw/master/csl-citation.json"}</w:instrText>
      </w:r>
      <w:r>
        <w:fldChar w:fldCharType="separate"/>
      </w:r>
      <w:r w:rsidRPr="00604EA6">
        <w:rPr>
          <w:noProof/>
        </w:rPr>
        <w:t xml:space="preserve">Olah </w:t>
      </w:r>
      <w:r>
        <w:rPr>
          <w:noProof/>
        </w:rPr>
        <w:t>(</w:t>
      </w:r>
      <w:r w:rsidRPr="00604EA6">
        <w:rPr>
          <w:noProof/>
        </w:rPr>
        <w:t>2015)</w:t>
      </w:r>
      <w:r>
        <w:fldChar w:fldCharType="end"/>
      </w:r>
      <w:r>
        <w:t xml:space="preserve"> provides a detailed walkthrough of the LSTM components. LSTMs are constantly used in speech recognition problems </w:t>
      </w:r>
      <w:r>
        <w:fldChar w:fldCharType="begin" w:fldLock="1"/>
      </w:r>
      <w:r>
        <w:instrText>ADDIN CSL_CITATION {"citationItems":[{"id":"ITEM-1","itemData":{"DOI":"10.1016/J.NEUNET.2005.06.042","ISSN":"0893-6080","abstract":"In this paper, we present bidirectional Long Short Term Memory (LSTM) networks, and a modified, full gradient version of the LSTM learning algorithm. We evaluate Bidirectional LSTM (BLSTM) and several other network architectures on the benchmark task of framewise phoneme classification, using the TIMIT database. Our main findings are that bidirectional networks outperform unidirectional ones, and Long Short Term Memory (LSTM) is much faster and also more accurate than both standard Recurrent Neural Nets (RNNs) and time-windowed Multilayer Perceptrons (MLPs). Our results support the view that contextual information is crucial to speech processing, and suggest that BLSTM is an effective architecture with which to exploit it.11An abbreviated version of some portions of this article appeared in (Graves and Schmidhuber, 2005), as part of the IJCNN 2005 conference proceedings, published under the IEEE copyright.","author":[{"dropping-particle":"","family":"Graves","given":"Alex","non-dropping-particle":"","parse-names":false,"suffix":""},{"dropping-particle":"","family":"Schmidhuber","given":"Jürgen","non-dropping-particle":"","parse-names":false,"suffix":""}],"container-title":"Neural Networks","id":"ITEM-1","issue":"5-6","issued":{"date-parts":[["2005","7","1"]]},"page":"602-610","publisher":"Pergamon","title":"Framewise phoneme classification with bidirectional LSTM and other neural network architectures","type":"article-journal","volume":"18"},"uris":["http://www.mendeley.com/documents/?uuid=fd3057f9-5876-320c-a520-f9a30a257b22"]},{"id":"ITEM-2","itemData":{"DOI":"10.1109/ASRU.2013.6707742","ISBN":"978-1-4799-2756-2","author":[{"dropping-particle":"","family":"Graves","given":"Alex","non-dropping-particle":"","parse-names":false,"suffix":""},{"dropping-particle":"","family":"Jaitly","given":"Navdeep","non-dropping-particle":"","parse-names":false,"suffix":""},{"dropping-particle":"","family":"Mohamed","given":"Abdel-rahman","non-dropping-particle":"","parse-names":false,"suffix":""}],"container-title":"2013 IEEE Workshop on Automatic Speech Recognition and Understanding","id":"ITEM-2","issued":{"date-parts":[["2013","12"]]},"page":"273-278","publisher":"IEEE","title":"Hybrid speech recognition with Deep Bidirectional LSTM","type":"paper-conference"},"uris":["http://www.mendeley.com/documents/?uuid=91b07db8-6e4f-3cfa-a28f-7a4f7926dc2e"]}],"mendeley":{"formattedCitation":"(Graves et al., 2013; Graves &amp; Schmidhuber, 2005)","manualFormatting":"(e.g. Graves et al., 2013; Graves &amp; Schmidhuber, 2005)","plainTextFormattedCitation":"(Graves et al., 2013; Graves &amp; Schmidhuber, 2005)","previouslyFormattedCitation":"(Graves et al., 2013; Graves &amp; Schmidhuber, 2005)"},"properties":{"noteIndex":0},"schema":"https://github.com/citation-style-language/schema/raw/master/csl-citation.json"}</w:instrText>
      </w:r>
      <w:r>
        <w:fldChar w:fldCharType="separate"/>
      </w:r>
      <w:r w:rsidRPr="00442B26">
        <w:rPr>
          <w:noProof/>
        </w:rPr>
        <w:t>(</w:t>
      </w:r>
      <w:r>
        <w:rPr>
          <w:noProof/>
        </w:rPr>
        <w:t xml:space="preserve">e.g. </w:t>
      </w:r>
      <w:r w:rsidRPr="00442B26">
        <w:rPr>
          <w:noProof/>
        </w:rPr>
        <w:t>Graves et al., 2013; Graves &amp; Schmidhuber, 2005)</w:t>
      </w:r>
      <w:r>
        <w:fldChar w:fldCharType="end"/>
      </w:r>
      <w:r>
        <w:t xml:space="preserve"> as well as forecasting </w:t>
      </w:r>
      <w:r>
        <w:fldChar w:fldCharType="begin" w:fldLock="1"/>
      </w:r>
      <w:r>
        <w:instrText>ADDIN CSL_CITATION {"citationItems":[{"id":"ITEM-1","itemData":{"DOI":"10.1109/TSG.2017.2753802","ISSN":"1949-3053","author":[{"dropping-particle":"","family":"Kong","given":"Weicong","non-dropping-particle":"","parse-names":false,"suffix":""},{"dropping-particle":"","family":"Dong","given":"Zhao Yang","non-dropping-particle":"","parse-names":false,"suffix":""},{"dropping-particle":"","family":"Jia","given":"Youwei","non-dropping-particle":"","parse-names":false,"suffix":""},{"dropping-particle":"","family":"Hill","given":"David J.","non-dropping-particle":"","parse-names":false,"suffix":""},{"dropping-particle":"","family":"Xu","given":"Yan","non-dropping-particle":"","parse-names":false,"suffix":""},{"dropping-particle":"","family":"Zhang","given":"Yuan","non-dropping-particle":"","parse-names":false,"suffix":""}],"container-title":"IEEE Transactions on Smart Grid","id":"ITEM-1","issue":"1","issued":{"date-parts":[["2019","1"]]},"page":"841-851","title":"Short-Term Residential Load Forecasting Based on LSTM Recurrent Neural Network","type":"article-journal","volume":"10"},"uris":["http://www.mendeley.com/documents/?uuid=b22b6485-d7db-3c52-893d-dba6de7beb11"]}],"mendeley":{"formattedCitation":"(Kong et al., 2019)","manualFormatting":"(e.g. Kong et al., 2019)","plainTextFormattedCitation":"(Kong et al., 2019)","previouslyFormattedCitation":"(Kong et al., 2019)"},"properties":{"noteIndex":0},"schema":"https://github.com/citation-style-language/schema/raw/master/csl-citation.json"}</w:instrText>
      </w:r>
      <w:r>
        <w:fldChar w:fldCharType="separate"/>
      </w:r>
      <w:r w:rsidRPr="00442B26">
        <w:rPr>
          <w:noProof/>
        </w:rPr>
        <w:t>(</w:t>
      </w:r>
      <w:r>
        <w:rPr>
          <w:noProof/>
        </w:rPr>
        <w:t xml:space="preserve">e.g. </w:t>
      </w:r>
      <w:r w:rsidRPr="00442B26">
        <w:rPr>
          <w:noProof/>
        </w:rPr>
        <w:t>Kong et al., 2019)</w:t>
      </w:r>
      <w:r>
        <w:fldChar w:fldCharType="end"/>
      </w:r>
      <w:r>
        <w:t xml:space="preserve">. Here LSTM was selected for testing as a representative of RNNs. </w:t>
      </w:r>
    </w:p>
    <w:p w14:paraId="7BE2B780" w14:textId="77777777" w:rsidR="009E29A4" w:rsidRDefault="009E29A4" w:rsidP="001D724A">
      <w:pPr>
        <w:pStyle w:val="Text"/>
        <w:spacing w:line="480" w:lineRule="auto"/>
        <w:ind w:firstLine="0"/>
      </w:pPr>
    </w:p>
    <w:p w14:paraId="43A6AE80" w14:textId="77777777" w:rsidR="001D724A" w:rsidRDefault="001D724A" w:rsidP="009E29A4">
      <w:pPr>
        <w:pStyle w:val="Heading2"/>
      </w:pPr>
      <w:bookmarkStart w:id="300" w:name="_Toc26534656"/>
      <w:r>
        <w:t>4. Testing Algorithms and Model Performance</w:t>
      </w:r>
      <w:bookmarkEnd w:id="300"/>
    </w:p>
    <w:p w14:paraId="6C813366" w14:textId="77777777" w:rsidR="001D724A" w:rsidRDefault="001D724A" w:rsidP="001D724A">
      <w:pPr>
        <w:pStyle w:val="Text"/>
        <w:spacing w:line="480" w:lineRule="auto"/>
        <w:ind w:firstLine="0"/>
      </w:pPr>
      <w:r>
        <w:t xml:space="preserve">Following ML best practices, we split the data into training, validation, and test sets. The training set is the data effectively used for model optimization. The validation set is used to tune model hyperparameters, such as the number of neurons/layers or optimization options. Finally, the test set is reserved for model performance evaluation on the final stage. Here, the training data set consists of observations in the first 4,008 time bins (roughly 835 days, or 27.4 months, 65% of the whole data set), the validation set has observations for the next 841 time bins (roughly 175 days, or 5.8 months, 14% of the data), and the test set is for the final 1,280 time bins (roughly 267 days, or 8.8 months, 21% of the data). Observational data are split in such a manner so that </w:t>
      </w:r>
      <w:r>
        <w:lastRenderedPageBreak/>
        <w:t xml:space="preserve">the major observational gap over days 840 – 850 is in between the sets, thus the models are always trained, validated, and tested in segments containing real continuous observations. </w:t>
      </w:r>
    </w:p>
    <w:p w14:paraId="339DB429" w14:textId="77777777" w:rsidR="001D724A" w:rsidRDefault="001D724A" w:rsidP="001D724A">
      <w:pPr>
        <w:pStyle w:val="Text"/>
        <w:spacing w:line="480" w:lineRule="auto"/>
        <w:ind w:firstLine="0"/>
      </w:pPr>
      <w:r>
        <w:t xml:space="preserve">The optimization goal for all the models is to reduce the root-mean-square error (RMSE) between the real value </w:t>
      </w:r>
      <m:oMath>
        <m:r>
          <m:rPr>
            <m:sty m:val="bi"/>
          </m:rPr>
          <w:rPr>
            <w:rFonts w:ascii="Cambria Math" w:hAnsi="Cambria Math"/>
          </w:rPr>
          <m:t>y</m:t>
        </m:r>
      </m:oMath>
      <w:r>
        <w:t xml:space="preserve"> and the predicted value </w:t>
      </w:r>
      <m:oMath>
        <m:r>
          <m:rPr>
            <m:sty m:val="bi"/>
          </m:rPr>
          <w:rPr>
            <w:rFonts w:ascii="Cambria Math" w:hAnsi="Cambria Math"/>
          </w:rPr>
          <m:t>f</m:t>
        </m:r>
      </m:oMath>
      <w:r>
        <w:t xml:space="preserve">, both with the size </w:t>
      </w:r>
      <m:oMath>
        <m:r>
          <w:rPr>
            <w:rFonts w:ascii="Cambria Math" w:hAnsi="Cambria Math"/>
          </w:rPr>
          <m:t>M</m:t>
        </m:r>
      </m:oMath>
      <w:r>
        <w:t xml:space="preserve">. RMSE is defined as </w:t>
      </w:r>
      <m:oMath>
        <m:rad>
          <m:radPr>
            <m:degHide m:val="1"/>
            <m:ctrlPr>
              <w:rPr>
                <w:rFonts w:ascii="Cambria Math" w:hAnsi="Cambria Math"/>
                <w:i/>
              </w:rPr>
            </m:ctrlPr>
          </m:radPr>
          <m:deg/>
          <m:e>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j=1</m:t>
                    </m:r>
                  </m:sub>
                  <m:sup>
                    <m:r>
                      <w:rPr>
                        <w:rFonts w:ascii="Cambria Math" w:hAnsi="Cambria Math"/>
                      </w:rPr>
                      <m:t>M</m:t>
                    </m:r>
                  </m:sup>
                  <m:e>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j</m:t>
                            </m:r>
                          </m:sub>
                        </m:sSub>
                        <m:r>
                          <w:rPr>
                            <w:rFonts w:ascii="Cambria Math" w:hAnsi="Cambria Math"/>
                          </w:rPr>
                          <m:t>)</m:t>
                        </m:r>
                      </m:e>
                      <m:sup>
                        <m:r>
                          <w:rPr>
                            <w:rFonts w:ascii="Cambria Math" w:hAnsi="Cambria Math"/>
                          </w:rPr>
                          <m:t>2</m:t>
                        </m:r>
                      </m:sup>
                    </m:sSup>
                  </m:e>
                </m:nary>
              </m:num>
              <m:den>
                <m:r>
                  <w:rPr>
                    <w:rFonts w:ascii="Cambria Math" w:hAnsi="Cambria Math"/>
                  </w:rPr>
                  <m:t>M</m:t>
                </m:r>
              </m:den>
            </m:f>
          </m:e>
        </m:rad>
      </m:oMath>
      <w:r>
        <w:t xml:space="preserve">. In this study, linear models minimize the error using the ordinary least squares, while artificial neural network models use Adam optimization as defined by </w:t>
      </w:r>
      <w:r>
        <w:fldChar w:fldCharType="begin" w:fldLock="1"/>
      </w:r>
      <w:r>
        <w:instrText>ADDIN CSL_CITATION {"citationItems":[{"id":"ITEM-1","itemData":{"author":[{"dropping-particle":"","family":"Kingma","given":"Diederik P","non-dropping-particle":"","parse-names":false,"suffix":""},{"dropping-particle":"","family":"Ba","given":"Jimmy","non-dropping-particle":"","parse-names":false,"suffix":""}],"container-title":"arXiv e-prints","id":"ITEM-1","issued":{"date-parts":[["2014","12"]]},"page":"arXiv:1412.6980","title":"Adam: A Method for Stochastic Optimization","type":"article-journal"},"uris":["http://www.mendeley.com/documents/?uuid=70d60d13-d257-4c9f-b1be-124d23f0b39e"]}],"mendeley":{"formattedCitation":"(Kingma &amp; Ba, 2014)","manualFormatting":"Kingma &amp; Ba (2014)","plainTextFormattedCitation":"(Kingma &amp; Ba, 2014)","previouslyFormattedCitation":"(Kingma &amp; Ba, 2014)"},"properties":{"noteIndex":0},"schema":"https://github.com/citation-style-language/schema/raw/master/csl-citation.json"}</w:instrText>
      </w:r>
      <w:r>
        <w:fldChar w:fldCharType="separate"/>
      </w:r>
      <w:r w:rsidRPr="00A13F97">
        <w:rPr>
          <w:noProof/>
        </w:rPr>
        <w:t xml:space="preserve">Kingma &amp; Ba </w:t>
      </w:r>
      <w:r>
        <w:rPr>
          <w:noProof/>
        </w:rPr>
        <w:t>(</w:t>
      </w:r>
      <w:r w:rsidRPr="00A13F97">
        <w:rPr>
          <w:noProof/>
        </w:rPr>
        <w:t>2014)</w:t>
      </w:r>
      <w:r>
        <w:fldChar w:fldCharType="end"/>
      </w:r>
      <w:r>
        <w:t xml:space="preserve">. </w:t>
      </w:r>
    </w:p>
    <w:p w14:paraId="44155625" w14:textId="77777777" w:rsidR="001D724A" w:rsidRDefault="001D724A" w:rsidP="001D724A">
      <w:pPr>
        <w:pStyle w:val="Text"/>
        <w:spacing w:line="480" w:lineRule="auto"/>
        <w:ind w:firstLine="0"/>
      </w:pPr>
      <w:r>
        <w:t xml:space="preserve">Chen et al. (2019) has demonstrated that E2 fluxes can be used for predicting the onset timing of MeV electron events, and here we also computed the normalized temporal derivatives of E2 fluxes, naming it dE2, and tested by adding it to the input data sets. The dE2 at time bin </w:t>
      </w:r>
      <w:r w:rsidRPr="000720DA">
        <w:rPr>
          <w:i/>
        </w:rPr>
        <w:t>t</w:t>
      </w:r>
      <w:r>
        <w:t xml:space="preserve"> for E2 is defined as </w:t>
      </w:r>
      <m:oMath>
        <m:sSub>
          <m:sSubPr>
            <m:ctrlPr>
              <w:rPr>
                <w:rFonts w:ascii="Cambria Math" w:hAnsi="Cambria Math"/>
                <w:i/>
              </w:rPr>
            </m:ctrlPr>
          </m:sSubPr>
          <m:e>
            <m:r>
              <w:rPr>
                <w:rFonts w:ascii="Cambria Math" w:hAnsi="Cambria Math"/>
              </w:rPr>
              <m:t>dE2</m:t>
            </m:r>
          </m:e>
          <m:sub>
            <m:r>
              <w:rPr>
                <w:rFonts w:ascii="Cambria Math" w:hAnsi="Cambria Math"/>
              </w:rPr>
              <m:t>t</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E2</m:t>
                </m:r>
              </m:e>
              <m:sub>
                <m:r>
                  <w:rPr>
                    <w:rFonts w:ascii="Cambria Math" w:hAnsi="Cambria Math"/>
                  </w:rPr>
                  <m:t>t</m:t>
                </m:r>
              </m:sub>
            </m:sSub>
            <m:r>
              <w:rPr>
                <w:rFonts w:ascii="Cambria Math" w:hAnsi="Cambria Math"/>
              </w:rPr>
              <m:t xml:space="preserve">- </m:t>
            </m:r>
            <m:sSub>
              <m:sSubPr>
                <m:ctrlPr>
                  <w:rPr>
                    <w:rFonts w:ascii="Cambria Math" w:hAnsi="Cambria Math"/>
                    <w:i/>
                  </w:rPr>
                </m:ctrlPr>
              </m:sSubPr>
              <m:e>
                <m:r>
                  <w:rPr>
                    <w:rFonts w:ascii="Cambria Math" w:hAnsi="Cambria Math"/>
                  </w:rPr>
                  <m:t>E2</m:t>
                </m:r>
              </m:e>
              <m:sub>
                <m:r>
                  <w:rPr>
                    <w:rFonts w:ascii="Cambria Math" w:hAnsi="Cambria Math"/>
                  </w:rPr>
                  <m:t>t-1</m:t>
                </m:r>
              </m:sub>
            </m:sSub>
          </m:num>
          <m:den>
            <m:sSub>
              <m:sSubPr>
                <m:ctrlPr>
                  <w:rPr>
                    <w:rFonts w:ascii="Cambria Math" w:hAnsi="Cambria Math"/>
                    <w:i/>
                  </w:rPr>
                </m:ctrlPr>
              </m:sSubPr>
              <m:e>
                <m:r>
                  <w:rPr>
                    <w:rFonts w:ascii="Cambria Math" w:hAnsi="Cambria Math"/>
                  </w:rPr>
                  <m:t>E2</m:t>
                </m:r>
              </m:e>
              <m:sub>
                <m:r>
                  <w:rPr>
                    <w:rFonts w:ascii="Cambria Math" w:hAnsi="Cambria Math"/>
                  </w:rPr>
                  <m:t>t-1</m:t>
                </m:r>
              </m:sub>
            </m:sSub>
          </m:den>
        </m:f>
      </m:oMath>
      <w:r>
        <w:t xml:space="preserve">. The temporal correlation between E2, dE2, and trapped MeV electron fluxes can be recognized from </w:t>
      </w:r>
      <w:r w:rsidR="00857B42">
        <w:fldChar w:fldCharType="begin"/>
      </w:r>
      <w:r w:rsidR="00857B42">
        <w:instrText xml:space="preserve"> REF _Ref18662969 \h </w:instrText>
      </w:r>
      <w:r w:rsidR="00857B42">
        <w:fldChar w:fldCharType="separate"/>
      </w:r>
      <w:r w:rsidR="00857B42" w:rsidRPr="00E219C7">
        <w:t xml:space="preserve">Figure </w:t>
      </w:r>
      <w:r w:rsidR="00857B42">
        <w:rPr>
          <w:noProof/>
        </w:rPr>
        <w:t>27</w:t>
      </w:r>
      <w:r w:rsidR="00857B42">
        <w:fldChar w:fldCharType="end"/>
      </w:r>
      <w:r>
        <w:t xml:space="preserve">. </w:t>
      </w:r>
    </w:p>
    <w:p w14:paraId="0196ADB3" w14:textId="77777777" w:rsidR="009E29A4" w:rsidRDefault="009E29A4" w:rsidP="001D724A">
      <w:pPr>
        <w:pStyle w:val="Text"/>
        <w:spacing w:line="480" w:lineRule="auto"/>
        <w:ind w:firstLine="0"/>
      </w:pPr>
    </w:p>
    <w:p w14:paraId="0C9260DB" w14:textId="77777777" w:rsidR="001D724A" w:rsidRDefault="001D724A" w:rsidP="009E29A4">
      <w:pPr>
        <w:pStyle w:val="Heading3"/>
      </w:pPr>
      <w:bookmarkStart w:id="301" w:name="_Toc26534657"/>
      <w:r>
        <w:t>4.1 Test Input Parameter C</w:t>
      </w:r>
      <w:r w:rsidRPr="00B809A8">
        <w:t>ombination</w:t>
      </w:r>
      <w:r>
        <w:t>s</w:t>
      </w:r>
      <w:bookmarkEnd w:id="301"/>
    </w:p>
    <w:p w14:paraId="669A6735" w14:textId="77777777" w:rsidR="001D724A" w:rsidRPr="006001DD" w:rsidRDefault="001D724A" w:rsidP="00877916">
      <w:pPr>
        <w:pStyle w:val="Text"/>
        <w:spacing w:line="480" w:lineRule="auto"/>
        <w:rPr>
          <w:i/>
        </w:rPr>
      </w:pPr>
      <w:r>
        <w:t>O</w:t>
      </w:r>
      <w:r w:rsidRPr="00092156">
        <w:t>ur first experiment tests different combinations of input parameters with the objective to find the set of input data that can b</w:t>
      </w:r>
      <w:r>
        <w:t>est predict 1 MeV electrons. Specifically, w</w:t>
      </w:r>
      <w:r w:rsidRPr="00B809A8">
        <w:t xml:space="preserve">e use Linear and LSTM models to evaluate what combination of input parameters yields the highest Performance Efficiency (PE). PE provides a measure of </w:t>
      </w:r>
      <w:r>
        <w:t>quantifying the accuracy of predictions by comparing to variance of the target</w:t>
      </w:r>
      <w:r w:rsidRPr="00B809A8">
        <w:t xml:space="preserve">. Naming </w:t>
      </w:r>
      <w:r w:rsidRPr="00201F29">
        <w:t>y</w:t>
      </w:r>
      <w:r w:rsidRPr="00B809A8">
        <w:t xml:space="preserve"> as the true value (the logarithm of the target 1 MeV electron flux) and </w:t>
      </w:r>
      <w:r w:rsidRPr="00201F29">
        <w:t>f</w:t>
      </w:r>
      <w:r w:rsidRPr="00B809A8">
        <w:t xml:space="preserve"> as the predicted value, both with size </w:t>
      </w:r>
      <w:r w:rsidRPr="003376DE">
        <w:t>M</w:t>
      </w:r>
      <w:r>
        <w:t>, PE is defined as</w:t>
      </w:r>
    </w:p>
    <w:p w14:paraId="4C7643B1" w14:textId="77777777" w:rsidR="001D724A" w:rsidRPr="0007128A" w:rsidRDefault="00CE1F3C" w:rsidP="001D724A">
      <w:pPr>
        <w:pStyle w:val="Text"/>
        <w:spacing w:line="480" w:lineRule="auto"/>
        <w:rPr>
          <w:b/>
          <w:bCs/>
        </w:rPr>
      </w:pPr>
      <m:oMathPara>
        <m:oMath>
          <m:eqArr>
            <m:eqArrPr>
              <m:maxDist m:val="1"/>
              <m:ctrlPr>
                <w:rPr>
                  <w:rFonts w:ascii="Cambria Math" w:hAnsi="Cambria Math"/>
                  <w:b/>
                  <w:bCs/>
                  <w:i/>
                </w:rPr>
              </m:ctrlPr>
            </m:eqArrPr>
            <m:e>
              <m:r>
                <w:rPr>
                  <w:rFonts w:ascii="Cambria Math" w:hAnsi="Cambria Math"/>
                </w:rPr>
                <m:t>PE=1</m:t>
              </m:r>
              <m:r>
                <m:rPr>
                  <m:sty m:val="bi"/>
                </m:rPr>
                <w:rPr>
                  <w:rFonts w:ascii="Cambria Math" w:hAnsi="Cambria Math"/>
                </w:rPr>
                <m:t>-</m:t>
              </m:r>
              <m:f>
                <m:fPr>
                  <m:ctrlPr>
                    <w:rPr>
                      <w:rFonts w:ascii="Cambria Math" w:hAnsi="Cambria Math"/>
                      <w:b/>
                      <w:bCs/>
                      <w:i/>
                    </w:rPr>
                  </m:ctrlPr>
                </m:fPr>
                <m:num>
                  <m:nary>
                    <m:naryPr>
                      <m:chr m:val="∑"/>
                      <m:limLoc m:val="undOvr"/>
                      <m:ctrlPr>
                        <w:rPr>
                          <w:rFonts w:ascii="Cambria Math" w:hAnsi="Cambria Math"/>
                          <w:b/>
                          <w:bCs/>
                          <w:i/>
                        </w:rPr>
                      </m:ctrlPr>
                    </m:naryPr>
                    <m:sub>
                      <m:r>
                        <m:rPr>
                          <m:sty m:val="bi"/>
                        </m:rPr>
                        <w:rPr>
                          <w:rFonts w:ascii="Cambria Math" w:hAnsi="Cambria Math"/>
                        </w:rPr>
                        <m:t>j=1</m:t>
                      </m:r>
                    </m:sub>
                    <m:sup>
                      <m:r>
                        <m:rPr>
                          <m:sty m:val="bi"/>
                        </m:rPr>
                        <w:rPr>
                          <w:rFonts w:ascii="Cambria Math" w:hAnsi="Cambria Math"/>
                        </w:rPr>
                        <m:t>M</m:t>
                      </m:r>
                    </m:sup>
                    <m:e>
                      <m:sSup>
                        <m:sSupPr>
                          <m:ctrlPr>
                            <w:rPr>
                              <w:rFonts w:ascii="Cambria Math" w:hAnsi="Cambria Math"/>
                              <w:b/>
                              <w:bCs/>
                              <w:i/>
                            </w:rPr>
                          </m:ctrlPr>
                        </m:sSupPr>
                        <m:e>
                          <m:d>
                            <m:dPr>
                              <m:ctrlPr>
                                <w:rPr>
                                  <w:rFonts w:ascii="Cambria Math" w:hAnsi="Cambria Math"/>
                                  <w:b/>
                                  <w:bCs/>
                                  <w:i/>
                                </w:rPr>
                              </m:ctrlPr>
                            </m:dPr>
                            <m:e>
                              <m:sSub>
                                <m:sSubPr>
                                  <m:ctrlPr>
                                    <w:rPr>
                                      <w:rFonts w:ascii="Cambria Math" w:hAnsi="Cambria Math"/>
                                      <w:i/>
                                    </w:rPr>
                                  </m:ctrlPr>
                                </m:sSubPr>
                                <m:e>
                                  <m:r>
                                    <w:rPr>
                                      <w:rFonts w:ascii="Cambria Math" w:hAnsi="Cambria Math"/>
                                    </w:rPr>
                                    <m:t>y</m:t>
                                  </m:r>
                                </m:e>
                                <m:sub>
                                  <m:r>
                                    <w:rPr>
                                      <w:rFonts w:ascii="Cambria Math" w:hAnsi="Cambria Math"/>
                                    </w:rPr>
                                    <m:t>j</m:t>
                                  </m:r>
                                </m:sub>
                              </m:sSub>
                              <m:r>
                                <m:rPr>
                                  <m:sty m:val="bi"/>
                                </m:rP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j</m:t>
                                  </m:r>
                                </m:sub>
                              </m:sSub>
                            </m:e>
                          </m:d>
                        </m:e>
                        <m:sup>
                          <m:r>
                            <m:rPr>
                              <m:sty m:val="bi"/>
                            </m:rPr>
                            <w:rPr>
                              <w:rFonts w:ascii="Cambria Math" w:hAnsi="Cambria Math"/>
                            </w:rPr>
                            <m:t>2</m:t>
                          </m:r>
                        </m:sup>
                      </m:sSup>
                    </m:e>
                  </m:nary>
                </m:num>
                <m:den>
                  <m:nary>
                    <m:naryPr>
                      <m:chr m:val="∑"/>
                      <m:limLoc m:val="undOvr"/>
                      <m:ctrlPr>
                        <w:rPr>
                          <w:rFonts w:ascii="Cambria Math" w:hAnsi="Cambria Math"/>
                          <w:b/>
                          <w:bCs/>
                          <w:i/>
                        </w:rPr>
                      </m:ctrlPr>
                    </m:naryPr>
                    <m:sub>
                      <m:r>
                        <m:rPr>
                          <m:sty m:val="bi"/>
                        </m:rPr>
                        <w:rPr>
                          <w:rFonts w:ascii="Cambria Math" w:hAnsi="Cambria Math"/>
                        </w:rPr>
                        <m:t>j=1</m:t>
                      </m:r>
                    </m:sub>
                    <m:sup>
                      <m:r>
                        <m:rPr>
                          <m:sty m:val="bi"/>
                        </m:rPr>
                        <w:rPr>
                          <w:rFonts w:ascii="Cambria Math" w:hAnsi="Cambria Math"/>
                        </w:rPr>
                        <m:t>M</m:t>
                      </m:r>
                    </m:sup>
                    <m:e>
                      <m:sSup>
                        <m:sSupPr>
                          <m:ctrlPr>
                            <w:rPr>
                              <w:rFonts w:ascii="Cambria Math" w:hAnsi="Cambria Math"/>
                              <w:b/>
                              <w:bCs/>
                              <w:i/>
                            </w:rPr>
                          </m:ctrlPr>
                        </m:sSupPr>
                        <m:e>
                          <m:d>
                            <m:dPr>
                              <m:ctrlPr>
                                <w:rPr>
                                  <w:rFonts w:ascii="Cambria Math" w:hAnsi="Cambria Math"/>
                                  <w:b/>
                                  <w:bCs/>
                                  <w:i/>
                                </w:rPr>
                              </m:ctrlPr>
                            </m:dPr>
                            <m:e>
                              <m:sSub>
                                <m:sSubPr>
                                  <m:ctrlPr>
                                    <w:rPr>
                                      <w:rFonts w:ascii="Cambria Math" w:hAnsi="Cambria Math"/>
                                      <w:i/>
                                    </w:rPr>
                                  </m:ctrlPr>
                                </m:sSubPr>
                                <m:e>
                                  <m:r>
                                    <w:rPr>
                                      <w:rFonts w:ascii="Cambria Math" w:hAnsi="Cambria Math"/>
                                    </w:rPr>
                                    <m:t>y</m:t>
                                  </m:r>
                                </m:e>
                                <m:sub>
                                  <m:r>
                                    <w:rPr>
                                      <w:rFonts w:ascii="Cambria Math" w:hAnsi="Cambria Math"/>
                                    </w:rPr>
                                    <m:t>j</m:t>
                                  </m:r>
                                </m:sub>
                              </m:sSub>
                              <m:r>
                                <m:rPr>
                                  <m:sty m:val="bi"/>
                                </m:rPr>
                                <w:rPr>
                                  <w:rFonts w:ascii="Cambria Math" w:hAnsi="Cambria Math"/>
                                </w:rPr>
                                <m:t>-</m:t>
                              </m:r>
                              <m:acc>
                                <m:accPr>
                                  <m:chr m:val="̅"/>
                                  <m:ctrlPr>
                                    <w:rPr>
                                      <w:rFonts w:ascii="Cambria Math" w:hAnsi="Cambria Math"/>
                                      <w:i/>
                                    </w:rPr>
                                  </m:ctrlPr>
                                </m:accPr>
                                <m:e>
                                  <m:r>
                                    <w:rPr>
                                      <w:rFonts w:ascii="Cambria Math" w:hAnsi="Cambria Math"/>
                                    </w:rPr>
                                    <m:t>y</m:t>
                                  </m:r>
                                </m:e>
                              </m:acc>
                            </m:e>
                          </m:d>
                        </m:e>
                        <m:sup>
                          <m:r>
                            <m:rPr>
                              <m:sty m:val="bi"/>
                            </m:rPr>
                            <w:rPr>
                              <w:rFonts w:ascii="Cambria Math" w:hAnsi="Cambria Math"/>
                            </w:rPr>
                            <m:t>2</m:t>
                          </m:r>
                        </m:sup>
                      </m:sSup>
                    </m:e>
                  </m:nary>
                </m:den>
              </m:f>
              <m:r>
                <m:rPr>
                  <m:sty m:val="bi"/>
                </m:rPr>
                <w:rPr>
                  <w:rFonts w:ascii="Cambria Math" w:hAnsi="Cambria Math"/>
                </w:rPr>
                <m:t>, #</m:t>
              </m:r>
              <m:d>
                <m:dPr>
                  <m:ctrlPr>
                    <w:rPr>
                      <w:rFonts w:ascii="Cambria Math" w:hAnsi="Cambria Math"/>
                      <w:b/>
                      <w:bCs/>
                      <w:i/>
                    </w:rPr>
                  </m:ctrlPr>
                </m:dPr>
                <m:e>
                  <m:r>
                    <w:rPr>
                      <w:rFonts w:ascii="Cambria Math" w:hAnsi="Cambria Math"/>
                    </w:rPr>
                    <m:t>5</m:t>
                  </m:r>
                </m:e>
              </m:d>
            </m:e>
          </m:eqArr>
        </m:oMath>
      </m:oMathPara>
    </w:p>
    <w:p w14:paraId="700FC0F4" w14:textId="77777777" w:rsidR="001D724A" w:rsidRDefault="001D724A" w:rsidP="001D724A">
      <w:pPr>
        <w:pStyle w:val="Text"/>
        <w:spacing w:line="480" w:lineRule="auto"/>
        <w:ind w:firstLine="0"/>
      </w:pPr>
      <w:r>
        <w:t xml:space="preserve">where </w:t>
      </w:r>
      <m:oMath>
        <m:acc>
          <m:accPr>
            <m:chr m:val="̅"/>
            <m:ctrlPr>
              <w:rPr>
                <w:rFonts w:ascii="Cambria Math" w:hAnsi="Cambria Math"/>
                <w:i/>
              </w:rPr>
            </m:ctrlPr>
          </m:accPr>
          <m:e>
            <m:r>
              <w:rPr>
                <w:rFonts w:ascii="Cambria Math" w:hAnsi="Cambria Math"/>
              </w:rPr>
              <m:t>y</m:t>
            </m:r>
          </m:e>
        </m:acc>
      </m:oMath>
      <w:r>
        <w:t xml:space="preserve"> is the mean of </w:t>
      </w:r>
      <m:oMath>
        <m:r>
          <m:rPr>
            <m:sty m:val="bi"/>
          </m:rPr>
          <w:rPr>
            <w:rFonts w:ascii="Cambria Math" w:hAnsi="Cambria Math"/>
          </w:rPr>
          <m:t>y</m:t>
        </m:r>
      </m:oMath>
      <w:r w:rsidRPr="00404111">
        <w:t xml:space="preserve">. </w:t>
      </w:r>
      <w:r>
        <w:t xml:space="preserve">PE does not have a lower bound, and the perfect score is 1.0, meaning all predicted value perfectly match observed data, or that </w:t>
      </w:r>
      <m:oMath>
        <m:r>
          <m:rPr>
            <m:sty m:val="bi"/>
          </m:rPr>
          <w:rPr>
            <w:rFonts w:ascii="Cambria Math" w:hAnsi="Cambria Math"/>
          </w:rPr>
          <m:t>f=y</m:t>
        </m:r>
      </m:oMath>
      <w:r>
        <w:t xml:space="preserve">. </w:t>
      </w:r>
    </w:p>
    <w:p w14:paraId="276A40CF" w14:textId="00DF19A1" w:rsidR="00877916" w:rsidRDefault="001D724A" w:rsidP="00877916">
      <w:pPr>
        <w:pStyle w:val="Text"/>
        <w:spacing w:line="480" w:lineRule="auto"/>
        <w:ind w:firstLine="0"/>
      </w:pPr>
      <w:r>
        <w:t xml:space="preserve">To make 1-day (25 </w:t>
      </w:r>
      <w:r w:rsidR="005A723B">
        <w:t>hour</w:t>
      </w:r>
      <w:r w:rsidR="00010B32">
        <w:t>s</w:t>
      </w:r>
      <w:r>
        <w:t xml:space="preserve">) forecasts of MeV electrons for a single Lshell, our models ingest the past values of the input data at the same L-shell. The only exception is at GEO, where the model inputs include the MeV past of GEO from measurements. Additionally, as Chen et al. (2019) found E2, E3, and P6 values at GEO have relatively weak correlations with 1 MeV electrons, E2, E3, and P6 channels at L-shell of 4.6 are used instead for model inputs. The term “window size” refers to how many five-hour time bins of input data are needed by the models. </w:t>
      </w:r>
      <w:r>
        <w:fldChar w:fldCharType="begin" w:fldLock="1"/>
      </w:r>
      <w:r>
        <w:instrText>ADDIN CSL_CITATION {"citationItems":[{"id":"ITEM-1","itemData":{"DOI":"10.1029/2018SW002095","ISSN":"1542-7390","author":[{"dropping-particle":"","family":"Chen","given":"Yue","non-dropping-particle":"","parse-names":false,"suffix":""},{"dropping-particle":"","family":"Reeves","given":"Geoffrey D.","non-dropping-particle":"","parse-names":false,"suffix":""},{"dropping-particle":"","family":"Fu","given":"Xiangrong","non-dropping-particle":"","parse-names":false,"suffix":""},{"dropping-particle":"","family":"Henderson","given":"Michael","non-dropping-particle":"","parse-names":false,"suffix":""}],"container-title":"Space Weather","id":"ITEM-1","issue":"3","issued":{"date-parts":[["2019","3","14"]]},"page":"438-454","publisher":"John Wiley &amp; Sons, Ltd","title":"PreMevE: New Predictive Model for Megaelectron‐Volt Electrons Inside Earth's Outer Radiation Belt","type":"article-journal","volume":"17"},"uris":["http://www.mendeley.com/documents/?uuid=3394f76f-40f1-3ffd-8cde-fd43960b486b"]}],"mendeley":{"formattedCitation":"(Chen et al., 2019)","manualFormatting":"Chen et al. (2019)","plainTextFormattedCitation":"(Chen et al., 2019)","previouslyFormattedCitation":"(Chen et al., 2019)"},"properties":{"noteIndex":0},"schema":"https://github.com/citation-style-language/schema/raw/master/csl-citation.json"}</w:instrText>
      </w:r>
      <w:r>
        <w:fldChar w:fldCharType="separate"/>
      </w:r>
      <w:r w:rsidRPr="007B4068">
        <w:rPr>
          <w:noProof/>
        </w:rPr>
        <w:t xml:space="preserve">Chen et al. </w:t>
      </w:r>
      <w:r>
        <w:rPr>
          <w:noProof/>
        </w:rPr>
        <w:t>(</w:t>
      </w:r>
      <w:r w:rsidRPr="007B4068">
        <w:rPr>
          <w:noProof/>
        </w:rPr>
        <w:t>2019)</w:t>
      </w:r>
      <w:r>
        <w:fldChar w:fldCharType="end"/>
      </w:r>
      <w:r>
        <w:t xml:space="preserve"> found a window size of 15 time bins (equivalent to 75 hours) to be effective for the forecast of MeV electrons. Adhering to the “power of two” ML convention, we used a window size of 16. The “power of two” rule is based on the fact that CPUs and GPUs memory architecture are usually organized in powers of two, thus using power of two data organization can be beneficial for computation efficiency. For naming convention, when a LSTM model has one layer with 128 memory cells, we use LSTM-128 as the name for this model; the linear models are referred to as LinearReg throughout the manuscript. Results from the submodel 1 and 2 of previous PreMevE in </w:t>
      </w:r>
      <w:r>
        <w:fldChar w:fldCharType="begin" w:fldLock="1"/>
      </w:r>
      <w:r>
        <w:instrText>ADDIN CSL_CITATION {"citationItems":[{"id":"ITEM-1","itemData":{"DOI":"10.1029/2018SW002095","ISSN":"1542-7390","author":[{"dropping-particle":"","family":"Chen","given":"Yue","non-dropping-particle":"","parse-names":false,"suffix":""},{"dropping-particle":"","family":"Reeves","given":"Geoffrey D.","non-dropping-particle":"","parse-names":false,"suffix":""},{"dropping-particle":"","family":"Fu","given":"Xiangrong","non-dropping-particle":"","parse-names":false,"suffix":""},{"dropping-particle":"","family":"Henderson","given":"Michael","non-dropping-particle":"","parse-names":false,"suffix":""}],"container-title":"Space Weather","id":"ITEM-1","issue":"3","issued":{"date-parts":[["2019","3","14"]]},"page":"438-454","publisher":"John Wiley &amp; Sons, Ltd","title":"PreMevE: New Predictive Model for Megaelectron‐Volt Electrons Inside Earth's Outer Radiation Belt","type":"article-journal","volume":"17"},"uris":["http://www.mendeley.com/documents/?uuid=3394f76f-40f1-3ffd-8cde-fd43960b486b"]}],"mendeley":{"formattedCitation":"(Chen et al., 2019)","manualFormatting":"Chen et al. (2019)","plainTextFormattedCitation":"(Chen et al., 2019)","previouslyFormattedCitation":"(Chen et al., 2019)"},"properties":{"noteIndex":0},"schema":"https://github.com/citation-style-language/schema/raw/master/csl-citation.json"}</w:instrText>
      </w:r>
      <w:r>
        <w:fldChar w:fldCharType="separate"/>
      </w:r>
      <w:r w:rsidRPr="007B4068">
        <w:rPr>
          <w:noProof/>
        </w:rPr>
        <w:t xml:space="preserve">Chen et al. </w:t>
      </w:r>
      <w:r>
        <w:rPr>
          <w:noProof/>
        </w:rPr>
        <w:t>(</w:t>
      </w:r>
      <w:r w:rsidRPr="007B4068">
        <w:rPr>
          <w:noProof/>
        </w:rPr>
        <w:t>2019)</w:t>
      </w:r>
      <w:r>
        <w:fldChar w:fldCharType="end"/>
      </w:r>
      <w:r>
        <w:t xml:space="preserve"> are cited as linear1 and linear2 for a baseline comparison through the manuscript. Note in this work all PE values and fluxes from linear1 and linear2 are for 1-day forecasts only.</w:t>
      </w:r>
    </w:p>
    <w:p w14:paraId="32451BE4" w14:textId="77777777" w:rsidR="001D724A" w:rsidRDefault="001D724A" w:rsidP="00877916">
      <w:pPr>
        <w:pStyle w:val="Text"/>
        <w:spacing w:line="480" w:lineRule="auto"/>
        <w:ind w:firstLine="0"/>
      </w:pPr>
      <w:r w:rsidRPr="00877916">
        <w:fldChar w:fldCharType="begin"/>
      </w:r>
      <w:r w:rsidRPr="00877916">
        <w:instrText xml:space="preserve"> REF _Ref18614169 \h  \* MERGEFORMAT </w:instrText>
      </w:r>
      <w:r w:rsidRPr="00877916">
        <w:fldChar w:fldCharType="separate"/>
      </w:r>
      <w:r w:rsidR="00877916" w:rsidRPr="00877916">
        <w:t xml:space="preserve">Table </w:t>
      </w:r>
      <w:r w:rsidR="00877916" w:rsidRPr="00877916">
        <w:rPr>
          <w:noProof/>
        </w:rPr>
        <w:t>17</w:t>
      </w:r>
      <w:r w:rsidRPr="00877916">
        <w:fldChar w:fldCharType="end"/>
      </w:r>
      <w:r w:rsidRPr="00877916">
        <w:t xml:space="preserve"> summarizes</w:t>
      </w:r>
      <w:r>
        <w:t xml:space="preserve"> the overall PE values (averaged over all Lshells) for twenty tests performed for 1-day predictions. For each of the two categories of models, ten input parameter sets are tested, starting from each single parameter to various combinations. Here we focus on </w:t>
      </w:r>
      <w:r>
        <w:lastRenderedPageBreak/>
        <w:t>the out-of-sample PE values, i.e., those in the column of PE val+test, to judge model performance. The general trend is that more parameters lead to better performance. For example, the last LinearReg model with all parameters as input (the 10</w:t>
      </w:r>
      <w:r w:rsidRPr="00D2225A">
        <w:rPr>
          <w:vertAlign w:val="superscript"/>
        </w:rPr>
        <w:t>th</w:t>
      </w:r>
      <w:r>
        <w:t xml:space="preserve"> model) has not only the overall highest PE value of 0.861 but also at GEO (0.587). These two values are higher than those for linear2 (0.797 and 0.352), which indicates significant improvements. (The linear1 was designed for capturing onset timings of MeV electron events and thus its PE is always lower than that of linear2 (Chen et al., 2019).) Interestingly, the last two LSTM models (19</w:t>
      </w:r>
      <w:r w:rsidRPr="009D4674">
        <w:rPr>
          <w:vertAlign w:val="superscript"/>
        </w:rPr>
        <w:t>th</w:t>
      </w:r>
      <w:r>
        <w:t xml:space="preserve"> and 20</w:t>
      </w:r>
      <w:r w:rsidRPr="009D4674">
        <w:rPr>
          <w:vertAlign w:val="superscript"/>
        </w:rPr>
        <w:t>th</w:t>
      </w:r>
      <w:r>
        <w:t>) have the highest overall PE values for this category, but still slightly lower than those of the 10</w:t>
      </w:r>
      <w:r w:rsidRPr="009D4674">
        <w:rPr>
          <w:vertAlign w:val="superscript"/>
        </w:rPr>
        <w:t>th</w:t>
      </w:r>
      <w:r>
        <w:t xml:space="preserve"> LinearReg model. </w:t>
      </w:r>
    </w:p>
    <w:p w14:paraId="204BD9BD" w14:textId="77777777" w:rsidR="001D724A" w:rsidRDefault="001D724A" w:rsidP="001D724A">
      <w:pPr>
        <w:pStyle w:val="Text"/>
        <w:spacing w:line="480" w:lineRule="auto"/>
        <w:ind w:firstLine="0"/>
      </w:pPr>
      <w:r>
        <w:t xml:space="preserve">In this step, we also confirmed that adding SW speeds to the input list improves model performance, which was not tested previously in Chen et al. (2019). In </w:t>
      </w:r>
      <w:r w:rsidR="00877916">
        <w:fldChar w:fldCharType="begin"/>
      </w:r>
      <w:r w:rsidR="00877916">
        <w:instrText xml:space="preserve"> REF _Ref23750959 \h </w:instrText>
      </w:r>
      <w:r w:rsidR="00877916">
        <w:fldChar w:fldCharType="separate"/>
      </w:r>
      <w:r w:rsidR="00877916" w:rsidRPr="00877916">
        <w:t xml:space="preserve">Table </w:t>
      </w:r>
      <w:r w:rsidR="00877916" w:rsidRPr="00877916">
        <w:rPr>
          <w:noProof/>
        </w:rPr>
        <w:t>17</w:t>
      </w:r>
      <w:r w:rsidR="00877916">
        <w:fldChar w:fldCharType="end"/>
      </w:r>
      <w:r>
        <w:t>, the overall PE for the 1</w:t>
      </w:r>
      <w:r w:rsidRPr="00225ADC">
        <w:rPr>
          <w:vertAlign w:val="superscript"/>
        </w:rPr>
        <w:t>st</w:t>
      </w:r>
      <w:r>
        <w:t xml:space="preserve"> model by using SW speed as the sole input parameter is 0.518, which indicates this simple model can predict MeV electrons over the whole outer belt to some degree but not as well as the linear2, although the PE of 0.557 at GEO is much higher than that of linear2 (0.352). In comparison, PE values from the 11</w:t>
      </w:r>
      <w:r w:rsidRPr="00225ADC">
        <w:rPr>
          <w:vertAlign w:val="superscript"/>
        </w:rPr>
        <w:t>th</w:t>
      </w:r>
      <w:r>
        <w:t xml:space="preserve"> model show that using SW speed as the sole parameter for LSTM model is not as good as for LinearReg particularly for GEO. When comparing models with and without SW speeds, e.g., the 2</w:t>
      </w:r>
      <w:r w:rsidRPr="007D600F">
        <w:rPr>
          <w:vertAlign w:val="superscript"/>
        </w:rPr>
        <w:t>nd</w:t>
      </w:r>
      <w:r>
        <w:t xml:space="preserve"> vs 7</w:t>
      </w:r>
      <w:r w:rsidRPr="007D600F">
        <w:rPr>
          <w:vertAlign w:val="superscript"/>
        </w:rPr>
        <w:t>th</w:t>
      </w:r>
      <w:r>
        <w:t xml:space="preserve"> (12</w:t>
      </w:r>
      <w:r w:rsidRPr="007D600F">
        <w:rPr>
          <w:vertAlign w:val="superscript"/>
        </w:rPr>
        <w:t>th</w:t>
      </w:r>
      <w:r>
        <w:t xml:space="preserve"> vs 17</w:t>
      </w:r>
      <w:r w:rsidRPr="007D600F">
        <w:rPr>
          <w:vertAlign w:val="superscript"/>
        </w:rPr>
        <w:t>th</w:t>
      </w:r>
      <w:r>
        <w:t>) and 8</w:t>
      </w:r>
      <w:r w:rsidRPr="007D600F">
        <w:rPr>
          <w:vertAlign w:val="superscript"/>
        </w:rPr>
        <w:t>th</w:t>
      </w:r>
      <w:r>
        <w:t xml:space="preserve"> vs 9</w:t>
      </w:r>
      <w:r w:rsidRPr="007D600F">
        <w:rPr>
          <w:vertAlign w:val="superscript"/>
        </w:rPr>
        <w:t>th</w:t>
      </w:r>
      <w:r>
        <w:t xml:space="preserve"> (18</w:t>
      </w:r>
      <w:r w:rsidRPr="007D600F">
        <w:rPr>
          <w:vertAlign w:val="superscript"/>
        </w:rPr>
        <w:t>th</w:t>
      </w:r>
      <w:r>
        <w:t xml:space="preserve"> vs 19</w:t>
      </w:r>
      <w:r w:rsidRPr="007D600F">
        <w:rPr>
          <w:vertAlign w:val="superscript"/>
        </w:rPr>
        <w:t>th</w:t>
      </w:r>
      <w:r>
        <w:t>), the improvements in overall PE are 0.009 (0.017) and 0.005 (0.013), while the improvements in PE at GEO are more significant up to 0.11. We also tested the dE2 and its addition to the input has not effects as significant as SW speeds when comparing the PE values of the 10</w:t>
      </w:r>
      <w:r w:rsidRPr="00225ADC">
        <w:rPr>
          <w:vertAlign w:val="superscript"/>
        </w:rPr>
        <w:t>th</w:t>
      </w:r>
      <w:r>
        <w:t xml:space="preserve"> (20</w:t>
      </w:r>
      <w:r w:rsidRPr="00225ADC">
        <w:rPr>
          <w:vertAlign w:val="superscript"/>
        </w:rPr>
        <w:t>th</w:t>
      </w:r>
      <w:r>
        <w:t>) model to those of the 9</w:t>
      </w:r>
      <w:r w:rsidRPr="00225ADC">
        <w:rPr>
          <w:vertAlign w:val="superscript"/>
        </w:rPr>
        <w:t>th</w:t>
      </w:r>
      <w:r>
        <w:t xml:space="preserve"> (19</w:t>
      </w:r>
      <w:r w:rsidRPr="00225ADC">
        <w:rPr>
          <w:vertAlign w:val="superscript"/>
        </w:rPr>
        <w:t>th</w:t>
      </w:r>
      <w:r>
        <w:t xml:space="preserve">). </w:t>
      </w:r>
    </w:p>
    <w:p w14:paraId="18ECEE52" w14:textId="77777777" w:rsidR="001D724A" w:rsidRDefault="001D724A" w:rsidP="001D724A">
      <w:pPr>
        <w:pStyle w:val="Text"/>
        <w:spacing w:line="480" w:lineRule="auto"/>
        <w:ind w:firstLine="0"/>
      </w:pPr>
      <w:r>
        <w:t xml:space="preserve">Details of how model PEs improve as a function of Lshell are presented in </w:t>
      </w:r>
      <w:r w:rsidR="00857B42">
        <w:fldChar w:fldCharType="begin"/>
      </w:r>
      <w:r w:rsidR="00857B42">
        <w:instrText xml:space="preserve"> REF _Ref20904661 \h </w:instrText>
      </w:r>
      <w:r w:rsidR="00857B42">
        <w:fldChar w:fldCharType="separate"/>
      </w:r>
      <w:r w:rsidR="00857B42" w:rsidRPr="00E219C7">
        <w:t xml:space="preserve">Figure </w:t>
      </w:r>
      <w:r w:rsidR="00857B42">
        <w:rPr>
          <w:noProof/>
        </w:rPr>
        <w:t>28</w:t>
      </w:r>
      <w:r w:rsidR="00857B42">
        <w:fldChar w:fldCharType="end"/>
      </w:r>
      <w:r>
        <w:t xml:space="preserve">. For models in both categories, the top performer has much higher PE values than those of linear2 across the </w:t>
      </w:r>
      <w:r>
        <w:lastRenderedPageBreak/>
        <w:t xml:space="preserve">whole belt, with the most significant improvements at Lshells &gt; ~ 4.5 and the maximum difference &gt; 0.4 with L ~ 5.5. It can be clearly seen from the green curve in Panel A that SW speeds are a very helpful predictor for outer L-shells especially for LinearReg models, but inefficient for inner Lshells. This can be explained by the fact that in the large-Lshell region particle dynamics are more controlled by adiabatic effects, and is also consistent with the experience from predictive models for electrons at GEO (e.g., Baker et al., 1990). However, as in Panel B, the LSTM model using SW speeds as the sole predictor has only a few L-shells with PE values greater than zero.  In summary, results </w:t>
      </w:r>
      <w:r w:rsidRPr="00367BC8">
        <w:t>in</w:t>
      </w:r>
      <w:r w:rsidRPr="00FF41C2">
        <w:t xml:space="preserve"> </w:t>
      </w:r>
      <w:r>
        <w:t xml:space="preserve">both </w:t>
      </w:r>
      <w:r w:rsidR="00877916">
        <w:fldChar w:fldCharType="begin"/>
      </w:r>
      <w:r w:rsidR="00877916">
        <w:instrText xml:space="preserve"> REF _Ref23750959 \h </w:instrText>
      </w:r>
      <w:r w:rsidR="00877916">
        <w:fldChar w:fldCharType="separate"/>
      </w:r>
      <w:r w:rsidR="00877916" w:rsidRPr="00877916">
        <w:t xml:space="preserve">Table </w:t>
      </w:r>
      <w:r w:rsidR="00877916" w:rsidRPr="00877916">
        <w:rPr>
          <w:noProof/>
        </w:rPr>
        <w:t>17</w:t>
      </w:r>
      <w:r w:rsidR="00877916">
        <w:fldChar w:fldCharType="end"/>
      </w:r>
      <w:r w:rsidR="00877916">
        <w:t xml:space="preserve"> </w:t>
      </w:r>
      <w:r>
        <w:t xml:space="preserve">and </w:t>
      </w:r>
      <w:r w:rsidR="00857B42">
        <w:fldChar w:fldCharType="begin"/>
      </w:r>
      <w:r w:rsidR="00857B42">
        <w:instrText xml:space="preserve"> REF _Ref20904661 \h </w:instrText>
      </w:r>
      <w:r w:rsidR="00857B42">
        <w:fldChar w:fldCharType="separate"/>
      </w:r>
      <w:r w:rsidR="00857B42" w:rsidRPr="00E219C7">
        <w:t xml:space="preserve">Figure </w:t>
      </w:r>
      <w:r w:rsidR="00857B42">
        <w:rPr>
          <w:noProof/>
        </w:rPr>
        <w:t>28</w:t>
      </w:r>
      <w:r w:rsidR="00857B42">
        <w:fldChar w:fldCharType="end"/>
      </w:r>
      <w:r>
        <w:t xml:space="preserve"> suggest that the model PE values are higher with the use of more input data from multiple precipitating electron channels as well as the SW speeds. Therefore, tests in the rest of this study use the parameter combination including all inputs.</w:t>
      </w:r>
    </w:p>
    <w:p w14:paraId="547F7E47" w14:textId="77777777" w:rsidR="009E29A4" w:rsidRDefault="009E29A4" w:rsidP="001D724A">
      <w:pPr>
        <w:pStyle w:val="Text"/>
        <w:spacing w:line="480" w:lineRule="auto"/>
        <w:ind w:firstLine="0"/>
      </w:pPr>
    </w:p>
    <w:p w14:paraId="3A1C565D" w14:textId="77777777" w:rsidR="001D724A" w:rsidRPr="00C4573D" w:rsidRDefault="001D724A" w:rsidP="009E29A4">
      <w:pPr>
        <w:pStyle w:val="Heading3"/>
      </w:pPr>
      <w:bookmarkStart w:id="302" w:name="_Toc26534658"/>
      <w:r w:rsidRPr="00C4573D">
        <w:t>4.2</w:t>
      </w:r>
      <w:r>
        <w:t xml:space="preserve"> Model S</w:t>
      </w:r>
      <w:r w:rsidRPr="00C4573D">
        <w:t>election</w:t>
      </w:r>
      <w:r>
        <w:t xml:space="preserve"> and Metrics E</w:t>
      </w:r>
      <w:r w:rsidRPr="00C4573D">
        <w:t>valuation</w:t>
      </w:r>
      <w:bookmarkEnd w:id="302"/>
    </w:p>
    <w:p w14:paraId="6C2A0F31" w14:textId="77777777" w:rsidR="001D724A" w:rsidRDefault="001D724A" w:rsidP="001D724A">
      <w:pPr>
        <w:pStyle w:val="Text"/>
        <w:spacing w:line="480" w:lineRule="auto"/>
        <w:ind w:firstLine="0"/>
      </w:pPr>
      <w:r>
        <w:t xml:space="preserve">We then advanced to test a list of models built upon different algorithms with varying model hyperparameters (e.g., the window size and number of neurons). There are four different categories of models—Linear, MLP, LSTM, and CNNs—as described in Section 3, and here are how these models and test runs were set up. First, to account for cross-shell information as in Chen et al. 2019, some tests include E2 data at the L-shell of 4.6 as input for all other L-shells. Second, the MLP models presented here are composed of two hidden layers, the first one has 64 neurons, the second has 32 neurons, and the neurons use ELU as the activation function. In our early testing, we discovered ELU achieving marginally better performance than the most adopted ReLU activation function. A dropout layer that randomly selects 50% of the input to be inactivated after each one of the activation functions is included to help prevent overfitting. The </w:t>
      </w:r>
      <w:r>
        <w:lastRenderedPageBreak/>
        <w:t xml:space="preserve">output layer consists of a single neuron without an activation function. The dropout layer, used during training and deactivated during prediction, and the output layer are not accounted as hidden layers, but are also part of the model. We name such models MLP-64-32-elu. Then, CNN models with a window size 16 are composed of two convolutional layers, the first convolutional layer contains 64 kernels followed by a </w:t>
      </w:r>
      <w:r w:rsidRPr="00A132F1">
        <w:t>Max-pooling</w:t>
      </w:r>
      <w:r>
        <w:t xml:space="preserve"> layer with size and stride equal two, and the second convolutional layer contains 32 kernels followed by a </w:t>
      </w:r>
      <w:r w:rsidRPr="00A132F1">
        <w:t>Max-pooling</w:t>
      </w:r>
      <w:r>
        <w:t xml:space="preserve"> layer with the same size and stride. The CNN models with a window size 4 are composed of a single convolutional layer with 64 kernels followed by a </w:t>
      </w:r>
      <w:r w:rsidRPr="00A132F1">
        <w:t>Max-pooling</w:t>
      </w:r>
      <w:r>
        <w:t xml:space="preserve"> layer. The kernels are one-dimensional with a size of three and are use ReLU as activation function. The convolutional layers are finalized with 50% dropout. The output layer consists of a single neuron without an activation function. Those CNN models are named Conv-64-32 and Conv-64, respectively. Finally, LSTM models follow the same structure as the ones described in Section 4.1. </w:t>
      </w:r>
    </w:p>
    <w:p w14:paraId="2495A9BD" w14:textId="77777777" w:rsidR="001D724A" w:rsidRPr="00877916" w:rsidRDefault="001D724A" w:rsidP="001D724A">
      <w:pPr>
        <w:pStyle w:val="Text"/>
        <w:spacing w:line="480" w:lineRule="auto"/>
        <w:ind w:firstLine="0"/>
      </w:pPr>
      <w:r>
        <w:t>Model performance is again evaluated by PE values by comparing forecasts to the target data</w:t>
      </w:r>
      <w:r w:rsidRPr="00117879">
        <w:t xml:space="preserve">. </w:t>
      </w:r>
      <w:r w:rsidRPr="009A0329">
        <w:fldChar w:fldCharType="begin"/>
      </w:r>
      <w:r w:rsidRPr="009A0329">
        <w:instrText xml:space="preserve"> REF _Ref18655181 \h  \* MERGEFORMAT </w:instrText>
      </w:r>
      <w:r w:rsidRPr="009A0329">
        <w:fldChar w:fldCharType="separate"/>
      </w:r>
      <w:r w:rsidR="00877916" w:rsidRPr="00877916">
        <w:rPr>
          <w:bCs/>
        </w:rPr>
        <w:t xml:space="preserve">Table </w:t>
      </w:r>
      <w:r w:rsidR="00877916" w:rsidRPr="00877916">
        <w:rPr>
          <w:bCs/>
          <w:noProof/>
        </w:rPr>
        <w:t>18</w:t>
      </w:r>
      <w:r w:rsidRPr="009A0329">
        <w:fldChar w:fldCharType="end"/>
      </w:r>
      <w:r>
        <w:t xml:space="preserve"> present</w:t>
      </w:r>
      <w:r w:rsidRPr="00117879">
        <w:t>s</w:t>
      </w:r>
      <w:r>
        <w:t xml:space="preserve"> the overall PE values for 24</w:t>
      </w:r>
      <w:r w:rsidRPr="00117879">
        <w:t xml:space="preserve"> test</w:t>
      </w:r>
      <w:r>
        <w:t xml:space="preserve"> run</w:t>
      </w:r>
      <w:r w:rsidRPr="00117879">
        <w:t>s performed for 1-day prediction</w:t>
      </w:r>
      <w:r>
        <w:t>s, and</w:t>
      </w:r>
      <w:r w:rsidRPr="00117879">
        <w:t xml:space="preserve"> </w:t>
      </w:r>
      <w:r w:rsidRPr="003308D9">
        <w:fldChar w:fldCharType="begin"/>
      </w:r>
      <w:r w:rsidRPr="003308D9">
        <w:instrText xml:space="preserve"> REF _Ref18655327 \h  \* MERGEFORMAT </w:instrText>
      </w:r>
      <w:r w:rsidRPr="003308D9">
        <w:fldChar w:fldCharType="separate"/>
      </w:r>
      <w:r w:rsidR="00877916" w:rsidRPr="00877916">
        <w:rPr>
          <w:bCs/>
        </w:rPr>
        <w:t xml:space="preserve">Table </w:t>
      </w:r>
      <w:r w:rsidR="00877916" w:rsidRPr="00877916">
        <w:rPr>
          <w:bCs/>
          <w:noProof/>
        </w:rPr>
        <w:t>19</w:t>
      </w:r>
      <w:r w:rsidRPr="003308D9">
        <w:fldChar w:fldCharType="end"/>
      </w:r>
      <w:r>
        <w:t xml:space="preserve"> presents PE values for the same</w:t>
      </w:r>
      <w:r w:rsidRPr="00117879">
        <w:t xml:space="preserve"> test</w:t>
      </w:r>
      <w:r>
        <w:t xml:space="preserve"> runs </w:t>
      </w:r>
      <w:r w:rsidRPr="00117879">
        <w:t>for 2-days prediction</w:t>
      </w:r>
      <w:r>
        <w:t>s</w:t>
      </w:r>
      <w:r w:rsidRPr="00117879">
        <w:t>.</w:t>
      </w:r>
      <w:r>
        <w:t xml:space="preserve"> Inside each category, the effects of window size, neuron/layer numbers and input parameters are tested and compared, and </w:t>
      </w:r>
      <w:r w:rsidR="00877916">
        <w:fldChar w:fldCharType="begin"/>
      </w:r>
      <w:r w:rsidR="00877916">
        <w:instrText xml:space="preserve"> REF _Ref23750959 \h </w:instrText>
      </w:r>
      <w:r w:rsidR="00877916">
        <w:fldChar w:fldCharType="separate"/>
      </w:r>
      <w:r w:rsidR="00877916" w:rsidRPr="00877916">
        <w:t xml:space="preserve">Table </w:t>
      </w:r>
      <w:r w:rsidR="00877916" w:rsidRPr="00877916">
        <w:rPr>
          <w:noProof/>
        </w:rPr>
        <w:t>17</w:t>
      </w:r>
      <w:r w:rsidR="00877916">
        <w:fldChar w:fldCharType="end"/>
      </w:r>
      <w:r>
        <w:t xml:space="preserve"> and </w:t>
      </w:r>
      <w:r w:rsidR="00877916">
        <w:t>18</w:t>
      </w:r>
      <w:r>
        <w:t xml:space="preserve"> only show results of models with good performance. For 1-day forecasts as </w:t>
      </w:r>
      <w:r w:rsidRPr="00877916">
        <w:t xml:space="preserve">in </w:t>
      </w:r>
      <w:r w:rsidR="00877916" w:rsidRPr="00877916">
        <w:fldChar w:fldCharType="begin"/>
      </w:r>
      <w:r w:rsidR="00877916" w:rsidRPr="00877916">
        <w:instrText xml:space="preserve"> REF _Ref18655181 \h  \* MERGEFORMAT </w:instrText>
      </w:r>
      <w:r w:rsidR="00877916" w:rsidRPr="00877916">
        <w:fldChar w:fldCharType="separate"/>
      </w:r>
      <w:r w:rsidR="00877916" w:rsidRPr="00877916">
        <w:t xml:space="preserve">Table </w:t>
      </w:r>
      <w:r w:rsidR="00877916" w:rsidRPr="00877916">
        <w:rPr>
          <w:noProof/>
        </w:rPr>
        <w:t>18</w:t>
      </w:r>
      <w:r w:rsidR="00877916" w:rsidRPr="00877916">
        <w:fldChar w:fldCharType="end"/>
      </w:r>
      <w:r w:rsidRPr="00877916">
        <w:t xml:space="preserve">, the </w:t>
      </w:r>
      <w:r>
        <w:t>6</w:t>
      </w:r>
      <w:r w:rsidRPr="003308D9">
        <w:rPr>
          <w:vertAlign w:val="superscript"/>
        </w:rPr>
        <w:t>th</w:t>
      </w:r>
      <w:r>
        <w:t xml:space="preserve"> LinearReg model has the high overall PE of 0.872 for out-of-sample test and 0.587 at GEO. Top models in the other three </w:t>
      </w:r>
      <w:r w:rsidRPr="00877916">
        <w:t xml:space="preserve">categories have similar overall and GEO PE values. All those values are higher than the overall PE of 0.797 and GEO PE of 0.352 from linear2 for 1-day forecasts. For 2-day forecasts in </w:t>
      </w:r>
      <w:r w:rsidR="00877916" w:rsidRPr="00877916">
        <w:fldChar w:fldCharType="begin"/>
      </w:r>
      <w:r w:rsidR="00877916" w:rsidRPr="00877916">
        <w:instrText xml:space="preserve"> REF _Ref18655327 \h  \* MERGEFORMAT </w:instrText>
      </w:r>
      <w:r w:rsidR="00877916" w:rsidRPr="00877916">
        <w:fldChar w:fldCharType="separate"/>
      </w:r>
      <w:r w:rsidR="00877916" w:rsidRPr="00877916">
        <w:t xml:space="preserve">Table </w:t>
      </w:r>
      <w:r w:rsidR="00877916" w:rsidRPr="00877916">
        <w:rPr>
          <w:noProof/>
        </w:rPr>
        <w:t>19</w:t>
      </w:r>
      <w:r w:rsidR="00877916" w:rsidRPr="00877916">
        <w:fldChar w:fldCharType="end"/>
      </w:r>
      <w:r w:rsidRPr="00877916">
        <w:t>, top performers are the same as for 1-day predictions except for the MLP category. Here, the 6</w:t>
      </w:r>
      <w:r w:rsidRPr="00877916">
        <w:rPr>
          <w:vertAlign w:val="superscript"/>
        </w:rPr>
        <w:t>th</w:t>
      </w:r>
      <w:r w:rsidRPr="00877916">
        <w:t xml:space="preserve"> LinearReg model has the highest overall PE of 0.827 for out-of-sample test and 0.333 at GEO. Again, top performers have overall PEs </w:t>
      </w:r>
      <w:r w:rsidRPr="00877916">
        <w:lastRenderedPageBreak/>
        <w:t>~0.82 for 2-day predictions, which is lower than the ~0.87 for 1-day predictions but higher than the ~0.80 of linear2 for 1-day forecasts. (Chen et al. (2019) has shown that linear1 and linear2 have lower PE for 2-day forecasts than 1-day.) Their PEs at GEO are mostly above 0.33, comparable to linear2. Note for the MLP category, the 9</w:t>
      </w:r>
      <w:r w:rsidRPr="00877916">
        <w:rPr>
          <w:vertAlign w:val="superscript"/>
        </w:rPr>
        <w:t>th</w:t>
      </w:r>
      <w:r w:rsidRPr="00877916">
        <w:t xml:space="preserve"> model is the top performer in </w:t>
      </w:r>
      <w:r w:rsidR="00877916" w:rsidRPr="00877916">
        <w:fldChar w:fldCharType="begin"/>
      </w:r>
      <w:r w:rsidR="00877916" w:rsidRPr="00877916">
        <w:instrText xml:space="preserve"> REF _Ref18655327 \h  \* MERGEFORMAT </w:instrText>
      </w:r>
      <w:r w:rsidR="00877916" w:rsidRPr="00877916">
        <w:fldChar w:fldCharType="separate"/>
      </w:r>
      <w:r w:rsidR="00877916" w:rsidRPr="00877916">
        <w:t xml:space="preserve">Table </w:t>
      </w:r>
      <w:r w:rsidR="00877916" w:rsidRPr="00877916">
        <w:rPr>
          <w:noProof/>
        </w:rPr>
        <w:t>19</w:t>
      </w:r>
      <w:r w:rsidR="00877916" w:rsidRPr="00877916">
        <w:fldChar w:fldCharType="end"/>
      </w:r>
      <w:r w:rsidRPr="00877916">
        <w:t xml:space="preserve">, with no </w:t>
      </w:r>
      <w:hyperlink r:id="rId75" w:history="1">
        <w:r w:rsidRPr="00877916">
          <w:rPr>
            <w:rStyle w:val="Hyperlink"/>
            <w:color w:val="000000" w:themeColor="text1"/>
            <w:u w:val="none"/>
          </w:rPr>
          <w:t>E2 at L=4.6</w:t>
        </w:r>
      </w:hyperlink>
      <w:r w:rsidRPr="00877916">
        <w:t xml:space="preserve"> for input—instead of the 11</w:t>
      </w:r>
      <w:r w:rsidRPr="00877916">
        <w:rPr>
          <w:vertAlign w:val="superscript"/>
        </w:rPr>
        <w:t>th</w:t>
      </w:r>
      <w:r w:rsidRPr="00877916">
        <w:t xml:space="preserve"> in </w:t>
      </w:r>
      <w:r w:rsidR="00877916" w:rsidRPr="00877916">
        <w:fldChar w:fldCharType="begin"/>
      </w:r>
      <w:r w:rsidR="00877916" w:rsidRPr="00877916">
        <w:instrText xml:space="preserve"> REF _Ref23750959 \h  \* MERGEFORMAT </w:instrText>
      </w:r>
      <w:r w:rsidR="00877916" w:rsidRPr="00877916">
        <w:fldChar w:fldCharType="separate"/>
      </w:r>
      <w:r w:rsidR="00877916" w:rsidRPr="00877916">
        <w:t xml:space="preserve">Table </w:t>
      </w:r>
      <w:r w:rsidR="00877916" w:rsidRPr="00877916">
        <w:rPr>
          <w:noProof/>
        </w:rPr>
        <w:t>17</w:t>
      </w:r>
      <w:r w:rsidR="00877916" w:rsidRPr="00877916">
        <w:fldChar w:fldCharType="end"/>
      </w:r>
      <w:r w:rsidRPr="00877916">
        <w:t xml:space="preserve">. All CNN models in </w:t>
      </w:r>
      <w:r w:rsidR="00877916" w:rsidRPr="00877916">
        <w:fldChar w:fldCharType="begin"/>
      </w:r>
      <w:r w:rsidR="00877916" w:rsidRPr="00877916">
        <w:instrText xml:space="preserve"> REF _Ref18655327 \h  \* MERGEFORMAT </w:instrText>
      </w:r>
      <w:r w:rsidR="00877916" w:rsidRPr="00877916">
        <w:fldChar w:fldCharType="separate"/>
      </w:r>
      <w:r w:rsidR="00877916" w:rsidRPr="00877916">
        <w:t xml:space="preserve">Table </w:t>
      </w:r>
      <w:r w:rsidR="00877916" w:rsidRPr="00877916">
        <w:rPr>
          <w:noProof/>
        </w:rPr>
        <w:t>19</w:t>
      </w:r>
      <w:r w:rsidR="00877916" w:rsidRPr="00877916">
        <w:fldChar w:fldCharType="end"/>
      </w:r>
      <w:r w:rsidR="00877916">
        <w:t xml:space="preserve"> </w:t>
      </w:r>
      <w:r w:rsidRPr="00877916">
        <w:t>cannot make 2-day forecasts at GEO very well.</w:t>
      </w:r>
    </w:p>
    <w:p w14:paraId="1C9D7089" w14:textId="77777777" w:rsidR="001D724A" w:rsidRDefault="001D724A" w:rsidP="001D724A">
      <w:pPr>
        <w:pStyle w:val="Text"/>
        <w:spacing w:line="480" w:lineRule="auto"/>
        <w:ind w:firstLine="0"/>
      </w:pPr>
      <w:r w:rsidRPr="00373293">
        <w:fldChar w:fldCharType="begin"/>
      </w:r>
      <w:r w:rsidRPr="00373293">
        <w:instrText xml:space="preserve"> REF _Ref21427045 \h  \* MERGEFORMAT </w:instrText>
      </w:r>
      <w:r w:rsidRPr="00373293">
        <w:fldChar w:fldCharType="separate"/>
      </w:r>
      <w:r w:rsidR="00857B42" w:rsidRPr="001D724A">
        <w:rPr>
          <w:bCs/>
        </w:rPr>
        <w:t xml:space="preserve">Figure </w:t>
      </w:r>
      <w:r w:rsidR="00857B42">
        <w:rPr>
          <w:bCs/>
          <w:noProof/>
        </w:rPr>
        <w:t>29</w:t>
      </w:r>
      <w:r w:rsidRPr="00373293">
        <w:fldChar w:fldCharType="end"/>
      </w:r>
      <w:r>
        <w:t xml:space="preserve"> plots PE curve</w:t>
      </w:r>
      <w:r w:rsidRPr="00117879">
        <w:t xml:space="preserve">s </w:t>
      </w:r>
      <w:r>
        <w:t>for both 1- and 2-day forecasts as a function of Lshell, which further confirm our models’ performance</w:t>
      </w:r>
      <w:r w:rsidRPr="00573403">
        <w:t xml:space="preserve"> are more</w:t>
      </w:r>
      <w:r>
        <w:t xml:space="preserve"> robust than previous </w:t>
      </w:r>
      <w:r w:rsidRPr="00573403">
        <w:t>results</w:t>
      </w:r>
      <w:r>
        <w:t xml:space="preserve"> published in Chen et al. (2019). First, the PE curves for all four top models cluster together, with values at outer L-shells (minimum &gt; ~0.3) </w:t>
      </w:r>
      <w:r w:rsidRPr="004550BF">
        <w:t xml:space="preserve">lower than those at inner L-shells </w:t>
      </w:r>
      <w:r>
        <w:t>(maximum &gt; 0.8 in left panel and &gt;0.7 for right). All PE curves for both 1-day and 2-day are well above that from linear2 (1-day) expect at low Lshells for 2-day forecasts. The most significant improvements in PE are at Lshells &gt; 4.5. For 1-day forecasts, the 6</w:t>
      </w:r>
      <w:r w:rsidRPr="00373293">
        <w:rPr>
          <w:vertAlign w:val="superscript"/>
        </w:rPr>
        <w:t>th</w:t>
      </w:r>
      <w:r>
        <w:t xml:space="preserve"> model of </w:t>
      </w:r>
      <w:r w:rsidRPr="00877916">
        <w:t xml:space="preserve">LinearReg in </w:t>
      </w:r>
      <w:r w:rsidR="00877916" w:rsidRPr="00877916">
        <w:fldChar w:fldCharType="begin"/>
      </w:r>
      <w:r w:rsidR="00877916" w:rsidRPr="00877916">
        <w:instrText xml:space="preserve"> REF _Ref18655181 \h  \* MERGEFORMAT </w:instrText>
      </w:r>
      <w:r w:rsidR="00877916" w:rsidRPr="00877916">
        <w:fldChar w:fldCharType="separate"/>
      </w:r>
      <w:r w:rsidR="00877916" w:rsidRPr="00877916">
        <w:t xml:space="preserve">Table </w:t>
      </w:r>
      <w:r w:rsidR="00877916" w:rsidRPr="00877916">
        <w:rPr>
          <w:noProof/>
        </w:rPr>
        <w:t>18</w:t>
      </w:r>
      <w:r w:rsidR="00877916" w:rsidRPr="00877916">
        <w:fldChar w:fldCharType="end"/>
      </w:r>
      <w:r w:rsidR="00877916" w:rsidRPr="00877916">
        <w:t xml:space="preserve"> </w:t>
      </w:r>
      <w:r w:rsidRPr="00877916">
        <w:t>(green</w:t>
      </w:r>
      <w:r>
        <w:t xml:space="preserve"> thick line in </w:t>
      </w:r>
      <w:r w:rsidR="00857B42" w:rsidRPr="00373293">
        <w:fldChar w:fldCharType="begin"/>
      </w:r>
      <w:r w:rsidR="00857B42" w:rsidRPr="00373293">
        <w:instrText xml:space="preserve"> REF _Ref21427045 \h  \* MERGEFORMAT </w:instrText>
      </w:r>
      <w:r w:rsidR="00857B42" w:rsidRPr="00373293">
        <w:fldChar w:fldCharType="separate"/>
      </w:r>
      <w:r w:rsidR="00857B42" w:rsidRPr="001D724A">
        <w:rPr>
          <w:bCs/>
        </w:rPr>
        <w:t xml:space="preserve">Figure </w:t>
      </w:r>
      <w:r w:rsidR="00857B42">
        <w:rPr>
          <w:bCs/>
          <w:noProof/>
        </w:rPr>
        <w:t>29</w:t>
      </w:r>
      <w:r w:rsidR="00857B42" w:rsidRPr="00373293">
        <w:fldChar w:fldCharType="end"/>
      </w:r>
      <w:r>
        <w:t>A) can be seen to outperform with higher overall PE than the 10</w:t>
      </w:r>
      <w:r w:rsidRPr="00373293">
        <w:rPr>
          <w:vertAlign w:val="superscript"/>
        </w:rPr>
        <w:t>th</w:t>
      </w:r>
      <w:r>
        <w:t xml:space="preserve"> model in </w:t>
      </w:r>
      <w:r w:rsidR="00877916">
        <w:fldChar w:fldCharType="begin"/>
      </w:r>
      <w:r w:rsidR="00877916">
        <w:instrText xml:space="preserve"> REF _Ref23750959 \h </w:instrText>
      </w:r>
      <w:r w:rsidR="00877916">
        <w:fldChar w:fldCharType="separate"/>
      </w:r>
      <w:r w:rsidR="00877916" w:rsidRPr="00877916">
        <w:t xml:space="preserve">Table </w:t>
      </w:r>
      <w:r w:rsidR="00877916" w:rsidRPr="00877916">
        <w:rPr>
          <w:noProof/>
        </w:rPr>
        <w:t>17</w:t>
      </w:r>
      <w:r w:rsidR="00877916">
        <w:fldChar w:fldCharType="end"/>
      </w:r>
      <w:r>
        <w:t xml:space="preserve"> with the addition of </w:t>
      </w:r>
      <w:r w:rsidRPr="004A50B0">
        <w:rPr>
          <w:rStyle w:val="Hyperlink"/>
          <w:color w:val="000000" w:themeColor="text1"/>
          <w:u w:val="none"/>
        </w:rPr>
        <w:t>E2 at L=4.6</w:t>
      </w:r>
      <w:r>
        <w:t xml:space="preserve"> to the parameter list. In addition, the performance of LinearReg models is persistently good for both 1- and 2-day forecasts, particularly at GEO w</w:t>
      </w:r>
      <w:r w:rsidR="00337248">
        <w:t>here other top models degrade</w:t>
      </w:r>
      <w:r>
        <w:t xml:space="preserve"> quickly.  </w:t>
      </w:r>
    </w:p>
    <w:p w14:paraId="5EF2E613" w14:textId="77777777" w:rsidR="001D724A" w:rsidRDefault="001D724A" w:rsidP="001D724A">
      <w:pPr>
        <w:pStyle w:val="Text"/>
        <w:spacing w:line="480" w:lineRule="auto"/>
        <w:ind w:firstLine="0"/>
      </w:pPr>
      <w:r>
        <w:t xml:space="preserve">It is striking how the models (LinearReg, MLP, LSTM, CNN) show very similar forecasting ability when using similar input data. Plus, the linear models seem to have leading performance for the forecasting in many scenarios, particularly for 2-day predictions. Two main observations should be taken for such behaviors. The first one is that a great part of the interplay between trapped 1 MeV electrons and input parameters (precipitating electrons and SW speeds) appear to be mainly linear. Previous PreMevE in Chen et al. (2019) has shown high PE using linear filters </w:t>
      </w:r>
      <w:r>
        <w:lastRenderedPageBreak/>
        <w:t xml:space="preserve">to forecast MeV electrons, and our findings corroborate previous results. The second observation is that artificial NNs, as depicted in Section 3, have their linear component. As a linear model achieves good results, artificial neural networks are expected to do at least the same. Thus, the dominance of linear components explains why the top models from all four categories of algorithms have very similar predictive performance. In addition, the secondary role from non-linear components make CNN models having the best overall PE for validation and test set combined in </w:t>
      </w:r>
      <w:r w:rsidRPr="00E15D5C">
        <w:fldChar w:fldCharType="begin"/>
      </w:r>
      <w:r w:rsidRPr="00E15D5C">
        <w:instrText xml:space="preserve"> REF _Ref18655181 \h  \* MERGEFORMAT </w:instrText>
      </w:r>
      <w:r w:rsidRPr="00E15D5C">
        <w:fldChar w:fldCharType="separate"/>
      </w:r>
      <w:r w:rsidR="00877916" w:rsidRPr="00877916">
        <w:rPr>
          <w:bCs/>
        </w:rPr>
        <w:t xml:space="preserve">Table </w:t>
      </w:r>
      <w:r w:rsidR="00877916" w:rsidRPr="00877916">
        <w:rPr>
          <w:bCs/>
          <w:noProof/>
        </w:rPr>
        <w:t>18</w:t>
      </w:r>
      <w:r w:rsidRPr="00E15D5C">
        <w:fldChar w:fldCharType="end"/>
      </w:r>
      <w:r>
        <w:t xml:space="preserve">, as well as MLP and LSTM models having the best PE at GEO (Tables </w:t>
      </w:r>
      <w:r w:rsidR="00877916">
        <w:t>18</w:t>
      </w:r>
      <w:r>
        <w:t xml:space="preserve"> and </w:t>
      </w:r>
      <w:r w:rsidR="00877916">
        <w:t>19</w:t>
      </w:r>
      <w:r>
        <w:t xml:space="preserve">). Therefore, this new PreMevE 2.0 model will indeed include all four algorithms, which form an ensemble of predictive models whose relative weights are left to future work. In next, we take a closer look at predicted results from all four algorithms.  </w:t>
      </w:r>
    </w:p>
    <w:p w14:paraId="27714A7C" w14:textId="77777777" w:rsidR="009E29A4" w:rsidRDefault="009E29A4" w:rsidP="001D724A">
      <w:pPr>
        <w:pStyle w:val="Text"/>
        <w:spacing w:line="480" w:lineRule="auto"/>
        <w:ind w:firstLine="0"/>
      </w:pPr>
    </w:p>
    <w:p w14:paraId="404339E2" w14:textId="77777777" w:rsidR="001D724A" w:rsidRPr="002B4819" w:rsidRDefault="001D724A" w:rsidP="009E29A4">
      <w:pPr>
        <w:pStyle w:val="Heading2"/>
      </w:pPr>
      <w:bookmarkStart w:id="303" w:name="_Toc26534659"/>
      <w:r>
        <w:t>5</w:t>
      </w:r>
      <w:r w:rsidR="009E29A4">
        <w:t>.</w:t>
      </w:r>
      <w:r>
        <w:t xml:space="preserve"> Detailed Predictions and Discussions</w:t>
      </w:r>
      <w:bookmarkEnd w:id="303"/>
    </w:p>
    <w:p w14:paraId="6E106DD6" w14:textId="77777777" w:rsidR="001D724A" w:rsidRDefault="001D724A" w:rsidP="001D724A">
      <w:pPr>
        <w:pStyle w:val="Text"/>
        <w:spacing w:line="480" w:lineRule="auto"/>
        <w:ind w:firstLine="0"/>
      </w:pPr>
      <w:r w:rsidRPr="00D26676">
        <w:t xml:space="preserve">An overview of the 1-day forecasted flux distributions is exhibited in </w:t>
      </w:r>
      <w:r w:rsidR="00D26676" w:rsidRPr="00D26676">
        <w:fldChar w:fldCharType="begin"/>
      </w:r>
      <w:r w:rsidR="00D26676" w:rsidRPr="00D26676">
        <w:instrText xml:space="preserve"> REF _Ref20922084 \h  \* MERGEFORMAT </w:instrText>
      </w:r>
      <w:r w:rsidR="00D26676" w:rsidRPr="00D26676">
        <w:fldChar w:fldCharType="separate"/>
      </w:r>
      <w:r w:rsidR="00D26676" w:rsidRPr="00D26676">
        <w:t xml:space="preserve">Figure </w:t>
      </w:r>
      <w:r w:rsidR="00D26676" w:rsidRPr="00D26676">
        <w:rPr>
          <w:noProof/>
        </w:rPr>
        <w:t>30</w:t>
      </w:r>
      <w:r w:rsidR="00D26676" w:rsidRPr="00D26676">
        <w:fldChar w:fldCharType="end"/>
      </w:r>
      <w:r w:rsidRPr="00D26676">
        <w:t xml:space="preserve"> </w:t>
      </w:r>
      <w:r>
        <w:t xml:space="preserve">compared to the 1 MeV flux target. Visually, forecasted distributions from the four top performers as in </w:t>
      </w:r>
      <w:r w:rsidR="00877916">
        <w:fldChar w:fldCharType="begin"/>
      </w:r>
      <w:r w:rsidR="00877916">
        <w:instrText xml:space="preserve"> REF _Ref18655181 \h </w:instrText>
      </w:r>
      <w:r w:rsidR="00877916">
        <w:fldChar w:fldCharType="separate"/>
      </w:r>
      <w:r w:rsidR="00877916" w:rsidRPr="00877916">
        <w:t xml:space="preserve">Table </w:t>
      </w:r>
      <w:r w:rsidR="00877916" w:rsidRPr="00877916">
        <w:rPr>
          <w:noProof/>
        </w:rPr>
        <w:t>18</w:t>
      </w:r>
      <w:r w:rsidR="00877916">
        <w:fldChar w:fldCharType="end"/>
      </w:r>
      <w:r>
        <w:t xml:space="preserve"> (Panels B-D) resemble the observations (Panel A) very closely. Portions of data used for training, validation, and test are marked out by color bars in the bottom of the figure. It can be seen that the flux enhancement, elevated flux levels (red regions), and decay afterwards during each individual MeV electron event are reproduced very well, although the dropouts of MeV electrons (blue strips) at large Lshells are often not well captured (e.g., the one on ~ day 1080) or even totally missed (e.g., the one on ~ day 870). It is deemed acceptable at this stage since PreMevE model mainly aims to forecast high flux levels of MeV electrons. Similarly, </w:t>
      </w:r>
      <w:r w:rsidR="00D26676">
        <w:fldChar w:fldCharType="begin"/>
      </w:r>
      <w:r w:rsidR="00D26676">
        <w:instrText xml:space="preserve"> REF _Ref23752296 \h </w:instrText>
      </w:r>
      <w:r w:rsidR="00D26676">
        <w:fldChar w:fldCharType="separate"/>
      </w:r>
      <w:r w:rsidR="00D26676">
        <w:t xml:space="preserve">Figure </w:t>
      </w:r>
      <w:r w:rsidR="00D26676">
        <w:rPr>
          <w:noProof/>
        </w:rPr>
        <w:t>31</w:t>
      </w:r>
      <w:r w:rsidR="00D26676">
        <w:fldChar w:fldCharType="end"/>
      </w:r>
      <w:r w:rsidR="00D26676">
        <w:t xml:space="preserve"> </w:t>
      </w:r>
      <w:r>
        <w:t xml:space="preserve">compares 2-day forecasted results to target data and shows an akin resemblance, confirming the stable predictive performance of PreMevE 2.0 with a longer lead time.   </w:t>
      </w:r>
    </w:p>
    <w:p w14:paraId="0752A9AD" w14:textId="77777777" w:rsidR="001D724A" w:rsidRDefault="001D724A" w:rsidP="001D724A">
      <w:pPr>
        <w:pStyle w:val="Text"/>
        <w:spacing w:line="480" w:lineRule="auto"/>
        <w:ind w:firstLine="0"/>
      </w:pPr>
      <w:r>
        <w:lastRenderedPageBreak/>
        <w:t xml:space="preserve">Furthermore, </w:t>
      </w:r>
      <w:r w:rsidR="00D26676">
        <w:fldChar w:fldCharType="begin"/>
      </w:r>
      <w:r w:rsidR="00D26676">
        <w:instrText xml:space="preserve"> REF _Ref23751207 \h </w:instrText>
      </w:r>
      <w:r w:rsidR="00D26676">
        <w:fldChar w:fldCharType="separate"/>
      </w:r>
      <w:r w:rsidR="00D26676">
        <w:t xml:space="preserve">Figure </w:t>
      </w:r>
      <w:r w:rsidR="00D26676">
        <w:rPr>
          <w:noProof/>
        </w:rPr>
        <w:t>32</w:t>
      </w:r>
      <w:r w:rsidR="00D26676">
        <w:fldChar w:fldCharType="end"/>
      </w:r>
      <w:r>
        <w:t xml:space="preserve"> shows more details how closely the 1-day forecasted fluxes are compared to the targets over combined validation and test period for selected L-shells. Here flux curves from the same models </w:t>
      </w:r>
      <w:r w:rsidRPr="00D26676">
        <w:t xml:space="preserve">as in </w:t>
      </w:r>
      <w:r w:rsidR="00D26676" w:rsidRPr="00D26676">
        <w:fldChar w:fldCharType="begin"/>
      </w:r>
      <w:r w:rsidR="00D26676" w:rsidRPr="00D26676">
        <w:instrText xml:space="preserve"> REF _Ref20922084 \h  \* MERGEFORMAT </w:instrText>
      </w:r>
      <w:r w:rsidR="00D26676" w:rsidRPr="00D26676">
        <w:fldChar w:fldCharType="separate"/>
      </w:r>
      <w:r w:rsidR="00D26676" w:rsidRPr="00D26676">
        <w:t xml:space="preserve">Figure </w:t>
      </w:r>
      <w:r w:rsidR="00D26676" w:rsidRPr="00D26676">
        <w:rPr>
          <w:noProof/>
        </w:rPr>
        <w:t>30</w:t>
      </w:r>
      <w:r w:rsidR="00D26676" w:rsidRPr="00D26676">
        <w:fldChar w:fldCharType="end"/>
      </w:r>
      <w:r w:rsidRPr="00D26676">
        <w:t xml:space="preserve"> as well</w:t>
      </w:r>
      <w:r>
        <w:t xml:space="preserve"> as linear2 model are plotted. The four PreMevE 2.0 model curves pack together tightly and follow the target curve closely, particularly during decays of high intensity events. The closeness between the target (black) and each forecasted curve depicts the performance of each model. A close inspection reveals that the linear2 curve (yellow) is often the one farthest away from the target, showing as almost the envelop line of the predictions, while the LinearReg curve (green) appears the closest tracer of target at L=4.5 and the MLP curve (red) is the winner for other two Lshells. Nevertheless, it can be seen that the forecasted values often lag behind the target at onsets of MeV electron events, e.g., the ones on ~ day 988 and 1093 at L = 4.5.</w:t>
      </w:r>
    </w:p>
    <w:p w14:paraId="0943F9F0" w14:textId="09E6D988" w:rsidR="001D724A" w:rsidRDefault="00D26676" w:rsidP="001D724A">
      <w:pPr>
        <w:pStyle w:val="Text"/>
        <w:spacing w:line="480" w:lineRule="auto"/>
        <w:ind w:firstLine="0"/>
      </w:pPr>
      <w:r>
        <w:fldChar w:fldCharType="begin"/>
      </w:r>
      <w:r>
        <w:instrText xml:space="preserve"> REF _Ref23751225 \h </w:instrText>
      </w:r>
      <w:r>
        <w:fldChar w:fldCharType="separate"/>
      </w:r>
      <w:r>
        <w:t xml:space="preserve">Figure </w:t>
      </w:r>
      <w:r>
        <w:rPr>
          <w:noProof/>
        </w:rPr>
        <w:t>33</w:t>
      </w:r>
      <w:r>
        <w:fldChar w:fldCharType="end"/>
      </w:r>
      <w:r w:rsidR="001D724A">
        <w:t xml:space="preserve"> illustrates how well the onsets of MeV electron events at L=4.5 are captured by models. Here forecasts from linear1 is also plotted in blue for comparison. (Linear1, or the submodel 1, in Chen et al. (2019) is specifically designed to predict the onsets.) We selected 16 major events in which MeV electron fluxes increase by &gt; ~10 times, marked out by the vertical gray boxes in </w:t>
      </w:r>
      <w:r>
        <w:fldChar w:fldCharType="begin"/>
      </w:r>
      <w:r>
        <w:instrText xml:space="preserve"> REF _Ref23751225 \h </w:instrText>
      </w:r>
      <w:r>
        <w:fldChar w:fldCharType="separate"/>
      </w:r>
      <w:r>
        <w:t xml:space="preserve">Figure </w:t>
      </w:r>
      <w:r>
        <w:rPr>
          <w:noProof/>
        </w:rPr>
        <w:t>33</w:t>
      </w:r>
      <w:r>
        <w:fldChar w:fldCharType="end"/>
      </w:r>
      <w:r w:rsidR="001D724A">
        <w:t xml:space="preserve">. Linear1 (the blue curve) successfully predicts the onsets of all major MeV electron events at this Lshell, indicated by the leading edges of significant sudden increments in fluxes fallen within the boxes with a width of 25 </w:t>
      </w:r>
      <w:r w:rsidR="005A723B">
        <w:t>hour</w:t>
      </w:r>
      <w:r w:rsidR="00010B32">
        <w:t>s</w:t>
      </w:r>
      <w:r w:rsidR="001D724A">
        <w:t xml:space="preserve"> (also called prediction windows). In comparison, although the four models (particularly the LinearReg model in green) often predict onsets earlier than linear2, they only successfully predict eight of them (those marked with green letter Y), failed seven, and another barely making inside the prediction widow. In other words, 1-day forecasts from PreMevE 2.0 predict the onsets at L =4.5 with a success rate below 50%, which is better than linear2 but far behind linear1. </w:t>
      </w:r>
    </w:p>
    <w:p w14:paraId="0FD8267C" w14:textId="77777777" w:rsidR="001D724A" w:rsidRDefault="001D724A" w:rsidP="001D724A">
      <w:pPr>
        <w:pStyle w:val="Text"/>
        <w:spacing w:line="480" w:lineRule="auto"/>
        <w:ind w:firstLine="0"/>
      </w:pPr>
      <w:r>
        <w:lastRenderedPageBreak/>
        <w:t xml:space="preserve">Two-day forecasts are also presented as in </w:t>
      </w:r>
      <w:r w:rsidR="00D26676">
        <w:fldChar w:fldCharType="begin"/>
      </w:r>
      <w:r w:rsidR="00D26676">
        <w:instrText xml:space="preserve"> REF _Ref23751267 \h </w:instrText>
      </w:r>
      <w:r w:rsidR="00D26676">
        <w:fldChar w:fldCharType="separate"/>
      </w:r>
      <w:r w:rsidR="00D26676">
        <w:t xml:space="preserve">Figure </w:t>
      </w:r>
      <w:r w:rsidR="00D26676">
        <w:rPr>
          <w:noProof/>
        </w:rPr>
        <w:t>34</w:t>
      </w:r>
      <w:r w:rsidR="00D26676">
        <w:fldChar w:fldCharType="end"/>
      </w:r>
      <w:r>
        <w:t xml:space="preserve"> and </w:t>
      </w:r>
      <w:r w:rsidR="00D26676">
        <w:t>35</w:t>
      </w:r>
      <w:r>
        <w:t xml:space="preserve">. Again, forecasted results at three Lshells in </w:t>
      </w:r>
      <w:r w:rsidR="00D26676">
        <w:fldChar w:fldCharType="begin"/>
      </w:r>
      <w:r w:rsidR="00D26676">
        <w:instrText xml:space="preserve"> REF _Ref23751267 \h </w:instrText>
      </w:r>
      <w:r w:rsidR="00D26676">
        <w:fldChar w:fldCharType="separate"/>
      </w:r>
      <w:r w:rsidR="00D26676">
        <w:t xml:space="preserve">Figure </w:t>
      </w:r>
      <w:r w:rsidR="00D26676">
        <w:rPr>
          <w:noProof/>
        </w:rPr>
        <w:t>34</w:t>
      </w:r>
      <w:r w:rsidR="00D26676">
        <w:fldChar w:fldCharType="end"/>
      </w:r>
      <w:r w:rsidR="00D26676">
        <w:t xml:space="preserve"> </w:t>
      </w:r>
      <w:r>
        <w:t xml:space="preserve"> closely trace the target, similar to </w:t>
      </w:r>
      <w:r w:rsidR="00D26676">
        <w:fldChar w:fldCharType="begin"/>
      </w:r>
      <w:r w:rsidR="00D26676">
        <w:instrText xml:space="preserve"> REF _Ref23751207 \h </w:instrText>
      </w:r>
      <w:r w:rsidR="00D26676">
        <w:fldChar w:fldCharType="separate"/>
      </w:r>
      <w:r w:rsidR="00D26676">
        <w:t xml:space="preserve">Figure </w:t>
      </w:r>
      <w:r w:rsidR="00D26676">
        <w:rPr>
          <w:noProof/>
        </w:rPr>
        <w:t>32</w:t>
      </w:r>
      <w:r w:rsidR="00D26676">
        <w:fldChar w:fldCharType="end"/>
      </w:r>
      <w:r>
        <w:t xml:space="preserve">. Interestingly, for all 16 selected major MeV electron events in </w:t>
      </w:r>
      <w:r w:rsidR="00D26676">
        <w:fldChar w:fldCharType="begin"/>
      </w:r>
      <w:r w:rsidR="00D26676">
        <w:instrText xml:space="preserve"> REF _Ref23752475 \h </w:instrText>
      </w:r>
      <w:r w:rsidR="00D26676">
        <w:fldChar w:fldCharType="separate"/>
      </w:r>
      <w:r w:rsidR="00D26676">
        <w:t xml:space="preserve">Figure </w:t>
      </w:r>
      <w:r w:rsidR="00D26676">
        <w:rPr>
          <w:noProof/>
        </w:rPr>
        <w:t>35</w:t>
      </w:r>
      <w:r w:rsidR="00D26676">
        <w:fldChar w:fldCharType="end"/>
      </w:r>
      <w:r>
        <w:t xml:space="preserve">, the onsets of 11 events are successfully predicted by the four models at L = 4.5, while the failed events decrease to 4. This increases the success rate of onset prediction to ~70%. From this sense, this new PreMevE 2.0 model is able to combine the advantages of both linear1 and linear2 by not only predicting the arrivals of new MeV electrons but also specifying evolving flux levels closely, which is a very encouraging progress.  </w:t>
      </w:r>
    </w:p>
    <w:p w14:paraId="724922A9" w14:textId="57DB9BB7" w:rsidR="001D724A" w:rsidRDefault="001D724A" w:rsidP="001D724A">
      <w:pPr>
        <w:pStyle w:val="Text"/>
        <w:spacing w:line="480" w:lineRule="auto"/>
        <w:ind w:firstLine="0"/>
      </w:pPr>
      <w:r>
        <w:t xml:space="preserve">Results from LinearReg and LSTM models at GEO are specifically presented in </w:t>
      </w:r>
      <w:r w:rsidR="00D26676">
        <w:fldChar w:fldCharType="begin"/>
      </w:r>
      <w:r w:rsidR="00D26676">
        <w:instrText xml:space="preserve"> REF _Ref23752501 \h </w:instrText>
      </w:r>
      <w:r w:rsidR="00D26676">
        <w:fldChar w:fldCharType="separate"/>
      </w:r>
      <w:r w:rsidR="00D26676">
        <w:t xml:space="preserve">Figure </w:t>
      </w:r>
      <w:r w:rsidR="00D26676">
        <w:rPr>
          <w:noProof/>
        </w:rPr>
        <w:t>36</w:t>
      </w:r>
      <w:r w:rsidR="00D26676">
        <w:fldChar w:fldCharType="end"/>
      </w:r>
      <w:r>
        <w:t xml:space="preserve"> for both 1- and 2-day predictions. For 1-day forecasts in the top three panels, it can be seen that fluxes from LinearReg (green) and LSTM (purple) trace observations (black) more closely than linear2 (yellow), consistent with their higher PE values as shown in </w:t>
      </w:r>
      <w:r w:rsidR="00877916">
        <w:fldChar w:fldCharType="begin"/>
      </w:r>
      <w:r w:rsidR="00877916">
        <w:instrText xml:space="preserve"> REF _Ref18655181 \h </w:instrText>
      </w:r>
      <w:r w:rsidR="00877916">
        <w:fldChar w:fldCharType="separate"/>
      </w:r>
      <w:r w:rsidR="00877916" w:rsidRPr="00877916">
        <w:t xml:space="preserve">Table </w:t>
      </w:r>
      <w:r w:rsidR="00877916" w:rsidRPr="00877916">
        <w:rPr>
          <w:noProof/>
        </w:rPr>
        <w:t>18</w:t>
      </w:r>
      <w:r w:rsidR="00877916">
        <w:fldChar w:fldCharType="end"/>
      </w:r>
      <w:r>
        <w:t xml:space="preserve">. Also, forecasts from LinearReg and LSTM appear to predict the onsets of MeV electron events about the same time as linear1, by comparing the leading edges of spikes of those flux curves. For 2-day forecasts, LinearReg PE value in </w:t>
      </w:r>
      <w:r w:rsidR="00877916">
        <w:fldChar w:fldCharType="begin"/>
      </w:r>
      <w:r w:rsidR="00877916">
        <w:instrText xml:space="preserve"> REF _Ref18655327 \h </w:instrText>
      </w:r>
      <w:r w:rsidR="00877916">
        <w:fldChar w:fldCharType="separate"/>
      </w:r>
      <w:r w:rsidR="00877916" w:rsidRPr="00877916">
        <w:t xml:space="preserve">Table </w:t>
      </w:r>
      <w:r w:rsidR="00877916" w:rsidRPr="00877916">
        <w:rPr>
          <w:noProof/>
        </w:rPr>
        <w:t>19</w:t>
      </w:r>
      <w:r w:rsidR="00877916">
        <w:fldChar w:fldCharType="end"/>
      </w:r>
      <w:r>
        <w:t xml:space="preserve"> suggests that 2-day forecasts from LinearReg model are close to 1-day forecasts from linear2, which can be seen from entangled LinearReg and linear2 curves as in Panels D-F. Forecasts from the LSTM model is not as good, although they still capture the general trend of 1 MeV electrons at GEO. </w:t>
      </w:r>
    </w:p>
    <w:p w14:paraId="7AC38F66" w14:textId="77777777" w:rsidR="001D724A" w:rsidRDefault="001D724A" w:rsidP="001D724A">
      <w:pPr>
        <w:pStyle w:val="Text"/>
        <w:spacing w:line="480" w:lineRule="auto"/>
        <w:ind w:firstLine="0"/>
      </w:pPr>
      <w:r>
        <w:t xml:space="preserve">Despite Chen et al.’s (2019) and our time window selection, the question of for how long history of each particle population affects each other remains open. </w:t>
      </w:r>
      <w:r w:rsidR="00D26676">
        <w:fldChar w:fldCharType="begin"/>
      </w:r>
      <w:r w:rsidR="00D26676">
        <w:instrText xml:space="preserve"> REF _Ref23752522 \h </w:instrText>
      </w:r>
      <w:r w:rsidR="00D26676">
        <w:fldChar w:fldCharType="separate"/>
      </w:r>
      <w:r w:rsidR="00D26676" w:rsidRPr="00A82C54">
        <w:t xml:space="preserve">Figure </w:t>
      </w:r>
      <w:r w:rsidR="00D26676" w:rsidRPr="00A82C54">
        <w:rPr>
          <w:noProof/>
        </w:rPr>
        <w:t>37</w:t>
      </w:r>
      <w:r w:rsidR="00D26676">
        <w:fldChar w:fldCharType="end"/>
      </w:r>
      <w:r w:rsidR="00D26676">
        <w:t xml:space="preserve"> </w:t>
      </w:r>
      <w:r>
        <w:t xml:space="preserve">shows the Spearman correlation of the input data (E2, E3, P6, SW speed) and the target (1 MeV electrons) for three selected L-shells using different time lags. Spearman correlation does not assume that the data follows a particular distribution, so it is a non-parametric measure of monotonic relationship. </w:t>
      </w:r>
      <w:r>
        <w:lastRenderedPageBreak/>
        <w:t xml:space="preserve">The results in </w:t>
      </w:r>
      <w:r w:rsidR="00D26676">
        <w:fldChar w:fldCharType="begin"/>
      </w:r>
      <w:r w:rsidR="00D26676">
        <w:instrText xml:space="preserve"> REF _Ref23752522 \h </w:instrText>
      </w:r>
      <w:r w:rsidR="00D26676">
        <w:fldChar w:fldCharType="separate"/>
      </w:r>
      <w:r w:rsidR="00D26676" w:rsidRPr="00A82C54">
        <w:t xml:space="preserve">Figure </w:t>
      </w:r>
      <w:r w:rsidR="00D26676" w:rsidRPr="00A82C54">
        <w:rPr>
          <w:noProof/>
        </w:rPr>
        <w:t>37</w:t>
      </w:r>
      <w:r w:rsidR="00D26676">
        <w:fldChar w:fldCharType="end"/>
      </w:r>
      <w:r>
        <w:t xml:space="preserve"> show that the Spearman correlation between input and target decays with longer time lags. The correlation remains stronger for longer periods in inner L-shells (i.e., longer memory) and decays faster for outer L-shells (shorter memory). We also note the correlation between SW and target gets more significant when moving to outer L-shells, which is consistent from our discussions in Section 4.1. Curiously, the shape the correlation curve of E3 is similar to the shape of P6, whereas the shape of E2 is similar to the shape of SW. All these suggest more robust models can be elaborated with a variation of inputs (window sizes and parameter combinations) for different L-shells. In fact, </w:t>
      </w:r>
      <w:r w:rsidR="00D26676">
        <w:fldChar w:fldCharType="begin"/>
      </w:r>
      <w:r w:rsidR="00D26676">
        <w:instrText xml:space="preserve"> REF _Ref20904661 \h </w:instrText>
      </w:r>
      <w:r w:rsidR="00D26676">
        <w:fldChar w:fldCharType="separate"/>
      </w:r>
      <w:r w:rsidR="00D26676" w:rsidRPr="00E219C7">
        <w:t xml:space="preserve">Figure </w:t>
      </w:r>
      <w:r w:rsidR="00D26676">
        <w:rPr>
          <w:noProof/>
        </w:rPr>
        <w:t>28</w:t>
      </w:r>
      <w:r w:rsidR="00D26676">
        <w:fldChar w:fldCharType="end"/>
      </w:r>
      <w:r w:rsidR="00D26676">
        <w:t xml:space="preserve"> </w:t>
      </w:r>
      <w:r>
        <w:t xml:space="preserve">shows that E2+SW are apparently the best combination of input for outer shell prediction, whereas other combination of input presents stronger values of PE for inner shells. Given a threshold value of ~0.4 for significant correlation, it is seen from </w:t>
      </w:r>
      <w:r w:rsidR="00D26676">
        <w:fldChar w:fldCharType="begin"/>
      </w:r>
      <w:r w:rsidR="00D26676">
        <w:instrText xml:space="preserve"> REF _Ref23752522 \h </w:instrText>
      </w:r>
      <w:r w:rsidR="00D26676">
        <w:fldChar w:fldCharType="separate"/>
      </w:r>
      <w:r w:rsidR="00D26676" w:rsidRPr="00A82C54">
        <w:t xml:space="preserve">Figure </w:t>
      </w:r>
      <w:r w:rsidR="00D26676" w:rsidRPr="00A82C54">
        <w:rPr>
          <w:noProof/>
        </w:rPr>
        <w:t>37</w:t>
      </w:r>
      <w:r w:rsidR="00D26676">
        <w:fldChar w:fldCharType="end"/>
      </w:r>
      <w:r>
        <w:t xml:space="preserve"> that a fixed window size for all Lshells may range from ~14 (to include the maximum correlation values) up to ~20 (to avoid too long history).</w:t>
      </w:r>
    </w:p>
    <w:p w14:paraId="3B612C5F" w14:textId="77777777" w:rsidR="001D724A" w:rsidRDefault="001D724A" w:rsidP="001D724A">
      <w:pPr>
        <w:pStyle w:val="Text"/>
        <w:spacing w:line="480" w:lineRule="auto"/>
        <w:ind w:firstLine="0"/>
      </w:pPr>
      <w:r>
        <w:t xml:space="preserve">Previously Chen et al. (2019) used 300 time bins to train linear1 and linear2 models to forecast MeV electrons. </w:t>
      </w:r>
      <w:r w:rsidR="00877916">
        <w:fldChar w:fldCharType="begin"/>
      </w:r>
      <w:r w:rsidR="00877916">
        <w:instrText xml:space="preserve"> REF _Ref23750959 \h </w:instrText>
      </w:r>
      <w:r w:rsidR="00877916">
        <w:fldChar w:fldCharType="separate"/>
      </w:r>
      <w:r w:rsidR="00877916" w:rsidRPr="00877916">
        <w:t xml:space="preserve">Table </w:t>
      </w:r>
      <w:r w:rsidR="00877916" w:rsidRPr="00877916">
        <w:rPr>
          <w:noProof/>
        </w:rPr>
        <w:t>17</w:t>
      </w:r>
      <w:r w:rsidR="00877916">
        <w:fldChar w:fldCharType="end"/>
      </w:r>
      <w:r>
        <w:t xml:space="preserve"> </w:t>
      </w:r>
      <w:r w:rsidRPr="00EF649A">
        <w:t xml:space="preserve">shows </w:t>
      </w:r>
      <w:r>
        <w:t xml:space="preserve">that linear1 and linear2 models have a weaker forecasting performance than the linear models trained with the similar inputs. The difference in performance can be explained by the fact that a much larger training set incorporate </w:t>
      </w:r>
      <w:r w:rsidR="00877916">
        <w:t>wider flux variations</w:t>
      </w:r>
      <w:r>
        <w:t xml:space="preserve"> that can be helpful to train the models. Besides, the addition of SW speeds definitely helps improve the performance of linear models at large Lshells.</w:t>
      </w:r>
    </w:p>
    <w:p w14:paraId="19F01D25" w14:textId="77777777" w:rsidR="001D724A" w:rsidRDefault="001D724A" w:rsidP="001D724A">
      <w:pPr>
        <w:pStyle w:val="Text"/>
        <w:spacing w:line="480" w:lineRule="auto"/>
        <w:ind w:firstLine="0"/>
      </w:pPr>
      <w:r>
        <w:t xml:space="preserve">In this work, we have performed tests on number of units, types of activation functions, and number of layers, though it is still possible that a more intensive artificial NN architecture testing will find a more appropriate model for the MeV forecasting. Moreover, we hypothesize that </w:t>
      </w:r>
      <w:r>
        <w:lastRenderedPageBreak/>
        <w:t>more data can be useful to improve models’ performance. We plan to test with observations over longer period as well as for higher energy electrons in the next step.</w:t>
      </w:r>
    </w:p>
    <w:p w14:paraId="2B9AC5BF" w14:textId="77777777" w:rsidR="009E29A4" w:rsidRDefault="009E29A4" w:rsidP="001D724A">
      <w:pPr>
        <w:pStyle w:val="Text"/>
        <w:spacing w:line="480" w:lineRule="auto"/>
        <w:ind w:firstLine="0"/>
      </w:pPr>
    </w:p>
    <w:p w14:paraId="6BA0F7CB" w14:textId="77777777" w:rsidR="001D724A" w:rsidRDefault="001D724A" w:rsidP="009E29A4">
      <w:pPr>
        <w:pStyle w:val="Heading2"/>
      </w:pPr>
      <w:bookmarkStart w:id="304" w:name="_Toc26534660"/>
      <w:r>
        <w:t>6</w:t>
      </w:r>
      <w:r w:rsidR="009E29A4">
        <w:t>.</w:t>
      </w:r>
      <w:r>
        <w:t xml:space="preserve"> Summary and Conclusions</w:t>
      </w:r>
      <w:bookmarkEnd w:id="304"/>
    </w:p>
    <w:p w14:paraId="194F048F" w14:textId="77777777" w:rsidR="001D724A" w:rsidRPr="00596D33" w:rsidRDefault="001D724A" w:rsidP="00E56D55">
      <w:pPr>
        <w:pStyle w:val="SEGBodyText"/>
      </w:pPr>
      <w:r w:rsidRPr="0028257F">
        <w:t xml:space="preserve">This new </w:t>
      </w:r>
      <w:r>
        <w:t xml:space="preserve">PreMevE 2.0 </w:t>
      </w:r>
      <w:r w:rsidRPr="0028257F">
        <w:t xml:space="preserve">model aims to forecast MeV electron distributions even with no in-situ measurements available, e.g., during the post-RBSP era, and </w:t>
      </w:r>
      <w:r>
        <w:t xml:space="preserve">it </w:t>
      </w:r>
      <w:r w:rsidRPr="0028257F">
        <w:t xml:space="preserve">is designed to be driven by easily accessible inputs from long-standing </w:t>
      </w:r>
      <w:r>
        <w:t>satellite</w:t>
      </w:r>
      <w:r w:rsidRPr="0028257F">
        <w:t xml:space="preserve"> constellatio</w:t>
      </w:r>
      <w:r>
        <w:t xml:space="preserve">ns in LEO and </w:t>
      </w:r>
      <w:r w:rsidRPr="0028257F">
        <w:t>GEO</w:t>
      </w:r>
      <w:r>
        <w:t xml:space="preserve"> as well as at the Lagrangian 1 point of Sun-Earth system</w:t>
      </w:r>
      <w:r w:rsidRPr="0028257F">
        <w:t>.</w:t>
      </w:r>
      <w:r>
        <w:t xml:space="preserve"> Meanwhile, d</w:t>
      </w:r>
      <w:r w:rsidRPr="00596D33">
        <w:t xml:space="preserve">eep learning </w:t>
      </w:r>
      <w:r>
        <w:t>algorithms</w:t>
      </w:r>
      <w:r w:rsidRPr="00596D33">
        <w:t xml:space="preserve"> have recently achieved new state-of-the-ar</w:t>
      </w:r>
      <w:r>
        <w:t>t accuracy in many problems partially</w:t>
      </w:r>
      <w:r w:rsidRPr="00596D33">
        <w:t xml:space="preserve"> due to the increase in available data. </w:t>
      </w:r>
      <w:r>
        <w:t>Therefore, it is reasonable for us to</w:t>
      </w:r>
      <w:r w:rsidRPr="00596D33">
        <w:t xml:space="preserve"> foresee an increase in both performance and use of deep learning model for MeV </w:t>
      </w:r>
      <w:r>
        <w:t xml:space="preserve">electron </w:t>
      </w:r>
      <w:r w:rsidRPr="00596D33">
        <w:t xml:space="preserve">forecasting as more space weather data </w:t>
      </w:r>
      <w:r>
        <w:t>has been accumulated and made</w:t>
      </w:r>
      <w:r w:rsidRPr="00596D33">
        <w:t xml:space="preserve"> available. </w:t>
      </w:r>
    </w:p>
    <w:p w14:paraId="076EA550" w14:textId="397DC879" w:rsidR="001D724A" w:rsidRDefault="001D724A" w:rsidP="001D724A">
      <w:pPr>
        <w:pStyle w:val="Abstract"/>
        <w:spacing w:line="480" w:lineRule="auto"/>
      </w:pPr>
      <w:r>
        <w:t xml:space="preserve">In this work, we have tested (1) different model input parameter combinations and (2) four categories of supervised machine learning algorithms, aiming to upgrade our predictive model for MeV electrons inside the Earth’s outer radiation belt. This new PreMevE 2.0 model has been demonstrated to make much improved forecasts, particularly at large Lshells, by including upstream solar wind speeds to the model’s inputs. Additionally, based on four categories of linear and artificial machine learning algorithms, a list of models </w:t>
      </w:r>
      <w:r w:rsidR="005A723B">
        <w:t>was</w:t>
      </w:r>
      <w:r>
        <w:t xml:space="preserve"> constructed, trained, validated and tested with 42-month MeV electron observations from NASA Van Allen Probes mission. Model predictions over the 14-month long out-of-sample test show that, with optimized model hyperparameters and input parameter combinations, the top performer from each category of models has the similar capability of making reliable 1- and 2-day forecasts with </w:t>
      </w:r>
      <w:r>
        <w:lastRenderedPageBreak/>
        <w:t>Lshell-averaged performance efficiency values of ~ 0.87 and ~0.82, respectively. Interestingly, the linear regression model is often the most successful one when compared to other models, which indicates the r</w:t>
      </w:r>
      <w:r w:rsidRPr="002E1771">
        <w:t>ela</w:t>
      </w:r>
      <w:r>
        <w:t>tionship between 1 MeV electron dynamics</w:t>
      </w:r>
      <w:r w:rsidRPr="002E1771">
        <w:t xml:space="preserve"> and pr</w:t>
      </w:r>
      <w:r>
        <w:t>ecipitating electrons is</w:t>
      </w:r>
      <w:r w:rsidRPr="002E1771">
        <w:t xml:space="preserve"> dominated by linear components</w:t>
      </w:r>
      <w:r>
        <w:t xml:space="preserve">. It is also shown that PreMevE 2.0 can predict the onsets of MeV electron events in 2-day forecasts with a reasonable success rate of ~70%. This improved PreMevE model is driven by observations from longstanding space infrastructure (a NOAA LEO satellite, the solar wind monitor at L1 point, and one LANL GEO satellite) to make high-fidelity forecasts for MeV electrons, and thus can be an invaluable space weather forecasting tool for the community. </w:t>
      </w:r>
    </w:p>
    <w:p w14:paraId="3AC8ACDA" w14:textId="71C8DB7B" w:rsidR="00814BE7" w:rsidRDefault="00814BE7" w:rsidP="009E29A4">
      <w:pPr>
        <w:pStyle w:val="Heading2"/>
      </w:pPr>
      <w:bookmarkStart w:id="305" w:name="_Toc26534661"/>
      <w:r>
        <w:lastRenderedPageBreak/>
        <w:t>Figures</w:t>
      </w:r>
      <w:bookmarkEnd w:id="305"/>
    </w:p>
    <w:p w14:paraId="3F9C0947" w14:textId="77777777" w:rsidR="00814BE7" w:rsidRDefault="00814BE7" w:rsidP="002F1077">
      <w:pPr>
        <w:pStyle w:val="SEGBodyText"/>
        <w:ind w:firstLine="0"/>
        <w:jc w:val="center"/>
      </w:pPr>
      <w:r>
        <w:rPr>
          <w:noProof/>
        </w:rPr>
        <w:drawing>
          <wp:inline distT="0" distB="0" distL="0" distR="0" wp14:anchorId="756690D9" wp14:editId="7ACFC67F">
            <wp:extent cx="5120640" cy="5192307"/>
            <wp:effectExtent l="0" t="0" r="381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120640" cy="5192307"/>
                    </a:xfrm>
                    <a:prstGeom prst="rect">
                      <a:avLst/>
                    </a:prstGeom>
                    <a:noFill/>
                    <a:ln>
                      <a:noFill/>
                    </a:ln>
                  </pic:spPr>
                </pic:pic>
              </a:graphicData>
            </a:graphic>
          </wp:inline>
        </w:drawing>
      </w:r>
    </w:p>
    <w:p w14:paraId="601CB9B7" w14:textId="77777777" w:rsidR="00814BE7" w:rsidRPr="001E2818" w:rsidRDefault="00814BE7" w:rsidP="00814BE7">
      <w:pPr>
        <w:pStyle w:val="Text"/>
        <w:ind w:firstLine="0"/>
      </w:pPr>
      <w:bookmarkStart w:id="306" w:name="_Ref23751092"/>
      <w:bookmarkStart w:id="307" w:name="_Toc26534524"/>
      <w:r w:rsidRPr="00E219C7">
        <w:rPr>
          <w:bCs/>
          <w:iCs/>
        </w:rPr>
        <w:t xml:space="preserve">Figure </w:t>
      </w:r>
      <w:r w:rsidRPr="00E219C7">
        <w:rPr>
          <w:bCs/>
          <w:iCs/>
        </w:rPr>
        <w:fldChar w:fldCharType="begin"/>
      </w:r>
      <w:r w:rsidRPr="00E219C7">
        <w:rPr>
          <w:bCs/>
          <w:iCs/>
        </w:rPr>
        <w:instrText xml:space="preserve"> SEQ Figure \* ARABIC </w:instrText>
      </w:r>
      <w:r w:rsidRPr="00E219C7">
        <w:rPr>
          <w:bCs/>
          <w:iCs/>
        </w:rPr>
        <w:fldChar w:fldCharType="separate"/>
      </w:r>
      <w:r w:rsidR="00A82C54">
        <w:rPr>
          <w:bCs/>
          <w:iCs/>
          <w:noProof/>
        </w:rPr>
        <w:t>24</w:t>
      </w:r>
      <w:r w:rsidRPr="00E219C7">
        <w:rPr>
          <w:bCs/>
          <w:iCs/>
        </w:rPr>
        <w:fldChar w:fldCharType="end"/>
      </w:r>
      <w:bookmarkEnd w:id="306"/>
      <w:r w:rsidRPr="00E219C7">
        <w:rPr>
          <w:iCs/>
        </w:rPr>
        <w:t>:</w:t>
      </w:r>
      <w:r w:rsidRPr="00E219C7">
        <w:t xml:space="preserve"> </w:t>
      </w:r>
      <w:r w:rsidRPr="00E219C7">
        <w:rPr>
          <w:iCs/>
        </w:rPr>
        <w:t>Overview of electron observations and solar wind speeds used in this study. All panels present for the same 1289-day interval starting from 2013/02/20. Panel A shows</w:t>
      </w:r>
      <w:r w:rsidRPr="001E2818">
        <w:rPr>
          <w:iCs/>
        </w:rPr>
        <w:t xml:space="preserve"> the flux distributions of 1 MeV electrons, the variable to be forecasted (i.e., targets). Similarly, </w:t>
      </w:r>
      <w:r w:rsidRPr="001E2818">
        <w:rPr>
          <w:b/>
          <w:iCs/>
        </w:rPr>
        <w:t>B</w:t>
      </w:r>
      <w:r w:rsidRPr="001E2818">
        <w:rPr>
          <w:iCs/>
        </w:rPr>
        <w:t xml:space="preserve">, </w:t>
      </w:r>
      <w:r w:rsidRPr="001E2818">
        <w:rPr>
          <w:b/>
          <w:iCs/>
        </w:rPr>
        <w:t>C</w:t>
      </w:r>
      <w:r w:rsidRPr="001E2818">
        <w:rPr>
          <w:iCs/>
        </w:rPr>
        <w:t xml:space="preserve">, and </w:t>
      </w:r>
      <w:r w:rsidRPr="001E2818">
        <w:rPr>
          <w:b/>
          <w:iCs/>
        </w:rPr>
        <w:t>D</w:t>
      </w:r>
      <w:r>
        <w:rPr>
          <w:iCs/>
        </w:rPr>
        <w:t xml:space="preserve"> show count rates</w:t>
      </w:r>
      <w:r w:rsidRPr="001E2818">
        <w:rPr>
          <w:iCs/>
        </w:rPr>
        <w:t xml:space="preserve"> of precipitating electrons measured by NOAA-15 in </w:t>
      </w:r>
      <w:r>
        <w:rPr>
          <w:iCs/>
        </w:rPr>
        <w:t xml:space="preserve">a </w:t>
      </w:r>
      <w:r w:rsidRPr="001E2818">
        <w:rPr>
          <w:iCs/>
        </w:rPr>
        <w:t xml:space="preserve">low-Earth-orbit, for E2, E3, and P6 channels respectively. </w:t>
      </w:r>
      <w:r w:rsidRPr="001E2818">
        <w:rPr>
          <w:b/>
          <w:iCs/>
        </w:rPr>
        <w:t>E</w:t>
      </w:r>
      <w:r w:rsidRPr="001E2818">
        <w:rPr>
          <w:iCs/>
        </w:rPr>
        <w:t xml:space="preserve"> plots </w:t>
      </w:r>
      <w:r>
        <w:rPr>
          <w:iCs/>
        </w:rPr>
        <w:t xml:space="preserve">the </w:t>
      </w:r>
      <w:r w:rsidRPr="001E2818">
        <w:rPr>
          <w:iCs/>
        </w:rPr>
        <w:t xml:space="preserve">solar wind speeds </w:t>
      </w:r>
      <w:r>
        <w:rPr>
          <w:iCs/>
        </w:rPr>
        <w:t xml:space="preserve">upstream of the magnetosphere </w:t>
      </w:r>
      <w:r w:rsidRPr="001E2818">
        <w:rPr>
          <w:iCs/>
        </w:rPr>
        <w:t>as in the OMNI data set fo</w:t>
      </w:r>
      <w:r>
        <w:rPr>
          <w:iCs/>
        </w:rPr>
        <w:t>r the period. Data in Panels B-E</w:t>
      </w:r>
      <w:r w:rsidRPr="001E2818">
        <w:rPr>
          <w:iCs/>
        </w:rPr>
        <w:t xml:space="preserve"> are model inputs (i.e., predictors).</w:t>
      </w:r>
      <w:bookmarkEnd w:id="307"/>
    </w:p>
    <w:p w14:paraId="490D81EA" w14:textId="77777777" w:rsidR="00814BE7" w:rsidRDefault="00814BE7" w:rsidP="00814BE7">
      <w:pPr>
        <w:rPr>
          <w:b/>
          <w:bCs/>
        </w:rPr>
      </w:pPr>
      <w:r>
        <w:br w:type="page"/>
      </w:r>
    </w:p>
    <w:p w14:paraId="263DBF15" w14:textId="77777777" w:rsidR="00814BE7" w:rsidRDefault="00814BE7" w:rsidP="002F1077">
      <w:pPr>
        <w:pStyle w:val="SEGBodyText"/>
        <w:ind w:firstLine="0"/>
        <w:jc w:val="center"/>
      </w:pPr>
      <w:r>
        <w:rPr>
          <w:noProof/>
        </w:rPr>
        <w:lastRenderedPageBreak/>
        <w:drawing>
          <wp:inline distT="0" distB="0" distL="0" distR="0" wp14:anchorId="0FFEE51C" wp14:editId="40A81719">
            <wp:extent cx="5120640" cy="1876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120640" cy="1876295"/>
                    </a:xfrm>
                    <a:prstGeom prst="rect">
                      <a:avLst/>
                    </a:prstGeom>
                    <a:noFill/>
                  </pic:spPr>
                </pic:pic>
              </a:graphicData>
            </a:graphic>
          </wp:inline>
        </w:drawing>
      </w:r>
    </w:p>
    <w:p w14:paraId="29D850A3" w14:textId="77777777" w:rsidR="00814BE7" w:rsidRPr="00D736EE" w:rsidRDefault="00814BE7" w:rsidP="00607DF1">
      <w:pPr>
        <w:pStyle w:val="Caption"/>
        <w:rPr>
          <w:i/>
        </w:rPr>
      </w:pPr>
      <w:bookmarkStart w:id="308" w:name="_Ref20904416"/>
      <w:bookmarkStart w:id="309" w:name="_Toc26534525"/>
      <w:r w:rsidRPr="00E219C7">
        <w:t xml:space="preserve">Figure </w:t>
      </w:r>
      <w:r w:rsidR="00CE1F3C">
        <w:fldChar w:fldCharType="begin"/>
      </w:r>
      <w:r w:rsidR="00CE1F3C">
        <w:instrText xml:space="preserve"> SEQ Figure \* ARABIC </w:instrText>
      </w:r>
      <w:r w:rsidR="00CE1F3C">
        <w:fldChar w:fldCharType="separate"/>
      </w:r>
      <w:r w:rsidR="00A82C54">
        <w:rPr>
          <w:noProof/>
        </w:rPr>
        <w:t>25</w:t>
      </w:r>
      <w:r w:rsidR="00CE1F3C">
        <w:rPr>
          <w:noProof/>
        </w:rPr>
        <w:fldChar w:fldCharType="end"/>
      </w:r>
      <w:bookmarkEnd w:id="308"/>
      <w:r w:rsidRPr="00E219C7">
        <w:t>: Visual generic representation of a single neuron and an artificial neural network. a) shows</w:t>
      </w:r>
      <w:r>
        <w:t xml:space="preserve"> a single neuron that can be split into </w:t>
      </w:r>
      <w:r w:rsidRPr="008A0378">
        <w:t>linear and nonlinear components, as well as the input and output data</w:t>
      </w:r>
      <w:r>
        <w:t>. I</w:t>
      </w:r>
      <w:r w:rsidRPr="008A0378">
        <w:t xml:space="preserve">n </w:t>
      </w:r>
      <w:r>
        <w:t xml:space="preserve">the case of </w:t>
      </w:r>
      <w:r w:rsidRPr="008A0378">
        <w:t xml:space="preserve">a forecasting problem, the inputs can be data representing </w:t>
      </w:r>
      <w:r>
        <w:t xml:space="preserve">past </w:t>
      </w:r>
      <w:r w:rsidRPr="008A0378">
        <w:t xml:space="preserve">times </w:t>
      </w:r>
      <m:oMath>
        <m:sSub>
          <m:sSubPr>
            <m:ctrlPr>
              <w:rPr>
                <w:rFonts w:ascii="Cambria Math" w:hAnsi="Cambria Math"/>
              </w:rPr>
            </m:ctrlPr>
          </m:sSubPr>
          <m:e>
            <m:r>
              <w:rPr>
                <w:rFonts w:ascii="Cambria Math" w:hAnsi="Cambria Math"/>
              </w:rPr>
              <m:t>t</m:t>
            </m:r>
          </m:e>
          <m:sub>
            <m:r>
              <w:rPr>
                <w:rFonts w:ascii="Cambria Math" w:hAnsi="Cambria Math"/>
              </w:rPr>
              <m:t>-1</m:t>
            </m:r>
          </m:sub>
        </m:sSub>
        <m:r>
          <w:rPr>
            <w:rFonts w:ascii="Cambria Math" w:hAnsi="Cambria Math"/>
          </w:rPr>
          <m:t xml:space="preserve">, </m:t>
        </m:r>
        <m:sSub>
          <m:sSubPr>
            <m:ctrlPr>
              <w:rPr>
                <w:rFonts w:ascii="Cambria Math" w:hAnsi="Cambria Math"/>
              </w:rPr>
            </m:ctrlPr>
          </m:sSubPr>
          <m:e>
            <m:r>
              <w:rPr>
                <w:rFonts w:ascii="Cambria Math" w:hAnsi="Cambria Math"/>
              </w:rPr>
              <m:t>t</m:t>
            </m:r>
          </m:e>
          <m:sub>
            <m:r>
              <w:rPr>
                <w:rFonts w:ascii="Cambria Math" w:hAnsi="Cambria Math"/>
              </w:rPr>
              <m:t>-2</m:t>
            </m:r>
          </m:sub>
        </m:sSub>
        <m:r>
          <w:rPr>
            <w:rFonts w:ascii="Cambria Math" w:hAnsi="Cambria Math"/>
          </w:rPr>
          <m:t xml:space="preserve">, </m:t>
        </m:r>
        <m:sSub>
          <m:sSubPr>
            <m:ctrlPr>
              <w:rPr>
                <w:rFonts w:ascii="Cambria Math" w:hAnsi="Cambria Math"/>
              </w:rPr>
            </m:ctrlPr>
          </m:sSubPr>
          <m:e>
            <m:r>
              <w:rPr>
                <w:rFonts w:ascii="Cambria Math" w:hAnsi="Cambria Math"/>
              </w:rPr>
              <m:t>t</m:t>
            </m:r>
          </m:e>
          <m:sub>
            <m:r>
              <w:rPr>
                <w:rFonts w:ascii="Cambria Math" w:hAnsi="Cambria Math"/>
              </w:rPr>
              <m:t>-3</m:t>
            </m:r>
          </m:sub>
        </m:sSub>
        <m:r>
          <w:rPr>
            <w:rFonts w:ascii="Cambria Math" w:hAnsi="Cambria Math"/>
          </w:rPr>
          <m:t xml:space="preserve">, </m:t>
        </m:r>
        <m:sSub>
          <m:sSubPr>
            <m:ctrlPr>
              <w:rPr>
                <w:rFonts w:ascii="Cambria Math" w:hAnsi="Cambria Math"/>
              </w:rPr>
            </m:ctrlPr>
          </m:sSubPr>
          <m:e>
            <m:r>
              <w:rPr>
                <w:rFonts w:ascii="Cambria Math" w:hAnsi="Cambria Math"/>
              </w:rPr>
              <m:t>t</m:t>
            </m:r>
          </m:e>
          <m:sub>
            <m:r>
              <w:rPr>
                <w:rFonts w:ascii="Cambria Math" w:hAnsi="Cambria Math"/>
              </w:rPr>
              <m:t>-4</m:t>
            </m:r>
          </m:sub>
        </m:sSub>
      </m:oMath>
      <w:r>
        <w:t>, and the output is prediction</w:t>
      </w:r>
      <w:r w:rsidRPr="008A0378">
        <w:t xml:space="preserve"> at </w:t>
      </w:r>
      <w:r>
        <w:t xml:space="preserve">current </w:t>
      </w:r>
      <w:r w:rsidRPr="008A0378">
        <w:t xml:space="preserve">time </w:t>
      </w:r>
      <m:oMath>
        <m:sSub>
          <m:sSubPr>
            <m:ctrlPr>
              <w:rPr>
                <w:rFonts w:ascii="Cambria Math" w:hAnsi="Cambria Math"/>
              </w:rPr>
            </m:ctrlPr>
          </m:sSubPr>
          <m:e>
            <m:r>
              <w:rPr>
                <w:rFonts w:ascii="Cambria Math" w:hAnsi="Cambria Math"/>
              </w:rPr>
              <m:t>t</m:t>
            </m:r>
          </m:e>
          <m:sub>
            <m:r>
              <w:rPr>
                <w:rFonts w:ascii="Cambria Math" w:hAnsi="Cambria Math"/>
              </w:rPr>
              <m:t>0</m:t>
            </m:r>
          </m:sub>
        </m:sSub>
      </m:oMath>
      <w:r>
        <w:t xml:space="preserve"> or even some future time.</w:t>
      </w:r>
      <w:r w:rsidRPr="008A0378">
        <w:t xml:space="preserve"> </w:t>
      </w:r>
      <w:r w:rsidRPr="008A0378">
        <w:rPr>
          <w:b/>
        </w:rPr>
        <w:t xml:space="preserve">b </w:t>
      </w:r>
      <w:r w:rsidRPr="008A0378">
        <w:t>shows how a set of neurons constitutes a layer and how the output of a layer can be used as input for the next layer.</w:t>
      </w:r>
      <w:bookmarkEnd w:id="309"/>
      <w:r w:rsidRPr="008A0378">
        <w:t xml:space="preserve">  </w:t>
      </w:r>
    </w:p>
    <w:p w14:paraId="6A9A460B" w14:textId="77777777" w:rsidR="00814BE7" w:rsidRDefault="00814BE7" w:rsidP="00814BE7">
      <w:pPr>
        <w:rPr>
          <w:b/>
          <w:bCs/>
        </w:rPr>
      </w:pPr>
      <w:r>
        <w:br w:type="page"/>
      </w:r>
    </w:p>
    <w:p w14:paraId="3B7E031E" w14:textId="77777777" w:rsidR="00814BE7" w:rsidRDefault="00814BE7" w:rsidP="009E29A4">
      <w:pPr>
        <w:pStyle w:val="SEGBodyText"/>
        <w:ind w:firstLine="0"/>
        <w:jc w:val="center"/>
      </w:pPr>
      <w:r>
        <w:rPr>
          <w:noProof/>
        </w:rPr>
        <w:lastRenderedPageBreak/>
        <w:drawing>
          <wp:inline distT="0" distB="0" distL="0" distR="0" wp14:anchorId="0B8AEF34" wp14:editId="6C075E8D">
            <wp:extent cx="2468880" cy="2121910"/>
            <wp:effectExtent l="0" t="0" r="762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468880" cy="2121910"/>
                    </a:xfrm>
                    <a:prstGeom prst="rect">
                      <a:avLst/>
                    </a:prstGeom>
                    <a:noFill/>
                  </pic:spPr>
                </pic:pic>
              </a:graphicData>
            </a:graphic>
          </wp:inline>
        </w:drawing>
      </w:r>
    </w:p>
    <w:p w14:paraId="6C4A57AF" w14:textId="77777777" w:rsidR="00814BE7" w:rsidRDefault="00814BE7" w:rsidP="00E56D55">
      <w:pPr>
        <w:pStyle w:val="SEGBodyText"/>
        <w:spacing w:line="240" w:lineRule="auto"/>
        <w:ind w:firstLine="0"/>
      </w:pPr>
      <w:bookmarkStart w:id="310" w:name="_Ref20904825"/>
      <w:bookmarkStart w:id="311" w:name="_Ref18607478"/>
      <w:bookmarkStart w:id="312" w:name="_Toc26534526"/>
      <w:r w:rsidRPr="00E219C7">
        <w:t xml:space="preserve">Figure </w:t>
      </w:r>
      <w:r w:rsidRPr="00E219C7">
        <w:rPr>
          <w:noProof/>
        </w:rPr>
        <w:fldChar w:fldCharType="begin"/>
      </w:r>
      <w:r w:rsidRPr="00E219C7">
        <w:rPr>
          <w:noProof/>
        </w:rPr>
        <w:instrText xml:space="preserve"> SEQ Figure \* ARABIC </w:instrText>
      </w:r>
      <w:r w:rsidRPr="00E219C7">
        <w:rPr>
          <w:noProof/>
        </w:rPr>
        <w:fldChar w:fldCharType="separate"/>
      </w:r>
      <w:r w:rsidR="00A82C54">
        <w:rPr>
          <w:noProof/>
        </w:rPr>
        <w:t>26</w:t>
      </w:r>
      <w:r w:rsidRPr="00E219C7">
        <w:rPr>
          <w:noProof/>
        </w:rPr>
        <w:fldChar w:fldCharType="end"/>
      </w:r>
      <w:bookmarkEnd w:id="310"/>
      <w:r w:rsidRPr="00E219C7">
        <w:t>:</w:t>
      </w:r>
      <w:bookmarkEnd w:id="311"/>
      <w:r w:rsidRPr="00E219C7">
        <w:t xml:space="preserve"> Representation of a recurrent neural network. In</w:t>
      </w:r>
      <w:r w:rsidRPr="00D35AB0">
        <w:t xml:space="preserve"> LSTM models, the basic unit </w:t>
      </w:r>
      <m:oMath>
        <m:r>
          <m:rPr>
            <m:sty m:val="bi"/>
          </m:rPr>
          <w:rPr>
            <w:rFonts w:ascii="Cambria Math" w:hAnsi="Cambria Math"/>
          </w:rPr>
          <m:t>h</m:t>
        </m:r>
      </m:oMath>
      <w:r w:rsidRPr="00D35AB0">
        <w:t xml:space="preserve"> is also called a memory cell. The input vector </w:t>
      </w:r>
      <m:oMath>
        <m:r>
          <m:rPr>
            <m:sty m:val="bi"/>
          </m:rPr>
          <w:rPr>
            <w:rFonts w:ascii="Cambria Math" w:hAnsi="Cambria Math"/>
          </w:rPr>
          <m:t>x</m:t>
        </m:r>
      </m:oMath>
      <w:r w:rsidRPr="00D35AB0">
        <w:t xml:space="preserve"> at an arbitrary time </w:t>
      </w:r>
      <m:oMath>
        <m:r>
          <m:rPr>
            <m:sty m:val="bi"/>
          </m:rPr>
          <w:rPr>
            <w:rFonts w:ascii="Cambria Math" w:hAnsi="Cambria Math"/>
          </w:rPr>
          <m:t>t</m:t>
        </m:r>
      </m:oMath>
      <w:r w:rsidRPr="00D35AB0">
        <w:t xml:space="preserve"> is processed by a memory cell </w:t>
      </w:r>
      <m:oMath>
        <m:r>
          <m:rPr>
            <m:sty m:val="bi"/>
          </m:rPr>
          <w:rPr>
            <w:rFonts w:ascii="Cambria Math" w:hAnsi="Cambria Math"/>
          </w:rPr>
          <m:t>h</m:t>
        </m:r>
      </m:oMath>
      <w:r w:rsidRPr="00D35AB0">
        <w:t xml:space="preserve"> and produces an output </w:t>
      </w:r>
      <m:oMath>
        <m:r>
          <m:rPr>
            <m:sty m:val="bi"/>
          </m:rPr>
          <w:rPr>
            <w:rFonts w:ascii="Cambria Math" w:hAnsi="Cambria Math"/>
          </w:rPr>
          <m:t>f</m:t>
        </m:r>
        <m:r>
          <w:rPr>
            <w:rFonts w:ascii="Cambria Math" w:hAnsi="Cambria Math"/>
          </w:rPr>
          <m:t>(</m:t>
        </m:r>
        <m:r>
          <m:rPr>
            <m:sty m:val="bi"/>
          </m:rPr>
          <w:rPr>
            <w:rFonts w:ascii="Cambria Math" w:hAnsi="Cambria Math"/>
          </w:rPr>
          <m:t>x</m:t>
        </m:r>
        <m:r>
          <w:rPr>
            <w:rFonts w:ascii="Cambria Math" w:hAnsi="Cambria Math"/>
          </w:rPr>
          <m:t>)</m:t>
        </m:r>
      </m:oMath>
      <w:r w:rsidRPr="00D35AB0">
        <w:t xml:space="preserve">. The output produced by </w:t>
      </w:r>
      <w:bookmarkStart w:id="313" w:name="_Hlk20932564"/>
      <m:oMath>
        <m:sSub>
          <m:sSubPr>
            <m:ctrlPr>
              <w:rPr>
                <w:rFonts w:ascii="Cambria Math" w:hAnsi="Cambria Math"/>
              </w:rPr>
            </m:ctrlPr>
          </m:sSubPr>
          <m:e>
            <m:r>
              <m:rPr>
                <m:sty m:val="bi"/>
              </m:rPr>
              <w:rPr>
                <w:rFonts w:ascii="Cambria Math" w:hAnsi="Cambria Math"/>
              </w:rPr>
              <m:t>h</m:t>
            </m:r>
          </m:e>
          <m:sub>
            <m:r>
              <m:rPr>
                <m:sty m:val="bi"/>
              </m:rPr>
              <w:rPr>
                <w:rFonts w:ascii="Cambria Math" w:hAnsi="Cambria Math"/>
              </w:rPr>
              <m:t>t</m:t>
            </m:r>
            <m:r>
              <w:rPr>
                <w:rFonts w:ascii="Cambria Math" w:hAnsi="Cambria Math"/>
              </w:rPr>
              <m:t>-</m:t>
            </m:r>
            <m:r>
              <m:rPr>
                <m:sty m:val="bi"/>
              </m:rPr>
              <w:rPr>
                <w:rFonts w:ascii="Cambria Math" w:hAnsi="Cambria Math"/>
              </w:rPr>
              <m:t>1</m:t>
            </m:r>
          </m:sub>
        </m:sSub>
      </m:oMath>
      <w:bookmarkEnd w:id="313"/>
      <w:r w:rsidRPr="00D35AB0">
        <w:t xml:space="preserve"> is also part of the input for </w:t>
      </w:r>
      <m:oMath>
        <m:sSub>
          <m:sSubPr>
            <m:ctrlPr>
              <w:rPr>
                <w:rFonts w:ascii="Cambria Math" w:hAnsi="Cambria Math"/>
              </w:rPr>
            </m:ctrlPr>
          </m:sSubPr>
          <m:e>
            <m:r>
              <m:rPr>
                <m:sty m:val="bi"/>
              </m:rPr>
              <w:rPr>
                <w:rFonts w:ascii="Cambria Math" w:hAnsi="Cambria Math"/>
              </w:rPr>
              <m:t>h</m:t>
            </m:r>
          </m:e>
          <m:sub>
            <m:r>
              <m:rPr>
                <m:sty m:val="bi"/>
              </m:rPr>
              <w:rPr>
                <w:rFonts w:ascii="Cambria Math" w:hAnsi="Cambria Math"/>
              </w:rPr>
              <m:t>t</m:t>
            </m:r>
          </m:sub>
        </m:sSub>
      </m:oMath>
      <w:r w:rsidRPr="00D35AB0">
        <w:t xml:space="preserve">. Thus, events at time </w:t>
      </w:r>
      <m:oMath>
        <m:r>
          <m:rPr>
            <m:sty m:val="bi"/>
          </m:rPr>
          <w:rPr>
            <w:rFonts w:ascii="Cambria Math" w:hAnsi="Cambria Math"/>
          </w:rPr>
          <m:t>t</m:t>
        </m:r>
      </m:oMath>
      <w:r w:rsidRPr="00D35AB0">
        <w:t xml:space="preserve"> are processed with information from the previous steps. The output produced by </w:t>
      </w:r>
      <m:oMath>
        <m:r>
          <m:rPr>
            <m:sty m:val="bi"/>
          </m:rPr>
          <w:rPr>
            <w:rFonts w:ascii="Cambria Math" w:hAnsi="Cambria Math"/>
          </w:rPr>
          <m:t>h</m:t>
        </m:r>
      </m:oMath>
      <w:r w:rsidRPr="00D35AB0">
        <w:t xml:space="preserve"> can be used as input to the next layer just like the described for the previous models.</w:t>
      </w:r>
      <w:bookmarkEnd w:id="312"/>
    </w:p>
    <w:p w14:paraId="7B12C0D8" w14:textId="77777777" w:rsidR="00814BE7" w:rsidRDefault="00814BE7" w:rsidP="00814BE7">
      <w:pPr>
        <w:rPr>
          <w:bCs/>
        </w:rPr>
      </w:pPr>
      <w:r>
        <w:rPr>
          <w:b/>
        </w:rPr>
        <w:br w:type="page"/>
      </w:r>
    </w:p>
    <w:p w14:paraId="197D0A71" w14:textId="77777777" w:rsidR="00814BE7" w:rsidRDefault="00814BE7" w:rsidP="009E29A4">
      <w:pPr>
        <w:pStyle w:val="SEGBodyText"/>
        <w:ind w:firstLine="0"/>
        <w:jc w:val="center"/>
        <w:rPr>
          <w:b/>
        </w:rPr>
      </w:pPr>
      <w:r>
        <w:rPr>
          <w:noProof/>
        </w:rPr>
        <w:lastRenderedPageBreak/>
        <w:drawing>
          <wp:inline distT="0" distB="0" distL="0" distR="0" wp14:anchorId="71C33E0E" wp14:editId="6A30A295">
            <wp:extent cx="5120640" cy="2216627"/>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120640" cy="2216627"/>
                    </a:xfrm>
                    <a:prstGeom prst="rect">
                      <a:avLst/>
                    </a:prstGeom>
                    <a:noFill/>
                    <a:ln>
                      <a:noFill/>
                    </a:ln>
                  </pic:spPr>
                </pic:pic>
              </a:graphicData>
            </a:graphic>
          </wp:inline>
        </w:drawing>
      </w:r>
    </w:p>
    <w:p w14:paraId="6D066126" w14:textId="77777777" w:rsidR="00814BE7" w:rsidRDefault="00814BE7" w:rsidP="00607DF1">
      <w:pPr>
        <w:pStyle w:val="Caption"/>
        <w:rPr>
          <w:i/>
        </w:rPr>
      </w:pPr>
      <w:bookmarkStart w:id="314" w:name="_Ref18662969"/>
      <w:bookmarkStart w:id="315" w:name="_Toc26534527"/>
      <w:r w:rsidRPr="00E219C7">
        <w:t xml:space="preserve">Figure </w:t>
      </w:r>
      <w:r w:rsidR="00CE1F3C">
        <w:fldChar w:fldCharType="begin"/>
      </w:r>
      <w:r w:rsidR="00CE1F3C">
        <w:instrText xml:space="preserve"> SEQ Figure </w:instrText>
      </w:r>
      <w:r w:rsidR="00CE1F3C">
        <w:instrText xml:space="preserve">\* ARABIC </w:instrText>
      </w:r>
      <w:r w:rsidR="00CE1F3C">
        <w:fldChar w:fldCharType="separate"/>
      </w:r>
      <w:r w:rsidR="00A82C54">
        <w:rPr>
          <w:noProof/>
        </w:rPr>
        <w:t>27</w:t>
      </w:r>
      <w:r w:rsidR="00CE1F3C">
        <w:rPr>
          <w:noProof/>
        </w:rPr>
        <w:fldChar w:fldCharType="end"/>
      </w:r>
      <w:bookmarkEnd w:id="314"/>
      <w:r w:rsidRPr="00E219C7">
        <w:t>. Temporal correlation between E2, dE2, and 1 MeV electrons fluxes in the first year of the interval.</w:t>
      </w:r>
      <w:r>
        <w:t xml:space="preserve"> Note the leading edges of E2 increments (green) and the spikes in dE2 (yellow) generally precede the onsets of MeV electron events with a significant one-to-one temporal relationship.</w:t>
      </w:r>
      <w:bookmarkEnd w:id="315"/>
      <w:r>
        <w:t xml:space="preserve">  </w:t>
      </w:r>
    </w:p>
    <w:p w14:paraId="28C9CF50" w14:textId="77777777" w:rsidR="00814BE7" w:rsidRDefault="00814BE7" w:rsidP="00814BE7">
      <w:pPr>
        <w:rPr>
          <w:rFonts w:cs="DejaVu Sans"/>
        </w:rPr>
      </w:pPr>
      <w:r>
        <w:rPr>
          <w:i/>
          <w:iCs/>
        </w:rPr>
        <w:br w:type="page"/>
      </w:r>
    </w:p>
    <w:p w14:paraId="6123081A" w14:textId="77777777" w:rsidR="00814BE7" w:rsidRDefault="00814BE7" w:rsidP="002F1077">
      <w:pPr>
        <w:pStyle w:val="Caption"/>
        <w:jc w:val="center"/>
      </w:pPr>
      <w:r>
        <w:rPr>
          <w:noProof/>
          <w:lang w:bidi="ar-SA"/>
        </w:rPr>
        <w:lastRenderedPageBreak/>
        <w:drawing>
          <wp:inline distT="0" distB="0" distL="0" distR="0" wp14:anchorId="66DA25F0" wp14:editId="59EE5309">
            <wp:extent cx="5120640" cy="5048472"/>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120640" cy="5048472"/>
                    </a:xfrm>
                    <a:prstGeom prst="rect">
                      <a:avLst/>
                    </a:prstGeom>
                    <a:noFill/>
                    <a:ln>
                      <a:noFill/>
                    </a:ln>
                  </pic:spPr>
                </pic:pic>
              </a:graphicData>
            </a:graphic>
          </wp:inline>
        </w:drawing>
      </w:r>
    </w:p>
    <w:p w14:paraId="17FAB7B2" w14:textId="77777777" w:rsidR="00814BE7" w:rsidRDefault="00814BE7" w:rsidP="00607DF1">
      <w:pPr>
        <w:pStyle w:val="Caption"/>
        <w:rPr>
          <w:i/>
        </w:rPr>
      </w:pPr>
      <w:bookmarkStart w:id="316" w:name="_Ref20904661"/>
      <w:bookmarkStart w:id="317" w:name="_Toc26534528"/>
      <w:r w:rsidRPr="00E219C7">
        <w:t xml:space="preserve">Figure </w:t>
      </w:r>
      <w:r w:rsidR="00CE1F3C">
        <w:fldChar w:fldCharType="begin"/>
      </w:r>
      <w:r w:rsidR="00CE1F3C">
        <w:instrText xml:space="preserve"> SEQ Figure \* ARABIC </w:instrText>
      </w:r>
      <w:r w:rsidR="00CE1F3C">
        <w:fldChar w:fldCharType="separate"/>
      </w:r>
      <w:r w:rsidR="00A82C54">
        <w:rPr>
          <w:noProof/>
        </w:rPr>
        <w:t>28</w:t>
      </w:r>
      <w:r w:rsidR="00CE1F3C">
        <w:rPr>
          <w:noProof/>
        </w:rPr>
        <w:fldChar w:fldCharType="end"/>
      </w:r>
      <w:bookmarkEnd w:id="316"/>
      <w:r w:rsidRPr="00E219C7">
        <w:t xml:space="preserve">. PE values for the combined validation and test sets are presented as a function of Lshell for different models and input parameters as in </w:t>
      </w:r>
      <w:r w:rsidR="00E219C7" w:rsidRPr="00E219C7">
        <w:fldChar w:fldCharType="begin"/>
      </w:r>
      <w:r w:rsidR="00E219C7" w:rsidRPr="00E219C7">
        <w:instrText xml:space="preserve"> REF _Ref23750959 \h </w:instrText>
      </w:r>
      <w:r w:rsidR="00E219C7">
        <w:instrText xml:space="preserve"> \* MERGEFORMAT </w:instrText>
      </w:r>
      <w:r w:rsidR="00E219C7" w:rsidRPr="00E219C7">
        <w:fldChar w:fldCharType="separate"/>
      </w:r>
      <w:r w:rsidR="00877916" w:rsidRPr="00877916">
        <w:t xml:space="preserve">Table </w:t>
      </w:r>
      <w:r w:rsidR="00877916" w:rsidRPr="00877916">
        <w:rPr>
          <w:noProof/>
        </w:rPr>
        <w:t>17</w:t>
      </w:r>
      <w:r w:rsidR="00E219C7" w:rsidRPr="00E219C7">
        <w:fldChar w:fldCharType="end"/>
      </w:r>
      <w:r>
        <w:t>.</w:t>
      </w:r>
      <w:r>
        <w:rPr>
          <w:b/>
        </w:rPr>
        <w:t xml:space="preserve"> A. </w:t>
      </w:r>
      <w:r>
        <w:t>L</w:t>
      </w:r>
      <w:r w:rsidRPr="00DE5F58">
        <w:t>inear</w:t>
      </w:r>
      <w:r>
        <w:t>Reg</w:t>
      </w:r>
      <w:r w:rsidRPr="00DE5F58">
        <w:t xml:space="preserve"> </w:t>
      </w:r>
      <w:r>
        <w:t xml:space="preserve">models and </w:t>
      </w:r>
      <w:r>
        <w:rPr>
          <w:b/>
        </w:rPr>
        <w:t xml:space="preserve">B. </w:t>
      </w:r>
      <w:r w:rsidRPr="00DE5F58">
        <w:t>LSTM model</w:t>
      </w:r>
      <w:r>
        <w:t>s.</w:t>
      </w:r>
      <w:r w:rsidRPr="00DE5F58">
        <w:t xml:space="preserve"> </w:t>
      </w:r>
      <w:r>
        <w:t>PE curve for linear2 model (dashed) is plotted for comparison. The model with the best performance—highest overall PE—for each category is highlighted with thick line.</w:t>
      </w:r>
      <w:bookmarkEnd w:id="317"/>
    </w:p>
    <w:p w14:paraId="0865F0DF" w14:textId="77777777" w:rsidR="00814BE7" w:rsidRDefault="00814BE7" w:rsidP="00814BE7">
      <w:pPr>
        <w:rPr>
          <w:i/>
          <w:iCs/>
        </w:rPr>
      </w:pPr>
      <w:r>
        <w:rPr>
          <w:i/>
          <w:iCs/>
        </w:rPr>
        <w:br w:type="page"/>
      </w:r>
    </w:p>
    <w:p w14:paraId="49D6603F" w14:textId="77777777" w:rsidR="00814BE7" w:rsidRDefault="00814BE7" w:rsidP="002F1077">
      <w:pPr>
        <w:jc w:val="center"/>
        <w:rPr>
          <w:i/>
          <w:iCs/>
        </w:rPr>
      </w:pPr>
      <w:r>
        <w:rPr>
          <w:noProof/>
          <w:lang w:bidi="ar-SA"/>
        </w:rPr>
        <w:lastRenderedPageBreak/>
        <w:drawing>
          <wp:inline distT="0" distB="0" distL="0" distR="0" wp14:anchorId="26F45ADC" wp14:editId="074E748E">
            <wp:extent cx="4759325" cy="4692716"/>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777760" cy="4710893"/>
                    </a:xfrm>
                    <a:prstGeom prst="rect">
                      <a:avLst/>
                    </a:prstGeom>
                    <a:noFill/>
                    <a:ln>
                      <a:noFill/>
                    </a:ln>
                  </pic:spPr>
                </pic:pic>
              </a:graphicData>
            </a:graphic>
          </wp:inline>
        </w:drawing>
      </w:r>
    </w:p>
    <w:p w14:paraId="4037246F" w14:textId="77777777" w:rsidR="00814BE7" w:rsidRPr="001D724A" w:rsidRDefault="00814BE7" w:rsidP="00814BE7">
      <w:pPr>
        <w:spacing w:line="240" w:lineRule="auto"/>
      </w:pPr>
      <w:bookmarkStart w:id="318" w:name="_Ref21427045"/>
      <w:bookmarkStart w:id="319" w:name="_Toc26534529"/>
      <w:r w:rsidRPr="001D724A">
        <w:rPr>
          <w:bCs/>
        </w:rPr>
        <w:t xml:space="preserve">Figure </w:t>
      </w:r>
      <w:r w:rsidRPr="001D724A">
        <w:rPr>
          <w:bCs/>
        </w:rPr>
        <w:fldChar w:fldCharType="begin"/>
      </w:r>
      <w:r w:rsidRPr="001D724A">
        <w:rPr>
          <w:bCs/>
        </w:rPr>
        <w:instrText xml:space="preserve"> SEQ Figure \* ARABIC </w:instrText>
      </w:r>
      <w:r w:rsidRPr="001D724A">
        <w:rPr>
          <w:bCs/>
        </w:rPr>
        <w:fldChar w:fldCharType="separate"/>
      </w:r>
      <w:r w:rsidR="00A82C54">
        <w:rPr>
          <w:bCs/>
          <w:noProof/>
        </w:rPr>
        <w:t>29</w:t>
      </w:r>
      <w:r w:rsidRPr="001D724A">
        <w:rPr>
          <w:bCs/>
        </w:rPr>
        <w:fldChar w:fldCharType="end"/>
      </w:r>
      <w:bookmarkEnd w:id="318"/>
      <w:r w:rsidRPr="001D724A">
        <w:rPr>
          <w:bCs/>
        </w:rPr>
        <w:t xml:space="preserve">. Model </w:t>
      </w:r>
      <w:r w:rsidRPr="001D724A">
        <w:t xml:space="preserve">PE values over the combined validation and test data sets are presented as a function of Lshell for the top performers </w:t>
      </w:r>
      <w:r w:rsidRPr="00E219C7">
        <w:t xml:space="preserve">in </w:t>
      </w:r>
      <w:r w:rsidR="00E219C7" w:rsidRPr="00E219C7">
        <w:fldChar w:fldCharType="begin"/>
      </w:r>
      <w:r w:rsidR="00E219C7" w:rsidRPr="00E219C7">
        <w:instrText xml:space="preserve"> REF _Ref18655181 \h  \* MERGEFORMAT </w:instrText>
      </w:r>
      <w:r w:rsidR="00E219C7" w:rsidRPr="00E219C7">
        <w:fldChar w:fldCharType="separate"/>
      </w:r>
      <w:r w:rsidR="00877916" w:rsidRPr="00877916">
        <w:t xml:space="preserve">Table </w:t>
      </w:r>
      <w:r w:rsidR="00877916" w:rsidRPr="00877916">
        <w:rPr>
          <w:noProof/>
        </w:rPr>
        <w:t>18</w:t>
      </w:r>
      <w:r w:rsidR="00E219C7" w:rsidRPr="00E219C7">
        <w:fldChar w:fldCharType="end"/>
      </w:r>
      <w:r w:rsidRPr="00E219C7">
        <w:t xml:space="preserve"> and </w:t>
      </w:r>
      <w:r w:rsidR="00E219C7" w:rsidRPr="00E219C7">
        <w:t>17</w:t>
      </w:r>
      <w:r w:rsidRPr="001D724A">
        <w:t>. A. Top performer of each category for 1-day forecasts. PE curve of linear 2 for 1-day forecasts is plotted in dashed line for comparison. B. Top performer of each category for 2-day forecasts. Note the dashed line is still linear2 for 1-day forecasts. LinearReg models are highlighted in thick lines in both panels.</w:t>
      </w:r>
      <w:bookmarkEnd w:id="319"/>
    </w:p>
    <w:p w14:paraId="1E7D7E1C" w14:textId="77777777" w:rsidR="00814BE7" w:rsidRPr="00DB51B3" w:rsidRDefault="00814BE7" w:rsidP="00814BE7">
      <w:r>
        <w:br w:type="page"/>
      </w:r>
    </w:p>
    <w:p w14:paraId="4F5BAC19" w14:textId="77777777" w:rsidR="00814BE7" w:rsidRDefault="00814BE7" w:rsidP="002F1077">
      <w:pPr>
        <w:pStyle w:val="Caption"/>
        <w:jc w:val="center"/>
      </w:pPr>
      <w:r>
        <w:rPr>
          <w:noProof/>
          <w:lang w:bidi="ar-SA"/>
        </w:rPr>
        <w:lastRenderedPageBreak/>
        <w:drawing>
          <wp:inline distT="0" distB="0" distL="0" distR="0" wp14:anchorId="67DA1BC3" wp14:editId="3568002D">
            <wp:extent cx="5120640" cy="5270167"/>
            <wp:effectExtent l="0" t="0" r="381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120640" cy="5270167"/>
                    </a:xfrm>
                    <a:prstGeom prst="rect">
                      <a:avLst/>
                    </a:prstGeom>
                    <a:noFill/>
                    <a:ln>
                      <a:noFill/>
                    </a:ln>
                  </pic:spPr>
                </pic:pic>
              </a:graphicData>
            </a:graphic>
          </wp:inline>
        </w:drawing>
      </w:r>
    </w:p>
    <w:p w14:paraId="0AE61034" w14:textId="77777777" w:rsidR="00814BE7" w:rsidRDefault="00814BE7" w:rsidP="00607DF1">
      <w:pPr>
        <w:pStyle w:val="Caption"/>
        <w:rPr>
          <w:i/>
        </w:rPr>
      </w:pPr>
      <w:bookmarkStart w:id="320" w:name="_Ref20922084"/>
      <w:bookmarkStart w:id="321" w:name="_Toc26534530"/>
      <w:r w:rsidRPr="008A7CF8">
        <w:t xml:space="preserve">Figure </w:t>
      </w:r>
      <w:r w:rsidR="00CE1F3C">
        <w:fldChar w:fldCharType="begin"/>
      </w:r>
      <w:r w:rsidR="00CE1F3C">
        <w:instrText xml:space="preserve"> SEQ Figure \* ARABIC </w:instrText>
      </w:r>
      <w:r w:rsidR="00CE1F3C">
        <w:fldChar w:fldCharType="separate"/>
      </w:r>
      <w:r w:rsidR="00A82C54" w:rsidRPr="008A7CF8">
        <w:rPr>
          <w:noProof/>
        </w:rPr>
        <w:t>30</w:t>
      </w:r>
      <w:r w:rsidR="00CE1F3C">
        <w:rPr>
          <w:noProof/>
        </w:rPr>
        <w:fldChar w:fldCharType="end"/>
      </w:r>
      <w:bookmarkEnd w:id="320"/>
      <w:r w:rsidRPr="008A7CF8">
        <w:t>. Overview of target and 1-day forecasted fluxes across all Lshells</w:t>
      </w:r>
      <w:r w:rsidRPr="007F05A8">
        <w:rPr>
          <w:b/>
        </w:rPr>
        <w:t>.</w:t>
      </w:r>
      <w:r>
        <w:t xml:space="preserve"> </w:t>
      </w:r>
      <w:r w:rsidRPr="00DC0D4D">
        <w:rPr>
          <w:b/>
        </w:rPr>
        <w:t>A</w:t>
      </w:r>
      <w:r>
        <w:t xml:space="preserve"> shows the observed flux distributions to be forecasted for 1 MeV electrons. </w:t>
      </w:r>
      <w:r w:rsidRPr="00DC0D4D">
        <w:rPr>
          <w:b/>
        </w:rPr>
        <w:t>B, C, D,</w:t>
      </w:r>
      <w:r>
        <w:t xml:space="preserve"> and </w:t>
      </w:r>
      <w:r w:rsidRPr="00DC0D4D">
        <w:rPr>
          <w:b/>
        </w:rPr>
        <w:t>E</w:t>
      </w:r>
      <w:r>
        <w:t xml:space="preserve"> show, respectively, predictions from the models with the highest PE including linear regression model, MLP, LSTM, and CNN models.</w:t>
      </w:r>
      <w:bookmarkEnd w:id="321"/>
      <w:r>
        <w:t xml:space="preserve"> </w:t>
      </w:r>
    </w:p>
    <w:p w14:paraId="37085B8E" w14:textId="77777777" w:rsidR="00814BE7" w:rsidRDefault="00814BE7" w:rsidP="00814BE7">
      <w:pPr>
        <w:rPr>
          <w:rFonts w:cs="DejaVu Sans"/>
        </w:rPr>
      </w:pPr>
      <w:r>
        <w:rPr>
          <w:i/>
          <w:iCs/>
        </w:rPr>
        <w:br w:type="page"/>
      </w:r>
    </w:p>
    <w:p w14:paraId="56AD270F" w14:textId="77777777" w:rsidR="00E219C7" w:rsidRDefault="00814BE7" w:rsidP="002F1077">
      <w:pPr>
        <w:pStyle w:val="Caption"/>
        <w:jc w:val="center"/>
      </w:pPr>
      <w:r>
        <w:rPr>
          <w:noProof/>
          <w:lang w:bidi="ar-SA"/>
        </w:rPr>
        <w:lastRenderedPageBreak/>
        <w:drawing>
          <wp:inline distT="0" distB="0" distL="0" distR="0" wp14:anchorId="71DB8D3F" wp14:editId="0EC68DFF">
            <wp:extent cx="5120640" cy="5282216"/>
            <wp:effectExtent l="0" t="0" r="381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120640" cy="5282216"/>
                    </a:xfrm>
                    <a:prstGeom prst="rect">
                      <a:avLst/>
                    </a:prstGeom>
                    <a:noFill/>
                    <a:ln>
                      <a:noFill/>
                    </a:ln>
                  </pic:spPr>
                </pic:pic>
              </a:graphicData>
            </a:graphic>
          </wp:inline>
        </w:drawing>
      </w:r>
    </w:p>
    <w:p w14:paraId="4BC0476F" w14:textId="77777777" w:rsidR="00814BE7" w:rsidRDefault="00E219C7" w:rsidP="00607DF1">
      <w:pPr>
        <w:pStyle w:val="Caption"/>
        <w:rPr>
          <w:i/>
        </w:rPr>
      </w:pPr>
      <w:bookmarkStart w:id="322" w:name="_Ref23752296"/>
      <w:bookmarkStart w:id="323" w:name="_Toc26534531"/>
      <w:r>
        <w:t xml:space="preserve">Figure </w:t>
      </w:r>
      <w:r w:rsidR="00CE1F3C">
        <w:fldChar w:fldCharType="begin"/>
      </w:r>
      <w:r w:rsidR="00CE1F3C">
        <w:instrText xml:space="preserve"> SEQ Figure \* ARABI</w:instrText>
      </w:r>
      <w:r w:rsidR="00CE1F3C">
        <w:instrText xml:space="preserve">C </w:instrText>
      </w:r>
      <w:r w:rsidR="00CE1F3C">
        <w:fldChar w:fldCharType="separate"/>
      </w:r>
      <w:r w:rsidR="00A82C54">
        <w:rPr>
          <w:noProof/>
        </w:rPr>
        <w:t>31</w:t>
      </w:r>
      <w:r w:rsidR="00CE1F3C">
        <w:rPr>
          <w:noProof/>
        </w:rPr>
        <w:fldChar w:fldCharType="end"/>
      </w:r>
      <w:bookmarkEnd w:id="322"/>
      <w:r>
        <w:t xml:space="preserve">. </w:t>
      </w:r>
      <w:r w:rsidR="00814BE7" w:rsidRPr="007F05A8">
        <w:t>Overview of target and 2-day forecast</w:t>
      </w:r>
      <w:r w:rsidR="00814BE7">
        <w:t>ed fluxes</w:t>
      </w:r>
      <w:r w:rsidR="00814BE7" w:rsidRPr="007F05A8">
        <w:t xml:space="preserve"> </w:t>
      </w:r>
      <w:r w:rsidR="00814BE7">
        <w:t>across all L</w:t>
      </w:r>
      <w:r w:rsidR="00814BE7" w:rsidRPr="007F05A8">
        <w:t>shells.</w:t>
      </w:r>
      <w:r w:rsidR="00814BE7">
        <w:t xml:space="preserve"> </w:t>
      </w:r>
      <w:r w:rsidR="00814BE7" w:rsidRPr="005737A9">
        <w:t>A</w:t>
      </w:r>
      <w:r w:rsidR="00814BE7">
        <w:t xml:space="preserve">ll panels are in the same format as in </w:t>
      </w:r>
      <w:r>
        <w:fldChar w:fldCharType="begin"/>
      </w:r>
      <w:r>
        <w:instrText xml:space="preserve"> REF _Ref23751092 \h </w:instrText>
      </w:r>
      <w:r>
        <w:fldChar w:fldCharType="separate"/>
      </w:r>
      <w:r w:rsidRPr="00E219C7">
        <w:t xml:space="preserve">Figure </w:t>
      </w:r>
      <w:r>
        <w:rPr>
          <w:noProof/>
        </w:rPr>
        <w:t>24</w:t>
      </w:r>
      <w:r>
        <w:fldChar w:fldCharType="end"/>
      </w:r>
      <w:r w:rsidR="00814BE7">
        <w:t>.</w:t>
      </w:r>
      <w:bookmarkEnd w:id="323"/>
    </w:p>
    <w:p w14:paraId="2A815720" w14:textId="77777777" w:rsidR="00814BE7" w:rsidRPr="00DB51B3" w:rsidRDefault="00814BE7" w:rsidP="00814BE7">
      <w:pPr>
        <w:rPr>
          <w:rFonts w:cs="DejaVu Sans"/>
        </w:rPr>
      </w:pPr>
      <w:r>
        <w:rPr>
          <w:i/>
          <w:iCs/>
        </w:rPr>
        <w:br w:type="page"/>
      </w:r>
    </w:p>
    <w:p w14:paraId="3EF82C62" w14:textId="77777777" w:rsidR="00E219C7" w:rsidRDefault="00814BE7" w:rsidP="002F1077">
      <w:pPr>
        <w:pStyle w:val="Caption"/>
        <w:jc w:val="center"/>
      </w:pPr>
      <w:r>
        <w:rPr>
          <w:noProof/>
          <w:lang w:bidi="ar-SA"/>
        </w:rPr>
        <w:lastRenderedPageBreak/>
        <w:drawing>
          <wp:inline distT="0" distB="0" distL="0" distR="0" wp14:anchorId="72421686" wp14:editId="6C66F6EE">
            <wp:extent cx="6858000" cy="4228369"/>
            <wp:effectExtent l="635" t="0" r="635"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rot="16200000">
                      <a:off x="0" y="0"/>
                      <a:ext cx="6858000" cy="4228369"/>
                    </a:xfrm>
                    <a:prstGeom prst="rect">
                      <a:avLst/>
                    </a:prstGeom>
                    <a:noFill/>
                    <a:ln>
                      <a:noFill/>
                    </a:ln>
                  </pic:spPr>
                </pic:pic>
              </a:graphicData>
            </a:graphic>
          </wp:inline>
        </w:drawing>
      </w:r>
    </w:p>
    <w:p w14:paraId="51CB8990" w14:textId="77777777" w:rsidR="00814BE7" w:rsidRDefault="00E219C7" w:rsidP="00607DF1">
      <w:pPr>
        <w:pStyle w:val="Caption"/>
        <w:rPr>
          <w:i/>
        </w:rPr>
      </w:pPr>
      <w:bookmarkStart w:id="324" w:name="_Ref23751207"/>
      <w:bookmarkStart w:id="325" w:name="_Toc26534532"/>
      <w:r>
        <w:t xml:space="preserve">Figure </w:t>
      </w:r>
      <w:r w:rsidR="00CE1F3C">
        <w:fldChar w:fldCharType="begin"/>
      </w:r>
      <w:r w:rsidR="00CE1F3C">
        <w:instrText xml:space="preserve"> SEQ Figure \* ARABIC </w:instrText>
      </w:r>
      <w:r w:rsidR="00CE1F3C">
        <w:fldChar w:fldCharType="separate"/>
      </w:r>
      <w:r w:rsidR="00A82C54">
        <w:rPr>
          <w:noProof/>
        </w:rPr>
        <w:t>32</w:t>
      </w:r>
      <w:r w:rsidR="00CE1F3C">
        <w:rPr>
          <w:noProof/>
        </w:rPr>
        <w:fldChar w:fldCharType="end"/>
      </w:r>
      <w:bookmarkEnd w:id="324"/>
      <w:r>
        <w:t xml:space="preserve">. </w:t>
      </w:r>
      <w:r w:rsidR="00814BE7">
        <w:t xml:space="preserve">One-day forecasts compared to target fluxes at three selected Lshells over the combined validation and test period. </w:t>
      </w:r>
      <w:r w:rsidR="00814BE7" w:rsidRPr="000B3CC7">
        <w:t>A, B, and C</w:t>
      </w:r>
      <w:r w:rsidR="00814BE7">
        <w:t xml:space="preserve"> are for Lshells of 3.5, 4.5, and 5.5, respectively.  The measured 1 MeV electrons (black) are compared to </w:t>
      </w:r>
      <w:r w:rsidR="00814BE7" w:rsidRPr="00A82C54">
        <w:t>predictions from the LinearReg, MLP, LSTM, and CNN models with highest PE in each category (</w:t>
      </w:r>
      <w:r w:rsidRPr="00A82C54">
        <w:fldChar w:fldCharType="begin"/>
      </w:r>
      <w:r w:rsidRPr="00A82C54">
        <w:instrText xml:space="preserve"> REF _Ref23750959 \h </w:instrText>
      </w:r>
      <w:r w:rsidR="00A82C54" w:rsidRPr="00A82C54">
        <w:instrText xml:space="preserve"> \* MERGEFORMAT </w:instrText>
      </w:r>
      <w:r w:rsidRPr="00A82C54">
        <w:fldChar w:fldCharType="separate"/>
      </w:r>
      <w:r w:rsidR="00877916" w:rsidRPr="00877916">
        <w:t xml:space="preserve">Table </w:t>
      </w:r>
      <w:r w:rsidR="00877916" w:rsidRPr="00877916">
        <w:rPr>
          <w:noProof/>
        </w:rPr>
        <w:t>17</w:t>
      </w:r>
      <w:r w:rsidRPr="00A82C54">
        <w:fldChar w:fldCharType="end"/>
      </w:r>
      <w:r w:rsidR="00814BE7" w:rsidRPr="00A82C54">
        <w:t>) as well a</w:t>
      </w:r>
      <w:r w:rsidR="00814BE7">
        <w:t>s linear2 model (yellow).</w:t>
      </w:r>
      <w:bookmarkEnd w:id="325"/>
    </w:p>
    <w:p w14:paraId="08692A9D" w14:textId="77777777" w:rsidR="00814BE7" w:rsidRPr="00DB51B3" w:rsidRDefault="00814BE7" w:rsidP="00814BE7">
      <w:pPr>
        <w:rPr>
          <w:rFonts w:cs="DejaVu Sans"/>
        </w:rPr>
      </w:pPr>
      <w:r>
        <w:rPr>
          <w:i/>
          <w:iCs/>
        </w:rPr>
        <w:br w:type="page"/>
      </w:r>
    </w:p>
    <w:p w14:paraId="45947F95" w14:textId="50FE072F" w:rsidR="00A82C54" w:rsidRDefault="00814BE7" w:rsidP="002F1077">
      <w:pPr>
        <w:pStyle w:val="Caption"/>
        <w:jc w:val="center"/>
      </w:pPr>
      <w:r>
        <w:rPr>
          <w:noProof/>
          <w:lang w:bidi="ar-SA"/>
        </w:rPr>
        <w:lastRenderedPageBreak/>
        <w:drawing>
          <wp:inline distT="0" distB="0" distL="0" distR="0" wp14:anchorId="451C0A29" wp14:editId="5FBEB0EB">
            <wp:extent cx="6400800" cy="3944010"/>
            <wp:effectExtent l="9207" t="0" r="9208" b="9207"/>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rot="16200000">
                      <a:off x="0" y="0"/>
                      <a:ext cx="6400800" cy="3944010"/>
                    </a:xfrm>
                    <a:prstGeom prst="rect">
                      <a:avLst/>
                    </a:prstGeom>
                    <a:noFill/>
                    <a:ln>
                      <a:noFill/>
                    </a:ln>
                  </pic:spPr>
                </pic:pic>
              </a:graphicData>
            </a:graphic>
          </wp:inline>
        </w:drawing>
      </w:r>
    </w:p>
    <w:p w14:paraId="6CEF59F5" w14:textId="1A735D3A" w:rsidR="00814BE7" w:rsidRPr="00E60131" w:rsidRDefault="00A82C54" w:rsidP="00607DF1">
      <w:pPr>
        <w:pStyle w:val="Caption"/>
        <w:rPr>
          <w:b/>
          <w:i/>
        </w:rPr>
      </w:pPr>
      <w:bookmarkStart w:id="326" w:name="_Ref23751225"/>
      <w:bookmarkStart w:id="327" w:name="_Toc26534533"/>
      <w:r>
        <w:t xml:space="preserve">Figure </w:t>
      </w:r>
      <w:r w:rsidR="00CE1F3C">
        <w:fldChar w:fldCharType="begin"/>
      </w:r>
      <w:r w:rsidR="00CE1F3C">
        <w:instrText xml:space="preserve"> SEQ Figure \* ARABIC </w:instrText>
      </w:r>
      <w:r w:rsidR="00CE1F3C">
        <w:fldChar w:fldCharType="separate"/>
      </w:r>
      <w:r>
        <w:rPr>
          <w:noProof/>
        </w:rPr>
        <w:t>33</w:t>
      </w:r>
      <w:r w:rsidR="00CE1F3C">
        <w:rPr>
          <w:noProof/>
        </w:rPr>
        <w:fldChar w:fldCharType="end"/>
      </w:r>
      <w:bookmarkEnd w:id="326"/>
      <w:r>
        <w:t xml:space="preserve">. </w:t>
      </w:r>
      <w:r w:rsidR="00814BE7" w:rsidRPr="00A82C54">
        <w:t xml:space="preserve">One-day forecasts are compared to target fluxes at one single Lshell (L=4.5) over the validation and test period. The time period is separated into three </w:t>
      </w:r>
      <w:r w:rsidR="00814BE7" w:rsidRPr="00E60131">
        <w:t xml:space="preserve">panels to show more details. Vertical </w:t>
      </w:r>
      <w:r w:rsidR="00814BE7">
        <w:t xml:space="preserve">gray </w:t>
      </w:r>
      <w:r w:rsidR="00814BE7" w:rsidRPr="00E60131">
        <w:t xml:space="preserve">boxes </w:t>
      </w:r>
      <w:r w:rsidR="00814BE7">
        <w:t xml:space="preserve">mark out 16 major MeV electron events—the left sides coincide </w:t>
      </w:r>
      <w:r w:rsidR="00814BE7" w:rsidRPr="00E60131">
        <w:t>the start of incoming MeV electron events</w:t>
      </w:r>
      <w:r w:rsidR="00814BE7">
        <w:t xml:space="preserve"> and the width is 25 </w:t>
      </w:r>
      <w:r w:rsidR="005A723B">
        <w:t>hours</w:t>
      </w:r>
      <w:r w:rsidR="00814BE7">
        <w:t>—and are also called prediction windows. A successful (failed, unclear) prediction</w:t>
      </w:r>
      <w:r w:rsidR="00814BE7" w:rsidRPr="00E60131">
        <w:t xml:space="preserve"> o</w:t>
      </w:r>
      <w:r w:rsidR="00814BE7">
        <w:t>f sudden MeV electron increment</w:t>
      </w:r>
      <w:r w:rsidR="00814BE7" w:rsidRPr="00E60131">
        <w:t xml:space="preserve"> fall</w:t>
      </w:r>
      <w:r w:rsidR="00814BE7">
        <w:t>s</w:t>
      </w:r>
      <w:r w:rsidR="00814BE7" w:rsidRPr="00E60131">
        <w:t xml:space="preserve"> within</w:t>
      </w:r>
      <w:r w:rsidR="00814BE7">
        <w:t xml:space="preserve"> (outside, on the edge) </w:t>
      </w:r>
      <w:r w:rsidR="00814BE7" w:rsidRPr="00E60131">
        <w:t>the</w:t>
      </w:r>
      <w:r w:rsidR="00814BE7">
        <w:t xml:space="preserve"> prediction window and is marked with a green (red, blue) letter Y (N, ?)</w:t>
      </w:r>
      <w:r w:rsidR="00814BE7" w:rsidRPr="00E60131">
        <w:t>.</w:t>
      </w:r>
      <w:bookmarkEnd w:id="327"/>
      <w:r w:rsidR="00814BE7">
        <w:br w:type="page"/>
      </w:r>
    </w:p>
    <w:p w14:paraId="355AFC3F" w14:textId="77777777" w:rsidR="00A82C54" w:rsidRDefault="00814BE7" w:rsidP="002F1077">
      <w:pPr>
        <w:pStyle w:val="Caption"/>
        <w:jc w:val="center"/>
      </w:pPr>
      <w:r>
        <w:rPr>
          <w:noProof/>
          <w:lang w:bidi="ar-SA"/>
        </w:rPr>
        <w:lastRenderedPageBreak/>
        <w:drawing>
          <wp:inline distT="0" distB="0" distL="0" distR="0" wp14:anchorId="31960209" wp14:editId="62D8E4DD">
            <wp:extent cx="7315200" cy="4373489"/>
            <wp:effectExtent l="4127" t="0" r="4128" b="4127"/>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rot="16200000">
                      <a:off x="0" y="0"/>
                      <a:ext cx="7315200" cy="4373489"/>
                    </a:xfrm>
                    <a:prstGeom prst="rect">
                      <a:avLst/>
                    </a:prstGeom>
                    <a:noFill/>
                    <a:ln>
                      <a:noFill/>
                    </a:ln>
                  </pic:spPr>
                </pic:pic>
              </a:graphicData>
            </a:graphic>
          </wp:inline>
        </w:drawing>
      </w:r>
    </w:p>
    <w:p w14:paraId="7E8BDA9E" w14:textId="77777777" w:rsidR="00814BE7" w:rsidRDefault="00A82C54" w:rsidP="00607DF1">
      <w:pPr>
        <w:pStyle w:val="Caption"/>
        <w:rPr>
          <w:i/>
        </w:rPr>
      </w:pPr>
      <w:bookmarkStart w:id="328" w:name="_Ref23751267"/>
      <w:bookmarkStart w:id="329" w:name="_Toc26534534"/>
      <w:r>
        <w:t xml:space="preserve">Figure </w:t>
      </w:r>
      <w:r w:rsidR="00CE1F3C">
        <w:fldChar w:fldCharType="begin"/>
      </w:r>
      <w:r w:rsidR="00CE1F3C">
        <w:instrText xml:space="preserve"> SEQ Figure \* ARABIC </w:instrText>
      </w:r>
      <w:r w:rsidR="00CE1F3C">
        <w:fldChar w:fldCharType="separate"/>
      </w:r>
      <w:r>
        <w:rPr>
          <w:noProof/>
        </w:rPr>
        <w:t>34</w:t>
      </w:r>
      <w:r w:rsidR="00CE1F3C">
        <w:rPr>
          <w:noProof/>
        </w:rPr>
        <w:fldChar w:fldCharType="end"/>
      </w:r>
      <w:bookmarkEnd w:id="328"/>
      <w:r>
        <w:t xml:space="preserve">. </w:t>
      </w:r>
      <w:r w:rsidR="00814BE7">
        <w:t xml:space="preserve">Two-day forecasts are compared to target fluxes at three selected Lshells over the combined validation and test period. </w:t>
      </w:r>
      <w:r w:rsidR="00814BE7" w:rsidRPr="00B1350A">
        <w:t xml:space="preserve">Same format as </w:t>
      </w:r>
      <w:r>
        <w:fldChar w:fldCharType="begin"/>
      </w:r>
      <w:r>
        <w:instrText xml:space="preserve"> REF _Ref23751207 \h </w:instrText>
      </w:r>
      <w:r>
        <w:fldChar w:fldCharType="separate"/>
      </w:r>
      <w:r>
        <w:t xml:space="preserve">Figure </w:t>
      </w:r>
      <w:r>
        <w:rPr>
          <w:noProof/>
        </w:rPr>
        <w:t>32</w:t>
      </w:r>
      <w:r>
        <w:fldChar w:fldCharType="end"/>
      </w:r>
      <w:r w:rsidR="00814BE7" w:rsidRPr="00B1350A">
        <w:t>.</w:t>
      </w:r>
      <w:r w:rsidR="00814BE7">
        <w:t xml:space="preserve"> Note here linear2 is for 1-day forecasts instead of 2-day.</w:t>
      </w:r>
      <w:bookmarkEnd w:id="329"/>
    </w:p>
    <w:p w14:paraId="564EE884" w14:textId="77777777" w:rsidR="00814BE7" w:rsidRPr="00610F69" w:rsidRDefault="00814BE7" w:rsidP="00814BE7">
      <w:pPr>
        <w:rPr>
          <w:rFonts w:cs="DejaVu Sans"/>
        </w:rPr>
      </w:pPr>
      <w:r>
        <w:rPr>
          <w:i/>
          <w:iCs/>
        </w:rPr>
        <w:br w:type="page"/>
      </w:r>
    </w:p>
    <w:p w14:paraId="2C3AF961" w14:textId="77777777" w:rsidR="00A82C54" w:rsidRDefault="00814BE7" w:rsidP="002F1077">
      <w:pPr>
        <w:pStyle w:val="Caption"/>
        <w:jc w:val="center"/>
      </w:pPr>
      <w:r>
        <w:rPr>
          <w:noProof/>
          <w:lang w:bidi="ar-SA"/>
        </w:rPr>
        <w:lastRenderedPageBreak/>
        <w:drawing>
          <wp:inline distT="0" distB="0" distL="0" distR="0" wp14:anchorId="35D0EB12" wp14:editId="2AD6E3E3">
            <wp:extent cx="7315200" cy="4501666"/>
            <wp:effectExtent l="0" t="2858"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rot="16200000">
                      <a:off x="0" y="0"/>
                      <a:ext cx="7315200" cy="4501666"/>
                    </a:xfrm>
                    <a:prstGeom prst="rect">
                      <a:avLst/>
                    </a:prstGeom>
                    <a:noFill/>
                    <a:ln>
                      <a:noFill/>
                    </a:ln>
                  </pic:spPr>
                </pic:pic>
              </a:graphicData>
            </a:graphic>
          </wp:inline>
        </w:drawing>
      </w:r>
    </w:p>
    <w:p w14:paraId="6D7DC784" w14:textId="77777777" w:rsidR="00814BE7" w:rsidRDefault="00A82C54" w:rsidP="00607DF1">
      <w:pPr>
        <w:pStyle w:val="Caption"/>
        <w:rPr>
          <w:i/>
        </w:rPr>
      </w:pPr>
      <w:bookmarkStart w:id="330" w:name="_Ref23752475"/>
      <w:bookmarkStart w:id="331" w:name="_Toc26534535"/>
      <w:r>
        <w:t xml:space="preserve">Figure </w:t>
      </w:r>
      <w:r w:rsidR="00CE1F3C">
        <w:fldChar w:fldCharType="begin"/>
      </w:r>
      <w:r w:rsidR="00CE1F3C">
        <w:instrText xml:space="preserve"> SEQ Figure \* ARABIC </w:instrText>
      </w:r>
      <w:r w:rsidR="00CE1F3C">
        <w:fldChar w:fldCharType="separate"/>
      </w:r>
      <w:r>
        <w:rPr>
          <w:noProof/>
        </w:rPr>
        <w:t>35</w:t>
      </w:r>
      <w:r w:rsidR="00CE1F3C">
        <w:rPr>
          <w:noProof/>
        </w:rPr>
        <w:fldChar w:fldCharType="end"/>
      </w:r>
      <w:bookmarkEnd w:id="330"/>
      <w:r>
        <w:t xml:space="preserve">. </w:t>
      </w:r>
      <w:r w:rsidR="00814BE7">
        <w:t xml:space="preserve">Two-day forecasts are compared to target fluxes at one single Lshell (L=4.5) over the combined validation and test period. </w:t>
      </w:r>
      <w:r w:rsidR="00814BE7" w:rsidRPr="00461A59">
        <w:t xml:space="preserve">Same format as </w:t>
      </w:r>
      <w:r>
        <w:fldChar w:fldCharType="begin"/>
      </w:r>
      <w:r>
        <w:instrText xml:space="preserve"> REF _Ref23751225 \h </w:instrText>
      </w:r>
      <w:r>
        <w:fldChar w:fldCharType="separate"/>
      </w:r>
      <w:r>
        <w:t xml:space="preserve">Figure </w:t>
      </w:r>
      <w:r>
        <w:rPr>
          <w:noProof/>
        </w:rPr>
        <w:t>33</w:t>
      </w:r>
      <w:r>
        <w:fldChar w:fldCharType="end"/>
      </w:r>
      <w:r w:rsidR="00814BE7" w:rsidRPr="00461A59">
        <w:t>.</w:t>
      </w:r>
      <w:r w:rsidR="00814BE7">
        <w:t xml:space="preserve"> The</w:t>
      </w:r>
      <w:r w:rsidR="00814BE7" w:rsidRPr="00461A59">
        <w:t xml:space="preserve"> </w:t>
      </w:r>
      <w:r w:rsidR="00814BE7">
        <w:t xml:space="preserve">gray </w:t>
      </w:r>
      <w:r w:rsidR="00814BE7" w:rsidRPr="00461A59">
        <w:t xml:space="preserve">vertical boxes have a prediction window </w:t>
      </w:r>
      <w:r w:rsidR="00814BE7">
        <w:t xml:space="preserve">width </w:t>
      </w:r>
      <w:r w:rsidR="00814BE7" w:rsidRPr="00461A59">
        <w:t>of 50 hr.</w:t>
      </w:r>
      <w:r w:rsidR="00814BE7">
        <w:t xml:space="preserve"> Note here linear1 and linear2 are for 1-day forecasts instead of 2-day.</w:t>
      </w:r>
      <w:bookmarkEnd w:id="331"/>
    </w:p>
    <w:p w14:paraId="0D5C0586" w14:textId="77777777" w:rsidR="00814BE7" w:rsidRPr="00DB51B3" w:rsidRDefault="00814BE7" w:rsidP="00814BE7">
      <w:pPr>
        <w:rPr>
          <w:rFonts w:cs="DejaVu Sans"/>
        </w:rPr>
      </w:pPr>
      <w:r>
        <w:rPr>
          <w:i/>
          <w:iCs/>
        </w:rPr>
        <w:br w:type="page"/>
      </w:r>
    </w:p>
    <w:p w14:paraId="1E4C8ED1" w14:textId="77777777" w:rsidR="00814BE7" w:rsidRDefault="00814BE7" w:rsidP="00607DF1">
      <w:pPr>
        <w:pStyle w:val="Caption"/>
      </w:pPr>
    </w:p>
    <w:p w14:paraId="7A0FB70C" w14:textId="77777777" w:rsidR="00814BE7" w:rsidRDefault="00814BE7" w:rsidP="00607DF1">
      <w:pPr>
        <w:pStyle w:val="Caption"/>
      </w:pPr>
    </w:p>
    <w:p w14:paraId="47EE405E" w14:textId="77777777" w:rsidR="00A82C54" w:rsidRDefault="00814BE7" w:rsidP="00A82C54">
      <w:pPr>
        <w:pStyle w:val="Text"/>
        <w:keepNext/>
        <w:ind w:firstLine="0"/>
        <w:jc w:val="center"/>
      </w:pPr>
      <w:r>
        <w:rPr>
          <w:noProof/>
        </w:rPr>
        <w:drawing>
          <wp:inline distT="0" distB="0" distL="0" distR="0" wp14:anchorId="10F146D9" wp14:editId="13379BF9">
            <wp:extent cx="4401051" cy="5500254"/>
            <wp:effectExtent l="0" t="0" r="0" b="571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406320" cy="5506838"/>
                    </a:xfrm>
                    <a:prstGeom prst="rect">
                      <a:avLst/>
                    </a:prstGeom>
                    <a:noFill/>
                    <a:ln>
                      <a:noFill/>
                    </a:ln>
                  </pic:spPr>
                </pic:pic>
              </a:graphicData>
            </a:graphic>
          </wp:inline>
        </w:drawing>
      </w:r>
    </w:p>
    <w:p w14:paraId="1A283D7A" w14:textId="77777777" w:rsidR="00814BE7" w:rsidRDefault="00A82C54" w:rsidP="00607DF1">
      <w:pPr>
        <w:pStyle w:val="Caption"/>
        <w:rPr>
          <w:i/>
        </w:rPr>
      </w:pPr>
      <w:bookmarkStart w:id="332" w:name="_Ref23752501"/>
      <w:bookmarkStart w:id="333" w:name="_Toc26534536"/>
      <w:r>
        <w:t xml:space="preserve">Figure </w:t>
      </w:r>
      <w:r w:rsidR="00CE1F3C">
        <w:fldChar w:fldCharType="begin"/>
      </w:r>
      <w:r w:rsidR="00CE1F3C">
        <w:instrText xml:space="preserve"> SEQ Figure \* ARABIC </w:instrText>
      </w:r>
      <w:r w:rsidR="00CE1F3C">
        <w:fldChar w:fldCharType="separate"/>
      </w:r>
      <w:r w:rsidR="001E05B9">
        <w:rPr>
          <w:noProof/>
        </w:rPr>
        <w:t>36</w:t>
      </w:r>
      <w:r w:rsidR="00CE1F3C">
        <w:rPr>
          <w:noProof/>
        </w:rPr>
        <w:fldChar w:fldCharType="end"/>
      </w:r>
      <w:bookmarkEnd w:id="332"/>
      <w:r>
        <w:t xml:space="preserve">. </w:t>
      </w:r>
      <w:r w:rsidR="00814BE7">
        <w:t xml:space="preserve">One-day forecasts (A, B and C) and 2-day forecasts (D, E, and F) are compared to target fluxes at GEO over the validation and test period. </w:t>
      </w:r>
      <w:r w:rsidR="00814BE7" w:rsidRPr="00E2679B">
        <w:t xml:space="preserve">Same format as </w:t>
      </w:r>
      <w:r>
        <w:fldChar w:fldCharType="begin"/>
      </w:r>
      <w:r>
        <w:instrText xml:space="preserve"> REF _Ref23751267 \h </w:instrText>
      </w:r>
      <w:r>
        <w:fldChar w:fldCharType="separate"/>
      </w:r>
      <w:r>
        <w:t xml:space="preserve">Figure </w:t>
      </w:r>
      <w:r>
        <w:rPr>
          <w:noProof/>
        </w:rPr>
        <w:t>34</w:t>
      </w:r>
      <w:r>
        <w:fldChar w:fldCharType="end"/>
      </w:r>
      <w:r w:rsidR="00814BE7" w:rsidRPr="00E2679B">
        <w:t>.</w:t>
      </w:r>
      <w:r w:rsidR="00814BE7">
        <w:t xml:space="preserve"> </w:t>
      </w:r>
      <w:r w:rsidR="00814BE7" w:rsidRPr="00E2679B">
        <w:t>Here only results from Line</w:t>
      </w:r>
      <w:r w:rsidR="00814BE7">
        <w:t>arReg and LSTM models are shown for clearness. Note here linear1 and linear2 are all for 1-day forecasts.</w:t>
      </w:r>
      <w:bookmarkEnd w:id="333"/>
    </w:p>
    <w:p w14:paraId="14CB374E" w14:textId="77777777" w:rsidR="00814BE7" w:rsidRDefault="00814BE7" w:rsidP="00814BE7">
      <w:pPr>
        <w:rPr>
          <w:rFonts w:cs="DejaVu Sans"/>
        </w:rPr>
      </w:pPr>
      <w:r>
        <w:rPr>
          <w:i/>
          <w:iCs/>
        </w:rPr>
        <w:br w:type="page"/>
      </w:r>
    </w:p>
    <w:p w14:paraId="531577D6" w14:textId="77777777" w:rsidR="00814BE7" w:rsidRDefault="00814BE7" w:rsidP="00814BE7">
      <w:pPr>
        <w:pStyle w:val="Text"/>
        <w:ind w:firstLine="0"/>
      </w:pPr>
    </w:p>
    <w:p w14:paraId="79A33809" w14:textId="77777777" w:rsidR="00A82C54" w:rsidRDefault="00814BE7" w:rsidP="00A82C54">
      <w:pPr>
        <w:pStyle w:val="Text"/>
        <w:keepNext/>
        <w:ind w:firstLine="0"/>
        <w:jc w:val="center"/>
      </w:pPr>
      <w:r>
        <w:rPr>
          <w:noProof/>
        </w:rPr>
        <w:drawing>
          <wp:inline distT="0" distB="0" distL="0" distR="0" wp14:anchorId="57674838" wp14:editId="304A5EFE">
            <wp:extent cx="3580410" cy="3630520"/>
            <wp:effectExtent l="0" t="0" r="127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599678" cy="3650057"/>
                    </a:xfrm>
                    <a:prstGeom prst="rect">
                      <a:avLst/>
                    </a:prstGeom>
                    <a:noFill/>
                    <a:ln>
                      <a:noFill/>
                    </a:ln>
                  </pic:spPr>
                </pic:pic>
              </a:graphicData>
            </a:graphic>
          </wp:inline>
        </w:drawing>
      </w:r>
    </w:p>
    <w:p w14:paraId="05A9B5AC" w14:textId="77777777" w:rsidR="00814BE7" w:rsidRDefault="00A82C54" w:rsidP="00607DF1">
      <w:pPr>
        <w:pStyle w:val="Caption"/>
        <w:rPr>
          <w:i/>
        </w:rPr>
      </w:pPr>
      <w:bookmarkStart w:id="334" w:name="_Ref23752522"/>
      <w:bookmarkStart w:id="335" w:name="_Toc26534537"/>
      <w:r w:rsidRPr="00A82C54">
        <w:t xml:space="preserve">Figure </w:t>
      </w:r>
      <w:r w:rsidR="00CE1F3C">
        <w:fldChar w:fldCharType="begin"/>
      </w:r>
      <w:r w:rsidR="00CE1F3C">
        <w:instrText xml:space="preserve"> SEQ Figure \* ARABIC </w:instrText>
      </w:r>
      <w:r w:rsidR="00CE1F3C">
        <w:fldChar w:fldCharType="separate"/>
      </w:r>
      <w:r w:rsidRPr="00A82C54">
        <w:rPr>
          <w:noProof/>
        </w:rPr>
        <w:t>37</w:t>
      </w:r>
      <w:r w:rsidR="00CE1F3C">
        <w:rPr>
          <w:noProof/>
        </w:rPr>
        <w:fldChar w:fldCharType="end"/>
      </w:r>
      <w:bookmarkEnd w:id="334"/>
      <w:r w:rsidRPr="00A82C54">
        <w:t xml:space="preserve">. </w:t>
      </w:r>
      <w:r w:rsidR="00814BE7" w:rsidRPr="00A82C54">
        <w:t xml:space="preserve">Spearman correlation between target and input variables for multiple L-shells. A, B, and C show, respectively, L=4.5, L=5.5, and at GEO the values of the </w:t>
      </w:r>
      <w:r w:rsidR="00814BE7">
        <w:t>Spearman correlation of E2, E3, P6, and the solar wind speed with the target 1 MeV electrons for different time lags. Each time lag corresponds to 5 hours. The top of each gray area corresponds to correlation value ~0.4.</w:t>
      </w:r>
      <w:bookmarkEnd w:id="335"/>
    </w:p>
    <w:p w14:paraId="5AAB3976" w14:textId="77777777" w:rsidR="00814BE7" w:rsidRDefault="00814BE7" w:rsidP="00607DF1">
      <w:pPr>
        <w:pStyle w:val="Caption"/>
      </w:pPr>
    </w:p>
    <w:p w14:paraId="75C8439F" w14:textId="77777777" w:rsidR="00814BE7" w:rsidRDefault="00814BE7" w:rsidP="00607DF1">
      <w:pPr>
        <w:pStyle w:val="Caption"/>
      </w:pPr>
    </w:p>
    <w:p w14:paraId="1ED73036" w14:textId="77777777" w:rsidR="00814BE7" w:rsidRDefault="00814BE7" w:rsidP="00607DF1">
      <w:pPr>
        <w:pStyle w:val="Caption"/>
      </w:pPr>
    </w:p>
    <w:p w14:paraId="40614E6D" w14:textId="77777777" w:rsidR="00814BE7" w:rsidRDefault="00814BE7" w:rsidP="001735C1">
      <w:r>
        <w:br w:type="page"/>
      </w:r>
      <w:bookmarkStart w:id="336" w:name="_Ref18614169"/>
    </w:p>
    <w:p w14:paraId="700A7806" w14:textId="4198FEEF" w:rsidR="00814BE7" w:rsidRDefault="001735C1" w:rsidP="009E29A4">
      <w:pPr>
        <w:pStyle w:val="Heading2"/>
      </w:pPr>
      <w:bookmarkStart w:id="337" w:name="_Toc26534662"/>
      <w:r>
        <w:lastRenderedPageBreak/>
        <w:t>Tables</w:t>
      </w:r>
      <w:bookmarkEnd w:id="337"/>
      <w:r>
        <w:t xml:space="preserve"> </w:t>
      </w:r>
    </w:p>
    <w:p w14:paraId="5CAB6282" w14:textId="5CB8634E" w:rsidR="00814BE7" w:rsidRDefault="00814BE7" w:rsidP="00607DF1">
      <w:pPr>
        <w:pStyle w:val="Caption"/>
        <w:rPr>
          <w:i/>
        </w:rPr>
      </w:pPr>
      <w:bookmarkStart w:id="338" w:name="_Ref23750959"/>
      <w:bookmarkStart w:id="339" w:name="_Toc26534554"/>
      <w:r w:rsidRPr="00877916">
        <w:t xml:space="preserve">Table </w:t>
      </w:r>
      <w:r w:rsidR="00CE1F3C">
        <w:fldChar w:fldCharType="begin"/>
      </w:r>
      <w:r w:rsidR="00CE1F3C">
        <w:instrText xml:space="preserve"> SEQ Table \* ARABIC </w:instrText>
      </w:r>
      <w:r w:rsidR="00CE1F3C">
        <w:fldChar w:fldCharType="separate"/>
      </w:r>
      <w:r w:rsidR="00A82C54" w:rsidRPr="00877916">
        <w:rPr>
          <w:noProof/>
        </w:rPr>
        <w:t>17</w:t>
      </w:r>
      <w:r w:rsidR="00CE1F3C">
        <w:rPr>
          <w:noProof/>
        </w:rPr>
        <w:fldChar w:fldCharType="end"/>
      </w:r>
      <w:bookmarkEnd w:id="336"/>
      <w:bookmarkEnd w:id="338"/>
      <w:r w:rsidRPr="00877916">
        <w:t xml:space="preserve">. Test input parameter combinations for 1-day (25 </w:t>
      </w:r>
      <w:r w:rsidR="005A723B">
        <w:t>hours</w:t>
      </w:r>
      <w:r w:rsidRPr="00877916">
        <w:t xml:space="preserve">) forecasts. Columns </w:t>
      </w:r>
      <w:r>
        <w:t>of PE v</w:t>
      </w:r>
      <w:r w:rsidRPr="005E6E95">
        <w:t>alues</w:t>
      </w:r>
      <w:r>
        <w:t xml:space="preserve"> (averaged for all Lshells) are for training data, validation data, test data, validation and test data together, and all data, respectively. The last column shows PE for validation and test data at GEO only. The 10</w:t>
      </w:r>
      <w:r w:rsidRPr="002008D1">
        <w:rPr>
          <w:vertAlign w:val="superscript"/>
        </w:rPr>
        <w:t>th</w:t>
      </w:r>
      <w:r>
        <w:t xml:space="preserve"> model with the highest PE values is highlighted in red.</w:t>
      </w:r>
      <w:bookmarkEnd w:id="339"/>
    </w:p>
    <w:p w14:paraId="35EEF775" w14:textId="77777777" w:rsidR="00814BE7" w:rsidRDefault="00814BE7" w:rsidP="00607DF1">
      <w:pPr>
        <w:pStyle w:val="Caption"/>
      </w:pPr>
      <w:r>
        <w:rPr>
          <w:noProof/>
          <w:lang w:bidi="ar-SA"/>
        </w:rPr>
        <w:drawing>
          <wp:inline distT="0" distB="0" distL="0" distR="0" wp14:anchorId="302AF72A" wp14:editId="7B58C545">
            <wp:extent cx="6687619" cy="3686765"/>
            <wp:effectExtent l="0" t="4445"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rot="16200000">
                      <a:off x="0" y="0"/>
                      <a:ext cx="6736003" cy="3713438"/>
                    </a:xfrm>
                    <a:prstGeom prst="rect">
                      <a:avLst/>
                    </a:prstGeom>
                    <a:noFill/>
                    <a:ln>
                      <a:noFill/>
                    </a:ln>
                  </pic:spPr>
                </pic:pic>
              </a:graphicData>
            </a:graphic>
          </wp:inline>
        </w:drawing>
      </w:r>
    </w:p>
    <w:p w14:paraId="2B98225D" w14:textId="77777777" w:rsidR="00814BE7" w:rsidRDefault="00814BE7" w:rsidP="00814BE7">
      <w:pPr>
        <w:rPr>
          <w:rFonts w:cs="DejaVu Sans"/>
        </w:rPr>
      </w:pPr>
      <w:r>
        <w:rPr>
          <w:i/>
          <w:iCs/>
        </w:rPr>
        <w:br w:type="page"/>
      </w:r>
    </w:p>
    <w:p w14:paraId="066B21FB" w14:textId="0C2793A7" w:rsidR="00814BE7" w:rsidRDefault="00814BE7" w:rsidP="00607DF1">
      <w:pPr>
        <w:pStyle w:val="Caption"/>
        <w:rPr>
          <w:i/>
        </w:rPr>
      </w:pPr>
      <w:bookmarkStart w:id="340" w:name="_Ref18655181"/>
      <w:bookmarkStart w:id="341" w:name="_Toc26534555"/>
      <w:r w:rsidRPr="00877916">
        <w:lastRenderedPageBreak/>
        <w:t xml:space="preserve">Table </w:t>
      </w:r>
      <w:r w:rsidR="00CE1F3C">
        <w:fldChar w:fldCharType="begin"/>
      </w:r>
      <w:r w:rsidR="00CE1F3C">
        <w:instrText xml:space="preserve"> SEQ Table \* ARABIC </w:instrText>
      </w:r>
      <w:r w:rsidR="00CE1F3C">
        <w:fldChar w:fldCharType="separate"/>
      </w:r>
      <w:r w:rsidR="00A82C54" w:rsidRPr="00877916">
        <w:rPr>
          <w:noProof/>
        </w:rPr>
        <w:t>18</w:t>
      </w:r>
      <w:r w:rsidR="00CE1F3C">
        <w:rPr>
          <w:noProof/>
        </w:rPr>
        <w:fldChar w:fldCharType="end"/>
      </w:r>
      <w:bookmarkEnd w:id="340"/>
      <w:r w:rsidRPr="00877916">
        <w:t xml:space="preserve">. Performance of models in four categories for 1-day (25 </w:t>
      </w:r>
      <w:r w:rsidR="005A723B">
        <w:t>hours</w:t>
      </w:r>
      <w:r w:rsidRPr="00877916">
        <w:t>) forecasts. Same format as Table 1. PE values for the top performer of each category are</w:t>
      </w:r>
      <w:r>
        <w:t xml:space="preserve"> highlighted in red, also the top performers have their model index numbers marked with </w:t>
      </w:r>
      <w:r w:rsidRPr="00D93A57">
        <w:t>asterisk</w:t>
      </w:r>
      <w:r>
        <w:t>. E246 in the input list indicates E2 fluxes at L = 4.6.</w:t>
      </w:r>
      <w:bookmarkEnd w:id="341"/>
    </w:p>
    <w:p w14:paraId="570345A4" w14:textId="77777777" w:rsidR="00814BE7" w:rsidRPr="00052E94" w:rsidRDefault="00814BE7" w:rsidP="00607DF1">
      <w:pPr>
        <w:pStyle w:val="Caption"/>
      </w:pPr>
      <w:r>
        <w:rPr>
          <w:noProof/>
          <w:lang w:bidi="ar-SA"/>
        </w:rPr>
        <w:drawing>
          <wp:inline distT="0" distB="0" distL="0" distR="0" wp14:anchorId="1794DF0E" wp14:editId="453DE0A5">
            <wp:extent cx="6659199" cy="3996942"/>
            <wp:effectExtent l="0" t="2540" r="6350" b="63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rot="16200000">
                      <a:off x="0" y="0"/>
                      <a:ext cx="6671671" cy="4004428"/>
                    </a:xfrm>
                    <a:prstGeom prst="rect">
                      <a:avLst/>
                    </a:prstGeom>
                    <a:noFill/>
                    <a:ln>
                      <a:noFill/>
                    </a:ln>
                  </pic:spPr>
                </pic:pic>
              </a:graphicData>
            </a:graphic>
          </wp:inline>
        </w:drawing>
      </w:r>
    </w:p>
    <w:p w14:paraId="33938BE8" w14:textId="77777777" w:rsidR="00814BE7" w:rsidRDefault="00814BE7" w:rsidP="00814BE7">
      <w:pPr>
        <w:rPr>
          <w:rFonts w:cs="DejaVu Sans"/>
        </w:rPr>
      </w:pPr>
      <w:r>
        <w:rPr>
          <w:i/>
          <w:iCs/>
        </w:rPr>
        <w:br w:type="page"/>
      </w:r>
    </w:p>
    <w:p w14:paraId="3E6B0944" w14:textId="3BE2BB28" w:rsidR="00814BE7" w:rsidRDefault="00814BE7" w:rsidP="00607DF1">
      <w:pPr>
        <w:pStyle w:val="Caption"/>
        <w:rPr>
          <w:i/>
        </w:rPr>
      </w:pPr>
      <w:bookmarkStart w:id="342" w:name="_Ref18655327"/>
      <w:bookmarkStart w:id="343" w:name="_Ref18655317"/>
      <w:bookmarkStart w:id="344" w:name="_Toc26534556"/>
      <w:r w:rsidRPr="00877916">
        <w:lastRenderedPageBreak/>
        <w:t xml:space="preserve">Table </w:t>
      </w:r>
      <w:r w:rsidR="00CE1F3C">
        <w:fldChar w:fldCharType="begin"/>
      </w:r>
      <w:r w:rsidR="00CE1F3C">
        <w:instrText xml:space="preserve"> SEQ Table \* ARABIC </w:instrText>
      </w:r>
      <w:r w:rsidR="00CE1F3C">
        <w:fldChar w:fldCharType="separate"/>
      </w:r>
      <w:r w:rsidR="00A82C54" w:rsidRPr="00877916">
        <w:rPr>
          <w:noProof/>
        </w:rPr>
        <w:t>19</w:t>
      </w:r>
      <w:r w:rsidR="00CE1F3C">
        <w:rPr>
          <w:noProof/>
        </w:rPr>
        <w:fldChar w:fldCharType="end"/>
      </w:r>
      <w:bookmarkEnd w:id="342"/>
      <w:r w:rsidRPr="00877916">
        <w:t xml:space="preserve">. </w:t>
      </w:r>
      <w:bookmarkEnd w:id="343"/>
      <w:r w:rsidRPr="00877916">
        <w:t xml:space="preserve">Performance of models in four categories for 2-day (50 </w:t>
      </w:r>
      <w:r w:rsidR="005A723B">
        <w:t>hours</w:t>
      </w:r>
      <w:r w:rsidRPr="00877916">
        <w:t>) forecasts. Same format as Table 2. Note the PE values for</w:t>
      </w:r>
      <w:r>
        <w:t xml:space="preserve"> linear 1 and linear2 are for 1-day forecasts instead of 2-day.</w:t>
      </w:r>
      <w:bookmarkEnd w:id="344"/>
      <w:r>
        <w:t xml:space="preserve"> </w:t>
      </w:r>
    </w:p>
    <w:p w14:paraId="2B4F4235" w14:textId="77777777" w:rsidR="00814BE7" w:rsidRPr="0068602C" w:rsidRDefault="00814BE7" w:rsidP="00607DF1">
      <w:pPr>
        <w:pStyle w:val="Caption"/>
      </w:pPr>
      <w:r>
        <w:rPr>
          <w:noProof/>
          <w:lang w:bidi="ar-SA"/>
        </w:rPr>
        <w:drawing>
          <wp:inline distT="0" distB="0" distL="0" distR="0" wp14:anchorId="71DFFB7F" wp14:editId="38C02402">
            <wp:extent cx="7302402" cy="4387535"/>
            <wp:effectExtent l="0" t="9525" r="3810" b="381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rot="16200000">
                      <a:off x="0" y="0"/>
                      <a:ext cx="7305024" cy="4389111"/>
                    </a:xfrm>
                    <a:prstGeom prst="rect">
                      <a:avLst/>
                    </a:prstGeom>
                    <a:noFill/>
                    <a:ln>
                      <a:noFill/>
                    </a:ln>
                  </pic:spPr>
                </pic:pic>
              </a:graphicData>
            </a:graphic>
          </wp:inline>
        </w:drawing>
      </w:r>
    </w:p>
    <w:p w14:paraId="1AABB031" w14:textId="77777777" w:rsidR="00814BE7" w:rsidRDefault="00814BE7" w:rsidP="001D724A">
      <w:pPr>
        <w:pStyle w:val="Abstract"/>
        <w:spacing w:line="480" w:lineRule="auto"/>
      </w:pPr>
    </w:p>
    <w:p w14:paraId="4792FF79" w14:textId="77777777" w:rsidR="001D724A" w:rsidRDefault="001D724A" w:rsidP="009E29A4">
      <w:pPr>
        <w:pStyle w:val="Heading2"/>
      </w:pPr>
      <w:bookmarkStart w:id="345" w:name="_Toc26534663"/>
      <w:r>
        <w:lastRenderedPageBreak/>
        <w:t>Acknowledgments, Samples, and Data</w:t>
      </w:r>
      <w:bookmarkEnd w:id="345"/>
    </w:p>
    <w:p w14:paraId="6D5F9D38" w14:textId="77777777" w:rsidR="001D724A" w:rsidRDefault="001D724A" w:rsidP="001D724A">
      <w:pPr>
        <w:pStyle w:val="Text"/>
        <w:spacing w:line="480" w:lineRule="auto"/>
        <w:ind w:firstLine="0"/>
      </w:pPr>
      <w:r>
        <w:t xml:space="preserve">The authors declare no conflicts of interest. Pires de Lima acknowledges CNPq (grant no. 203589/2014-9) for graduate sponsorship. </w:t>
      </w:r>
      <w:r w:rsidRPr="00A741DA">
        <w:t>We gratefully acknowledge the support of NASA Heliophysics Space Weather Operations to Research Program (18-HSWO2R18-0006)</w:t>
      </w:r>
      <w:r>
        <w:t xml:space="preserve">, the NASA Heliophysics Guest Investigators program </w:t>
      </w:r>
      <w:r w:rsidRPr="00A741DA">
        <w:t>(14-GIVABR14_2-0028),</w:t>
      </w:r>
      <w:r>
        <w:t xml:space="preserve"> and LANL internal funding</w:t>
      </w:r>
      <w:r w:rsidRPr="00A741DA">
        <w:t>. We want to acknowledge the PIs and instrument teams of N</w:t>
      </w:r>
      <w:r>
        <w:t xml:space="preserve">OAA POES SEM2, and RBSP EMFISIS </w:t>
      </w:r>
      <w:r w:rsidRPr="00A741DA">
        <w:t xml:space="preserve">for providing measurements and allowing us to use their data. Thanks to CDAWeb for providing OMNI data. RBSP and POES data used in this work were downloadable from the missions’ public websites (https://www.rbsp-ect.lanl.gov, and http://www.ngdc.noaa.gov), while LANL GEO data are </w:t>
      </w:r>
      <w:r>
        <w:t>available from AGU website</w:t>
      </w:r>
      <w:r w:rsidRPr="00A741DA">
        <w:t xml:space="preserve"> as supplementary material</w:t>
      </w:r>
      <w:r>
        <w:t xml:space="preserve"> of Chen et al. (2019)</w:t>
      </w:r>
      <w:r w:rsidRPr="00A741DA">
        <w:t>.</w:t>
      </w:r>
    </w:p>
    <w:p w14:paraId="081F6C80" w14:textId="77777777" w:rsidR="001D724A" w:rsidRDefault="001D724A" w:rsidP="001D724A">
      <w:pPr>
        <w:pStyle w:val="Text"/>
        <w:ind w:firstLine="0"/>
        <w:rPr>
          <w:bCs/>
        </w:rPr>
      </w:pPr>
    </w:p>
    <w:p w14:paraId="3892276B" w14:textId="77777777" w:rsidR="001D724A" w:rsidRDefault="001D724A" w:rsidP="009E29A4">
      <w:pPr>
        <w:pStyle w:val="Heading2"/>
      </w:pPr>
      <w:bookmarkStart w:id="346" w:name="_Toc26534664"/>
      <w:r>
        <w:t>References</w:t>
      </w:r>
      <w:bookmarkEnd w:id="346"/>
    </w:p>
    <w:p w14:paraId="59FF0132" w14:textId="77777777" w:rsidR="00401A31" w:rsidRDefault="00401A31" w:rsidP="00401A31">
      <w:pPr>
        <w:pStyle w:val="Reference"/>
      </w:pPr>
      <w:r>
        <w:t>Ayodele, T.O., 2010. Types of machine learning algorithms, in: New Advances in Machine Learning. IntechOpen.</w:t>
      </w:r>
    </w:p>
    <w:p w14:paraId="26DDC663" w14:textId="77777777" w:rsidR="00401A31" w:rsidRDefault="00401A31" w:rsidP="00401A31">
      <w:pPr>
        <w:pStyle w:val="Reference"/>
      </w:pPr>
      <w:r>
        <w:t>Belian, R.D., Gisler, G.R., Cayton, T., Christensen, R., 1992. High- Z energetic particles at geosynchronous orbit during the Great Solar Proton Event Series of October 1989. J. Geophys. Res. 97, 16897. https://doi.org/10.1029/92JA01139</w:t>
      </w:r>
    </w:p>
    <w:p w14:paraId="25109B09" w14:textId="77777777" w:rsidR="00401A31" w:rsidRDefault="00401A31" w:rsidP="00401A31">
      <w:pPr>
        <w:pStyle w:val="Reference"/>
      </w:pPr>
      <w:r>
        <w:t>Blake, J.B., Carranza, P.A., Claudepierre, S.G., Clemmons, J.H., Crain, W.R., Dotan, Y., Fennell, J.F., Fuentes, F.H., Galvan, R.M., George, J.S., Henderson, M.G., Lalic, M., Lin, A.Y., Looper, M.D., Mabry, D.J., Mazur, J.E., McCarthy, B., Nguyen, C.Q., O’Brien, T.P., Perez, M.A., Redding, M.T., Roeder, J.L., Salvaggio, D.J., Sorensen, G.A., Spence, H.E., Yi, S., Zakrzewski, M.P., 2013. The Magnetic Electron Ion Spectrometer (MagEIS) Instruments Aboard the Radiation Belt Storm Probes (RBSP) Spacecraft. Space Sci. Rev. 179, 383–421. https://doi.org/10.1007/s11214-013-9991-8</w:t>
      </w:r>
    </w:p>
    <w:p w14:paraId="09185E4C" w14:textId="77777777" w:rsidR="00401A31" w:rsidRDefault="00401A31" w:rsidP="00401A31">
      <w:pPr>
        <w:pStyle w:val="Reference"/>
      </w:pPr>
      <w:r>
        <w:t>Camporeale, E., 2019. The Challenge of Machine Learning in Space Weather: Nowcasting and Forecasting. Sp. Weather 2018SW002061. https://doi.org/10.1029/2018SW002061</w:t>
      </w:r>
    </w:p>
    <w:p w14:paraId="06E63BAA" w14:textId="77777777" w:rsidR="00401A31" w:rsidRPr="00691AC3" w:rsidRDefault="00401A31" w:rsidP="00401A31">
      <w:pPr>
        <w:pStyle w:val="Reference"/>
        <w:rPr>
          <w:lang w:val="de-DE"/>
        </w:rPr>
      </w:pPr>
      <w:r>
        <w:t xml:space="preserve">Chen, Y., Reeves, G.D., Fu, X., Henderson, M., 2019. PreMevE: New Predictive Model for Megaelectron‐Volt Electrons Inside Earth’s Outer Radiation Belt. Sp. </w:t>
      </w:r>
      <w:r w:rsidRPr="00691AC3">
        <w:rPr>
          <w:lang w:val="de-DE"/>
        </w:rPr>
        <w:t>Weather 17, 438–454. https://doi.org/10.1029/2018SW002095</w:t>
      </w:r>
    </w:p>
    <w:p w14:paraId="498BA91F" w14:textId="77777777" w:rsidR="00401A31" w:rsidRDefault="00401A31" w:rsidP="00401A31">
      <w:pPr>
        <w:pStyle w:val="Reference"/>
      </w:pPr>
      <w:r w:rsidRPr="00691AC3">
        <w:rPr>
          <w:lang w:val="de-DE"/>
        </w:rPr>
        <w:lastRenderedPageBreak/>
        <w:t xml:space="preserve">Clevert, D.-A., Unterthiner, T., Hochreiter, S., 2015. </w:t>
      </w:r>
      <w:r>
        <w:t>Fast and Accurate Deep Network Learning by Exponential Linear Units (ELUs). arXiv e-prints arXiv:1511.07289.</w:t>
      </w:r>
    </w:p>
    <w:p w14:paraId="0DE3E53A" w14:textId="77777777" w:rsidR="00401A31" w:rsidRDefault="00401A31" w:rsidP="00401A31">
      <w:pPr>
        <w:pStyle w:val="Reference"/>
      </w:pPr>
      <w:r>
        <w:t>Cracknell, M.J., Reading, A.M., 2014. Geological mapping using remote sensing data: A comparison of five machine learning algorithms, their response to variations in the spatial distribution of training data and the use of explicit spatial information. Comput. Geosci. 63, 22–33. https://doi.org/10.1016/J.CAGEO.2013.10.008</w:t>
      </w:r>
    </w:p>
    <w:p w14:paraId="7ADDA92D" w14:textId="77777777" w:rsidR="00401A31" w:rsidRDefault="00401A31" w:rsidP="00401A31">
      <w:pPr>
        <w:pStyle w:val="Reference"/>
      </w:pPr>
      <w:r>
        <w:t>Duarte-Coronado, D., Tellez-Rodriguez, J., Pires de Lima, R., Marfurt, K., Slatt, R., 2019. Deep convolutional neural networks as an estimator of porosity in thin-section images for unconventional reservoirs, in: SEG Technical Program Expanded Abstracts 2019. Society of Exploration Geophysicists, pp. 3181–3184. https://doi.org/10.1190/segam2019-3216898.1</w:t>
      </w:r>
    </w:p>
    <w:p w14:paraId="24B00BA6" w14:textId="77777777" w:rsidR="00401A31" w:rsidRDefault="00401A31" w:rsidP="00401A31">
      <w:pPr>
        <w:pStyle w:val="Reference"/>
      </w:pPr>
      <w:r>
        <w:t>Dumoulin, V., Visin, F., 2016. A guide to convolution arithmetic for deep learning. ArXiv e-prints.</w:t>
      </w:r>
    </w:p>
    <w:p w14:paraId="10BBB327" w14:textId="77777777" w:rsidR="00401A31" w:rsidRDefault="00401A31" w:rsidP="00401A31">
      <w:pPr>
        <w:pStyle w:val="Reference"/>
      </w:pPr>
      <w:r>
        <w:t>Evans, D.S., Greer, M.S., (U.S.), S.E.C., 2000. Polar orbiting environmental satellite space environment monitor-2: instrument description and archive data documentation. U.S. Dept. of Commerce, National Oceanic and Atmospheric Administration, Oceanic and Atmospheric Research Laboratories, Space Environment Center, Boulder, CO.</w:t>
      </w:r>
    </w:p>
    <w:p w14:paraId="0BD49C76" w14:textId="77777777" w:rsidR="00401A31" w:rsidRPr="00691AC3" w:rsidRDefault="00401A31" w:rsidP="00401A31">
      <w:pPr>
        <w:pStyle w:val="Reference"/>
        <w:rPr>
          <w:lang w:val="de-DE"/>
        </w:rPr>
      </w:pPr>
      <w:r>
        <w:t xml:space="preserve">Graves, A., Jaitly, N., Mohamed, A., 2013. Hybrid speech recognition with Deep Bidirectional LSTM, in: 2013 IEEE Workshop on Automatic Speech Recognition and Understanding. </w:t>
      </w:r>
      <w:r w:rsidRPr="00691AC3">
        <w:rPr>
          <w:lang w:val="de-DE"/>
        </w:rPr>
        <w:t>IEEE, pp. 273–278. https://doi.org/10.1109/ASRU.2013.6707742</w:t>
      </w:r>
    </w:p>
    <w:p w14:paraId="768324AB" w14:textId="77777777" w:rsidR="00401A31" w:rsidRDefault="00401A31" w:rsidP="00401A31">
      <w:pPr>
        <w:pStyle w:val="Reference"/>
      </w:pPr>
      <w:r w:rsidRPr="00691AC3">
        <w:rPr>
          <w:lang w:val="de-DE"/>
        </w:rPr>
        <w:t xml:space="preserve">Graves, A., Schmidhuber, J., 2005. </w:t>
      </w:r>
      <w:r>
        <w:t>Framewise phoneme classification with bidirectional LSTM and other neural network architectures. Neural Networks 18, 602–610. https://doi.org/10.1016/J.NEUNET.2005.06.042</w:t>
      </w:r>
    </w:p>
    <w:p w14:paraId="2022B11B" w14:textId="77777777" w:rsidR="00401A31" w:rsidRDefault="00401A31" w:rsidP="00401A31">
      <w:pPr>
        <w:pStyle w:val="Reference"/>
      </w:pPr>
      <w:r>
        <w:t>Hahnloser, R.H.R., Sarpeshkar, R., Mahowald, M.A., Douglas, R.J., Seung, H.S., 2000. Digital selection and analogue amplification coexist in a cortex-inspired silicon circuit. Nature 405, 947–951. https://doi.org/10.1038/35016072</w:t>
      </w:r>
    </w:p>
    <w:p w14:paraId="6DF10B62" w14:textId="77777777" w:rsidR="00401A31" w:rsidRDefault="00401A31" w:rsidP="00401A31">
      <w:pPr>
        <w:pStyle w:val="Reference"/>
      </w:pPr>
      <w:r>
        <w:t>Hartigan, J.A., Wong, M.A., 1979. Algorithm AS 136: A K-Means Clustering Algorithm. J. R. Stat. Soc. Ser. C (Applied Stat. 28, 100–108. https://doi.org/10.2307/2346830</w:t>
      </w:r>
    </w:p>
    <w:p w14:paraId="534E9FBE" w14:textId="77777777" w:rsidR="00401A31" w:rsidRDefault="00401A31" w:rsidP="00401A31">
      <w:pPr>
        <w:pStyle w:val="Reference"/>
      </w:pPr>
      <w:r>
        <w:t>Hochreiter, S., Schmidhuber, J., 1997. Long Short-Term Memory. Neural Comput. 9, 1735–1780. https://doi.org/10.1162/neco.1997.9.8.1735</w:t>
      </w:r>
    </w:p>
    <w:p w14:paraId="0A5320A8" w14:textId="77777777" w:rsidR="00401A31" w:rsidRDefault="00401A31" w:rsidP="00401A31">
      <w:pPr>
        <w:pStyle w:val="Reference"/>
      </w:pPr>
      <w:r>
        <w:t>Hopfield, J.J., 1982. Neural networks and physical systems with emergent collective computational abilities. Proc. Natl. Acad. Sci. U. S. A. 79, 2554–8. https://doi.org/10.1073/pnas.79.8.2554</w:t>
      </w:r>
    </w:p>
    <w:p w14:paraId="32187E56" w14:textId="77777777" w:rsidR="00401A31" w:rsidRDefault="00401A31" w:rsidP="00401A31">
      <w:pPr>
        <w:pStyle w:val="Reference"/>
      </w:pPr>
      <w:r>
        <w:t>Horne, R.B., Glauert, S.A., Meredith, N.P., Koskinen, H., Vainio, R., Afanasiev, A., Ganushkina, N.Y., Amariutei, O.A., Boscher, D., Sicard, A., Maget, V., Poedts, S., Jacobs, C., Sanahuja, B., Aran, A., Heynderickx, D., Pitchford, D., 2013. Forecasting the Earth’s radiation belts and modelling solar energetic particle events: Recent results from SPACECAST. J. Sp. Weather Sp. Clim. 3, A20. https://doi.org/10.1051/swsc/2013042</w:t>
      </w:r>
    </w:p>
    <w:p w14:paraId="70B370A5" w14:textId="77777777" w:rsidR="00401A31" w:rsidRDefault="00401A31" w:rsidP="00401A31">
      <w:pPr>
        <w:pStyle w:val="Reference"/>
      </w:pPr>
      <w:r>
        <w:t>Kingma, D.P., Ba, J., 2014. Adam: A Method for Stochastic Optimization. arXiv e-prints arXiv:1412.6980.</w:t>
      </w:r>
    </w:p>
    <w:p w14:paraId="2EF56E1E" w14:textId="77777777" w:rsidR="00401A31" w:rsidRDefault="00401A31" w:rsidP="00401A31">
      <w:pPr>
        <w:pStyle w:val="Reference"/>
      </w:pPr>
      <w:r>
        <w:lastRenderedPageBreak/>
        <w:t>Kitamura, K., Nakamura, Y., Tokumitsu, M., Ishida, Y., Watari, S., 2011. Prediction of the electron flux environment in geosynchronous orbit using a neural network technique. Artif. Life Robot. 16, 389–392. https://doi.org/10.1007/s10015-011-0957-1</w:t>
      </w:r>
    </w:p>
    <w:p w14:paraId="188E3843" w14:textId="77777777" w:rsidR="00401A31" w:rsidRDefault="00401A31" w:rsidP="00401A31">
      <w:pPr>
        <w:pStyle w:val="Reference"/>
      </w:pPr>
      <w:r>
        <w:t>Kong, W., Dong, Z.Y., Jia, Y., Hill, D.J., Xu, Y., Zhang, Y., 2019. Short-Term Residential Load Forecasting Based on LSTM Recurrent Neural Network. IEEE Trans. Smart Grid 10, 841–851. https://doi.org/10.1109/TSG.2017.2753802</w:t>
      </w:r>
    </w:p>
    <w:p w14:paraId="23112122" w14:textId="77777777" w:rsidR="00401A31" w:rsidRDefault="00401A31" w:rsidP="00401A31">
      <w:pPr>
        <w:pStyle w:val="Reference"/>
      </w:pPr>
      <w:r>
        <w:t>Kortström, J., Uski, M., Tiira, T., 2016. Automatic classification of seismic events within a regional seismograph network. Comput. Geosci. 87, 22–30. https://doi.org/10.1016/J.CAGEO.2015.11.006</w:t>
      </w:r>
    </w:p>
    <w:p w14:paraId="6330D111" w14:textId="77777777" w:rsidR="00401A31" w:rsidRDefault="00401A31" w:rsidP="00401A31">
      <w:pPr>
        <w:pStyle w:val="Reference"/>
      </w:pPr>
      <w:r>
        <w:t>Krizhevsky, A., Sutskever, I., Hinton, G.E., 2012. ImageNet Classification with Deep Convolutional Neural Networks, in: Proceedings of the 25th International Conference on Neural Information Processing Systems - Volume 1, NIPS’12. Curran Associates Inc., USA, pp. 1097–1105.</w:t>
      </w:r>
    </w:p>
    <w:p w14:paraId="62D17076" w14:textId="77777777" w:rsidR="00401A31" w:rsidRDefault="00401A31" w:rsidP="00401A31">
      <w:pPr>
        <w:pStyle w:val="Reference"/>
      </w:pPr>
      <w:r>
        <w:t>LeCun, Y., Bengio, Y., Hinton, G., 2015. Deep learning. Nature 521, 436–444. https://doi.org/10.1038/nature14539</w:t>
      </w:r>
    </w:p>
    <w:p w14:paraId="17D43F4D" w14:textId="77777777" w:rsidR="00401A31" w:rsidRDefault="00401A31" w:rsidP="00401A31">
      <w:pPr>
        <w:pStyle w:val="Reference"/>
      </w:pPr>
      <w:r>
        <w:t>Mauk, B.H., Fox, N.J., Kanekal, S.G., Kessel, R.L., Sibeck, D.G., Ukhorskiy, A., 2013. Science Objectives and Rationale for the Radiation Belt Storm Probes Mission. Space Sci. Rev. 179, 3–27. https://doi.org/10.1007/s11214-012-9908-y</w:t>
      </w:r>
    </w:p>
    <w:p w14:paraId="448D3E0C" w14:textId="77777777" w:rsidR="00401A31" w:rsidRDefault="00401A31" w:rsidP="00401A31">
      <w:pPr>
        <w:pStyle w:val="Reference"/>
      </w:pPr>
      <w:r>
        <w:t>McIlwain, C.E., 1966. Magnetic coordinates. Space Sci. Rev. 5, 585–598. https://doi.org/10.1007/BF00167327</w:t>
      </w:r>
    </w:p>
    <w:p w14:paraId="79921A5D" w14:textId="77777777" w:rsidR="00401A31" w:rsidRDefault="00401A31" w:rsidP="00401A31">
      <w:pPr>
        <w:pStyle w:val="Reference"/>
      </w:pPr>
      <w:r>
        <w:t>Minsky, M., 1961. Steps toward Artificial Intelligence. Proc. IRE 49, 8–30. https://doi.org/10.1109/JRPROC.1961.287775</w:t>
      </w:r>
    </w:p>
    <w:p w14:paraId="750A50FA" w14:textId="77777777" w:rsidR="00401A31" w:rsidRDefault="00401A31" w:rsidP="00401A31">
      <w:pPr>
        <w:pStyle w:val="Reference"/>
      </w:pPr>
      <w:r>
        <w:t>Murdoch, W.J., Singh, C., Kumbier, K., Abbasi-Asl, R., Yu, B., 2019. Definitions, methods, and applications in interpretable machine learning. Proc. Natl. Acad. Sci. 116, 22071 LP – 22080. https://doi.org/10.1073/pnas.1900654116</w:t>
      </w:r>
    </w:p>
    <w:p w14:paraId="27D175F1" w14:textId="77777777" w:rsidR="00401A31" w:rsidRDefault="00401A31" w:rsidP="00401A31">
      <w:pPr>
        <w:pStyle w:val="Reference"/>
      </w:pPr>
      <w:r>
        <w:t>Nair, V., Hinton, G.E., 2010. Rectified Linear Units Improve Restricted Boltzmann Machines, in: Proceedings of the 27th International Conference on International Conference on Machine Learning, ICML’10. Omnipress, USA, pp. 807–814.</w:t>
      </w:r>
    </w:p>
    <w:p w14:paraId="29A6606A" w14:textId="77777777" w:rsidR="00401A31" w:rsidRDefault="00401A31" w:rsidP="00401A31">
      <w:pPr>
        <w:pStyle w:val="Reference"/>
      </w:pPr>
      <w:r>
        <w:t>Olah, C., 2015. Understanding LSTM Networks.</w:t>
      </w:r>
    </w:p>
    <w:p w14:paraId="6ECD8F62" w14:textId="77777777" w:rsidR="00401A31" w:rsidRDefault="00401A31" w:rsidP="00401A31">
      <w:pPr>
        <w:pStyle w:val="Reference"/>
      </w:pPr>
      <w:r>
        <w:t>Olson, W.P., Pfitzer, K.A., 1977. Magnetospheric magnetic field modeling. Annual scientific report. Huntington Beach.</w:t>
      </w:r>
    </w:p>
    <w:p w14:paraId="5F028A60" w14:textId="77777777" w:rsidR="00401A31" w:rsidRDefault="00401A31" w:rsidP="00401A31">
      <w:pPr>
        <w:pStyle w:val="Reference"/>
      </w:pPr>
      <w:r>
        <w:t>Perol, T., Gharbi, M., Denolle, M., 2018. Convolutional neural network for earthquake detection and location. Sci. Adv. 4, e1700578. https://doi.org/10.1126/sciadv.1700578</w:t>
      </w:r>
    </w:p>
    <w:p w14:paraId="7F8374BD" w14:textId="77777777" w:rsidR="00401A31" w:rsidRDefault="00401A31" w:rsidP="00401A31">
      <w:pPr>
        <w:pStyle w:val="Reference"/>
      </w:pPr>
      <w:r>
        <w:t>Pires de Lima, R., Bonar, A., Coronado, D.D., Marfurt, K., Nicholson, C., 2019a. Deep convolutional neural networks as a geological image classification tool. Sediment. Rec. 17, 4–9. https://doi.org/10.210/sedred.2019.2</w:t>
      </w:r>
    </w:p>
    <w:p w14:paraId="71227E21" w14:textId="77777777" w:rsidR="00401A31" w:rsidRDefault="00401A31" w:rsidP="00401A31">
      <w:pPr>
        <w:pStyle w:val="Reference"/>
      </w:pPr>
      <w:r>
        <w:t>Pires de Lima, R., Marfurt, K.J., 2018. Principal component analysis and K-means analysis of airborne gamma-ray spectrometry surveys, in: SEG Technical Program Expanded Abstracts 2018. Society of Exploration Geophysicists, pp. 2277–2281. https://doi.org/10.1190/segam2018-2996506.1</w:t>
      </w:r>
    </w:p>
    <w:p w14:paraId="534DA169" w14:textId="77777777" w:rsidR="00401A31" w:rsidRDefault="00401A31" w:rsidP="00401A31">
      <w:pPr>
        <w:pStyle w:val="Reference"/>
      </w:pPr>
      <w:r>
        <w:lastRenderedPageBreak/>
        <w:t>Pires de Lima, R., Suriamin, F., Marfurt, K.J., Pranter, M.J., 2019b. Convolutional neural networks as aid in core lithofacies classification. Interpretation 7, SF27–SF40. https://doi.org/10.1190/INT-2018-0245.1</w:t>
      </w:r>
    </w:p>
    <w:p w14:paraId="643628DC" w14:textId="77777777" w:rsidR="00401A31" w:rsidRDefault="00401A31" w:rsidP="00401A31">
      <w:pPr>
        <w:pStyle w:val="Reference"/>
      </w:pPr>
      <w:r>
        <w:t>Qayyum, A., Anwar, S.M., Awais, M., Majid, M., 2017. Medical image retrieval using deep convolutional neural network. Neurocomputing 266, 8–20. https://doi.org/10.1016/J.NEUCOM.2017.05.025</w:t>
      </w:r>
    </w:p>
    <w:p w14:paraId="0CCA7976" w14:textId="77777777" w:rsidR="00401A31" w:rsidRDefault="00401A31" w:rsidP="00401A31">
      <w:pPr>
        <w:pStyle w:val="Reference"/>
      </w:pPr>
      <w:r>
        <w:t>Ren, C.X., Dorostkar, O., Rouet‐Leduc, B., Hulbert, C., Strebel, D., Guyer, R.A., Johnson, P.A., Carmeliet, J., 2019. Machine Learning Reveals the State of Intermittent Frictional Dynamics in a Sheared Granular Fault. Geophys. Res. Lett. 46, 7395–7403. https://doi.org/10.1029/2019GL082706</w:t>
      </w:r>
    </w:p>
    <w:p w14:paraId="4EA248CE" w14:textId="77777777" w:rsidR="00401A31" w:rsidRPr="00691AC3" w:rsidRDefault="00401A31" w:rsidP="00401A31">
      <w:pPr>
        <w:pStyle w:val="Reference"/>
        <w:rPr>
          <w:lang w:val="de-DE"/>
        </w:rPr>
      </w:pPr>
      <w:r>
        <w:t xml:space="preserve">Ronneberger, O., Fischer, P., Brox, T., 2015. U-Net: Convolutional Networks for Biomedical Image Segmentation, in: Navab, N., Hornegger, J., Wells, W.M., Frangi, A.F. (Eds.), Medical Image Computing and Computer-Assisted Intervention -- MICCAI 2015. </w:t>
      </w:r>
      <w:r w:rsidRPr="00691AC3">
        <w:rPr>
          <w:lang w:val="de-DE"/>
        </w:rPr>
        <w:t>Springer International Publishing, Cham, pp. 234–241.</w:t>
      </w:r>
    </w:p>
    <w:p w14:paraId="42CFF5BB" w14:textId="77777777" w:rsidR="00401A31" w:rsidRDefault="00401A31" w:rsidP="00401A31">
      <w:pPr>
        <w:pStyle w:val="Reference"/>
      </w:pPr>
      <w:r w:rsidRPr="00691AC3">
        <w:rPr>
          <w:lang w:val="de-DE"/>
        </w:rPr>
        <w:t xml:space="preserve">Russakovsky, O., Deng, J., Su, H., Krause, J., Satheesh, S., Ma, S., Huang, Z., Karpathy, A., Khosla, A., Bernstein, M., Berg, A.C., Fei-Fei, L., 2015. </w:t>
      </w:r>
      <w:r>
        <w:t>ImageNet Large Scale Visual Recognition Challenge. Int. J. Comput. Vis. 115, 211–252. https://doi.org/10.1007/s11263-015-0816-y</w:t>
      </w:r>
    </w:p>
    <w:p w14:paraId="3F12DA2E" w14:textId="77777777" w:rsidR="00401A31" w:rsidRDefault="00401A31" w:rsidP="00401A31">
      <w:pPr>
        <w:pStyle w:val="Reference"/>
      </w:pPr>
      <w:r w:rsidRPr="00691AC3">
        <w:rPr>
          <w:lang w:val="de-DE"/>
        </w:rPr>
        <w:t xml:space="preserve">Shin, D.-K., Lee, D.-Y., Kim, K.-C., Hwang, J., Kim, J., 2016. </w:t>
      </w:r>
      <w:r>
        <w:t>Artificial neural network prediction model for geosynchronous electron fluxes: Dependence on satellite position and particle energy. Sp. Weather 14, 313–321. https://doi.org/10.1002/2015SW001359</w:t>
      </w:r>
    </w:p>
    <w:p w14:paraId="5148E8FB" w14:textId="77777777" w:rsidR="00401A31" w:rsidRDefault="00401A31" w:rsidP="00401A31">
      <w:pPr>
        <w:pStyle w:val="Reference"/>
      </w:pPr>
      <w:r>
        <w:t>Sinha, S., Wen, Y., Pires de Lima, R.A., Marfurt, K., 2018. Statistical controls on induced seismicity. Unconventional Resources Technology Conference. https://doi.org/10.15530/urtec-2018-2897507-MS</w:t>
      </w:r>
    </w:p>
    <w:p w14:paraId="751ECFF4" w14:textId="77777777" w:rsidR="00401A31" w:rsidRDefault="00401A31" w:rsidP="00401A31">
      <w:pPr>
        <w:pStyle w:val="Reference"/>
      </w:pPr>
      <w:r>
        <w:t>Springenberg, J.T., Dosovitskiy, A., Brox, T., Riedmiller, M., 2014. Striving for Simplicity: The All Convolutional Net. arXiv e-prints arXiv:1412.6806.</w:t>
      </w:r>
    </w:p>
    <w:p w14:paraId="3A1CBDA0" w14:textId="77777777" w:rsidR="00401A31" w:rsidRDefault="00401A31" w:rsidP="00401A31">
      <w:pPr>
        <w:pStyle w:val="Reference"/>
      </w:pPr>
      <w:r>
        <w:t>Srivastava, N., Hinton, G., Krizhevsky, A., Sutskever, I., Salakhutdinov, R., 2014. Dropout: A Simple Way to Prevent Neural Networks from Overfitting. J. Mach. Learn. Res. 15, 1929–1958.</w:t>
      </w:r>
    </w:p>
    <w:p w14:paraId="7BA371DF" w14:textId="77777777" w:rsidR="00401A31" w:rsidRDefault="00401A31" w:rsidP="00401A31">
      <w:pPr>
        <w:pStyle w:val="Reference"/>
      </w:pPr>
      <w:r>
        <w:t>Stringer, G.A., Heuten, I., Salazar, C., Stokes, B., 1996. Artificial Neural Network (ANN) Forecasting of Energetic Electrons at Geosynchronous Orbit. American Geophysical Union (AGU), pp. 291–295. https://doi.org/10.1029/GM097p0291</w:t>
      </w:r>
    </w:p>
    <w:p w14:paraId="4854748B" w14:textId="77777777" w:rsidR="00401A31" w:rsidRDefault="00401A31" w:rsidP="00401A31">
      <w:pPr>
        <w:pStyle w:val="Reference"/>
      </w:pPr>
      <w:r>
        <w:t>Tajbakhsh, N., Shin, J.Y., Gurudu, S.R., Hurst, R.T., Kendall, C.B., Gotway, M.B., Liang, J., 2016. Convolutional Neural Networks for Medical Image Analysis: Full Training or Fine Tuning? IEEE Trans. Med. Imaging 35, 1299–1312. https://doi.org/10.1109/TMI.2016.2535302</w:t>
      </w:r>
    </w:p>
    <w:p w14:paraId="6B07CE23" w14:textId="77777777" w:rsidR="00401A31" w:rsidRDefault="00401A31" w:rsidP="00401A31">
      <w:pPr>
        <w:pStyle w:val="Reference"/>
      </w:pPr>
      <w:r>
        <w:t>Ukhorskiy, A.Y., Sitnov, M.I., Sharma, A.S., Anderson, B.J., Ohtani, S., Lui, A.T.Y., 2004. Data-derived forecasting model for relativistic electron intensity at geosynchronous orbit. Geophys. Res. Lett. 31, L09806. https://doi.org/10.1029/2004GL019616</w:t>
      </w:r>
    </w:p>
    <w:p w14:paraId="257C0629" w14:textId="77777777" w:rsidR="00401A31" w:rsidRPr="00691AC3" w:rsidRDefault="00401A31" w:rsidP="00401A31">
      <w:pPr>
        <w:pStyle w:val="Reference"/>
        <w:rPr>
          <w:lang w:val="de-DE"/>
        </w:rPr>
      </w:pPr>
      <w:r>
        <w:t xml:space="preserve">Valentín, M.B., Bom, C.R., Coelho, J.M., Correia, M.D., de Albuquerque, Márcio P., de Albuquerque, Marcelo P., Faria, E.L., 2019. A deep residual convolutional neural </w:t>
      </w:r>
      <w:r>
        <w:lastRenderedPageBreak/>
        <w:t xml:space="preserve">network for automatic lithological facies identification of Brazilian pre-salt oilfield wellbore image logs. </w:t>
      </w:r>
      <w:r w:rsidRPr="00691AC3">
        <w:rPr>
          <w:lang w:val="de-DE"/>
        </w:rPr>
        <w:t>J. Pet. Sci. Eng. https://doi.org/10.1016/J.PETROL.2019.04.030</w:t>
      </w:r>
    </w:p>
    <w:p w14:paraId="220506AC" w14:textId="77777777" w:rsidR="00401A31" w:rsidRDefault="00401A31" w:rsidP="00401A31">
      <w:pPr>
        <w:pStyle w:val="Reference"/>
      </w:pPr>
      <w:r w:rsidRPr="00691AC3">
        <w:rPr>
          <w:lang w:val="de-DE"/>
        </w:rPr>
        <w:t xml:space="preserve">Wang, T., Zhang, Z., Li, Y., 2019. </w:t>
      </w:r>
      <w:r>
        <w:t>EarthquakeGen: Earthquake generator using generative adversarial networks, in: SEG Technical Program Expanded Abstracts 2019. Society of Exploration Geophysicists, pp. 2674–2678. https://doi.org/10.1190/segam2019-3216687.1</w:t>
      </w:r>
    </w:p>
    <w:p w14:paraId="35DDBBAB" w14:textId="77777777" w:rsidR="001D724A" w:rsidRDefault="00401A31" w:rsidP="001111B0">
      <w:pPr>
        <w:pStyle w:val="Reference"/>
      </w:pPr>
      <w:r>
        <w:t>Wei, L., Zhong, Q., Lin, R., Wang, J., Liu, S., Cao, Y., 2018. Quantitative Prediction of High-Energy Electron Integral Flux at Geostationary Orbit Based on Deep Learning. Sp. Weather 16, 903–916. https://doi.org/10.1029/2018SW001829</w:t>
      </w:r>
    </w:p>
    <w:p w14:paraId="16755807" w14:textId="77777777" w:rsidR="001D724A" w:rsidRDefault="001D724A" w:rsidP="001111B0">
      <w:pPr>
        <w:spacing w:line="240" w:lineRule="auto"/>
        <w:ind w:left="720" w:hanging="720"/>
      </w:pPr>
      <w:r>
        <w:br w:type="page"/>
      </w:r>
    </w:p>
    <w:p w14:paraId="2EBED445" w14:textId="77777777" w:rsidR="001111B0" w:rsidRDefault="001111B0" w:rsidP="001111B0">
      <w:pPr>
        <w:pStyle w:val="Chapter"/>
      </w:pPr>
      <w:bookmarkStart w:id="347" w:name="_Toc26534665"/>
      <w:r>
        <w:lastRenderedPageBreak/>
        <w:t>Conclusions and final remarks</w:t>
      </w:r>
      <w:bookmarkEnd w:id="347"/>
    </w:p>
    <w:p w14:paraId="69E218BB" w14:textId="41A9F870" w:rsidR="001111B0" w:rsidRDefault="001111B0" w:rsidP="001111B0">
      <w:pPr>
        <w:ind w:firstLine="720"/>
      </w:pPr>
      <w:r>
        <w:t xml:space="preserve">I started this dissertation with a chapter that explains </w:t>
      </w:r>
      <w:r w:rsidR="004D6E8D">
        <w:t xml:space="preserve">the more important </w:t>
      </w:r>
      <w:r>
        <w:t xml:space="preserve">concepts of machine learning, </w:t>
      </w:r>
      <w:r w:rsidR="004D6E8D">
        <w:t xml:space="preserve">in general, adding greater </w:t>
      </w:r>
      <w:r>
        <w:t xml:space="preserve">details </w:t>
      </w:r>
      <w:r w:rsidR="004D6E8D">
        <w:t xml:space="preserve">on </w:t>
      </w:r>
      <w:r>
        <w:t>the internal components of convolutional neural networks. The following chapters showed different applications of convolutional neural networks</w:t>
      </w:r>
      <w:r w:rsidR="004D6E8D">
        <w:t xml:space="preserve"> ranging from core analysis, fossil identification, and remote sensing analysis</w:t>
      </w:r>
      <w:r>
        <w:t>, many times relying on transfer learning</w:t>
      </w:r>
      <w:r w:rsidR="00766531">
        <w:t>, to exploit tools that can help geoscientists working on different fields. Despite my evident predilection to co</w:t>
      </w:r>
      <w:r w:rsidR="004C10C9">
        <w:t xml:space="preserve">nvolutional neural networks, the results in chapter 6 show that simpler models should not be overlooked when a new analysis starts. Simpler models, </w:t>
      </w:r>
      <w:r w:rsidR="004D6E8D">
        <w:t>including</w:t>
      </w:r>
      <w:r w:rsidR="004C10C9">
        <w:t xml:space="preserve"> linear regression, are </w:t>
      </w:r>
      <w:r w:rsidR="008C59DB">
        <w:t xml:space="preserve">often </w:t>
      </w:r>
      <w:r w:rsidR="004C10C9">
        <w:t>easier to explain and should serve as a starting point</w:t>
      </w:r>
      <w:r w:rsidR="007555AF">
        <w:t xml:space="preserve"> in many different tasks</w:t>
      </w:r>
      <w:r w:rsidR="004C10C9">
        <w:t xml:space="preserve">. </w:t>
      </w:r>
    </w:p>
    <w:p w14:paraId="032BD825" w14:textId="594D03DD" w:rsidR="00A37B30" w:rsidRDefault="00120CA1" w:rsidP="008A5AE5">
      <w:pPr>
        <w:ind w:firstLine="720"/>
      </w:pPr>
      <w:r>
        <w:t xml:space="preserve">This dissertation heavily focused on applications of classification with supervised learning, with some applications of regression in the final chapter. </w:t>
      </w:r>
      <w:r w:rsidR="003C0183">
        <w:t xml:space="preserve">I briefly mention other machine learning types in chapter 1 that are likely more appropriate for 3D seismic volumes, such as convolutional neural networks used for segmentation tasks. As such models have a higher dimensional output, e.g. a 2D plane or 3D volume instead of a single scalar, and are the basis for many applications of machine learning for seismic facies classification and seismic inversion. Also briefly mentioned in the first chapter, reinforcement learning is one of the machine learning types producing some of the most curious results, such as beating professional players in games highly dependent on strategy. Although I have </w:t>
      </w:r>
      <w:r w:rsidR="001B148C">
        <w:t xml:space="preserve">spoken with researchers evaluating the use of </w:t>
      </w:r>
      <w:r w:rsidR="00170C4F">
        <w:t>reinforcement learning techniques on geoscience problems, I could not find any references on the subject</w:t>
      </w:r>
      <w:r w:rsidR="008A5AE5">
        <w:t>.</w:t>
      </w:r>
      <w:r w:rsidR="00142293">
        <w:t xml:space="preserve"> There are many research areas to be explored</w:t>
      </w:r>
      <w:r w:rsidR="001B148C">
        <w:t xml:space="preserve">. </w:t>
      </w:r>
    </w:p>
    <w:sectPr w:rsidR="00A37B30" w:rsidSect="00A32BB7">
      <w:footerReference w:type="default" r:id="rId93"/>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20973E" w14:textId="77777777" w:rsidR="00CE1F3C" w:rsidRDefault="00CE1F3C" w:rsidP="008E1C26">
      <w:pPr>
        <w:spacing w:line="240" w:lineRule="auto"/>
      </w:pPr>
      <w:r>
        <w:separator/>
      </w:r>
    </w:p>
  </w:endnote>
  <w:endnote w:type="continuationSeparator" w:id="0">
    <w:p w14:paraId="71A96ECD" w14:textId="77777777" w:rsidR="00CE1F3C" w:rsidRDefault="00CE1F3C"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ZYSong18030">
    <w:panose1 w:val="00000000000000000000"/>
    <w:charset w:val="00"/>
    <w:family w:val="roman"/>
    <w:notTrueType/>
    <w:pitch w:val="default"/>
  </w:font>
  <w:font w:name="DejaVu Sans">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AD54D" w14:textId="6740E3DF" w:rsidR="00E03641" w:rsidRDefault="00E03641" w:rsidP="008E1C26">
    <w:pPr>
      <w:pStyle w:val="Footer"/>
      <w:jc w:val="center"/>
    </w:pPr>
    <w:r>
      <w:fldChar w:fldCharType="begin"/>
    </w:r>
    <w:r>
      <w:instrText xml:space="preserve"> PAGE   \* MERGEFORMAT </w:instrText>
    </w:r>
    <w:r>
      <w:fldChar w:fldCharType="separate"/>
    </w:r>
    <w:r w:rsidR="00785420">
      <w:rPr>
        <w:noProof/>
      </w:rPr>
      <w:t>xxii</w:t>
    </w:r>
    <w:r>
      <w:rPr>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DBD14" w14:textId="752E8DFC" w:rsidR="00E03641" w:rsidRDefault="00E03641" w:rsidP="008E1C26">
    <w:pPr>
      <w:pStyle w:val="Footer"/>
      <w:jc w:val="center"/>
    </w:pPr>
    <w:r>
      <w:fldChar w:fldCharType="begin"/>
    </w:r>
    <w:r>
      <w:instrText xml:space="preserve"> PAGE   \* MERGEFORMAT </w:instrText>
    </w:r>
    <w:r>
      <w:fldChar w:fldCharType="separate"/>
    </w:r>
    <w:r w:rsidR="00785420">
      <w:rPr>
        <w:noProof/>
      </w:rPr>
      <w:t>224</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640BC2" w14:textId="77777777" w:rsidR="00CE1F3C" w:rsidRDefault="00CE1F3C" w:rsidP="008E1C26">
      <w:pPr>
        <w:spacing w:line="240" w:lineRule="auto"/>
      </w:pPr>
      <w:r>
        <w:separator/>
      </w:r>
    </w:p>
  </w:footnote>
  <w:footnote w:type="continuationSeparator" w:id="0">
    <w:p w14:paraId="31360012" w14:textId="77777777" w:rsidR="00CE1F3C" w:rsidRDefault="00CE1F3C"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6EEB01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43C2F75E"/>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824E4B4E"/>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A6323B76"/>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CBE0DCE4"/>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940E419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56CC59E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AD0E8C1A"/>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5CFA3F52"/>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99027F1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5CA513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0BE7F36"/>
    <w:multiLevelType w:val="multilevel"/>
    <w:tmpl w:val="9DFC3C7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19021678"/>
    <w:multiLevelType w:val="multilevel"/>
    <w:tmpl w:val="63C4C02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1ABC51E9"/>
    <w:multiLevelType w:val="hybridMultilevel"/>
    <w:tmpl w:val="4B7E74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0232D7"/>
    <w:multiLevelType w:val="hybridMultilevel"/>
    <w:tmpl w:val="89922E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405DE9"/>
    <w:multiLevelType w:val="hybridMultilevel"/>
    <w:tmpl w:val="99B2C3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950EAD"/>
    <w:multiLevelType w:val="hybridMultilevel"/>
    <w:tmpl w:val="1AE4E8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996ABD"/>
    <w:multiLevelType w:val="multilevel"/>
    <w:tmpl w:val="39AA959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2B5D3C84"/>
    <w:multiLevelType w:val="hybridMultilevel"/>
    <w:tmpl w:val="8AF0A8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64135A"/>
    <w:multiLevelType w:val="hybridMultilevel"/>
    <w:tmpl w:val="62E8C3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F84754"/>
    <w:multiLevelType w:val="hybridMultilevel"/>
    <w:tmpl w:val="3A6227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8595AC0"/>
    <w:multiLevelType w:val="hybridMultilevel"/>
    <w:tmpl w:val="4C3E34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237D8B"/>
    <w:multiLevelType w:val="hybridMultilevel"/>
    <w:tmpl w:val="CA0E27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185A79"/>
    <w:multiLevelType w:val="hybridMultilevel"/>
    <w:tmpl w:val="852C86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2B7130"/>
    <w:multiLevelType w:val="hybridMultilevel"/>
    <w:tmpl w:val="3D322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BC36BF"/>
    <w:multiLevelType w:val="multilevel"/>
    <w:tmpl w:val="F098BC3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B0315B"/>
    <w:multiLevelType w:val="multilevel"/>
    <w:tmpl w:val="514AF0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7D13E6C"/>
    <w:multiLevelType w:val="multilevel"/>
    <w:tmpl w:val="93547A6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57EC37DA"/>
    <w:multiLevelType w:val="multilevel"/>
    <w:tmpl w:val="5F3C096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598A54AE"/>
    <w:multiLevelType w:val="hybridMultilevel"/>
    <w:tmpl w:val="179AB8CA"/>
    <w:lvl w:ilvl="0" w:tplc="635C36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2022DB"/>
    <w:multiLevelType w:val="multilevel"/>
    <w:tmpl w:val="A5124F8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8" w15:restartNumberingAfterBreak="0">
    <w:nsid w:val="75911287"/>
    <w:multiLevelType w:val="multilevel"/>
    <w:tmpl w:val="1E66881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0"/>
  </w:num>
  <w:num w:numId="2">
    <w:abstractNumId w:val="11"/>
  </w:num>
  <w:num w:numId="3">
    <w:abstractNumId w:val="22"/>
  </w:num>
  <w:num w:numId="4">
    <w:abstractNumId w:val="30"/>
  </w:num>
  <w:num w:numId="5">
    <w:abstractNumId w:val="28"/>
  </w:num>
  <w:num w:numId="6">
    <w:abstractNumId w:val="31"/>
  </w:num>
  <w:num w:numId="7">
    <w:abstractNumId w:val="39"/>
  </w:num>
  <w:num w:numId="8">
    <w:abstractNumId w:val="25"/>
  </w:num>
  <w:num w:numId="9">
    <w:abstractNumId w:val="36"/>
  </w:num>
  <w:num w:numId="10">
    <w:abstractNumId w:val="10"/>
  </w:num>
  <w:num w:numId="11">
    <w:abstractNumId w:val="7"/>
  </w:num>
  <w:num w:numId="12">
    <w:abstractNumId w:val="6"/>
  </w:num>
  <w:num w:numId="13">
    <w:abstractNumId w:val="5"/>
  </w:num>
  <w:num w:numId="14">
    <w:abstractNumId w:val="9"/>
  </w:num>
  <w:num w:numId="15">
    <w:abstractNumId w:val="4"/>
  </w:num>
  <w:num w:numId="16">
    <w:abstractNumId w:val="3"/>
  </w:num>
  <w:num w:numId="17">
    <w:abstractNumId w:val="2"/>
  </w:num>
  <w:num w:numId="18">
    <w:abstractNumId w:val="1"/>
  </w:num>
  <w:num w:numId="19">
    <w:abstractNumId w:val="0"/>
  </w:num>
  <w:num w:numId="20">
    <w:abstractNumId w:val="8"/>
  </w:num>
  <w:num w:numId="21">
    <w:abstractNumId w:val="19"/>
  </w:num>
  <w:num w:numId="22">
    <w:abstractNumId w:val="32"/>
  </w:num>
  <w:num w:numId="23">
    <w:abstractNumId w:val="17"/>
  </w:num>
  <w:num w:numId="24">
    <w:abstractNumId w:val="15"/>
  </w:num>
  <w:num w:numId="25">
    <w:abstractNumId w:val="23"/>
  </w:num>
  <w:num w:numId="26">
    <w:abstractNumId w:val="16"/>
  </w:num>
  <w:num w:numId="27">
    <w:abstractNumId w:val="26"/>
  </w:num>
  <w:num w:numId="28">
    <w:abstractNumId w:val="24"/>
  </w:num>
  <w:num w:numId="29">
    <w:abstractNumId w:val="21"/>
  </w:num>
  <w:num w:numId="30">
    <w:abstractNumId w:val="20"/>
  </w:num>
  <w:num w:numId="31">
    <w:abstractNumId w:val="14"/>
  </w:num>
  <w:num w:numId="32">
    <w:abstractNumId w:val="35"/>
  </w:num>
  <w:num w:numId="33">
    <w:abstractNumId w:val="27"/>
  </w:num>
  <w:num w:numId="34">
    <w:abstractNumId w:val="33"/>
  </w:num>
  <w:num w:numId="35">
    <w:abstractNumId w:val="38"/>
  </w:num>
  <w:num w:numId="36">
    <w:abstractNumId w:val="29"/>
  </w:num>
  <w:num w:numId="37">
    <w:abstractNumId w:val="34"/>
  </w:num>
  <w:num w:numId="38">
    <w:abstractNumId w:val="12"/>
  </w:num>
  <w:num w:numId="39">
    <w:abstractNumId w:val="37"/>
  </w:num>
  <w:num w:numId="40">
    <w:abstractNumId w:val="18"/>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0131B"/>
    <w:rsid w:val="00010B32"/>
    <w:rsid w:val="00025A12"/>
    <w:rsid w:val="00030D30"/>
    <w:rsid w:val="00041638"/>
    <w:rsid w:val="000704AB"/>
    <w:rsid w:val="00076B36"/>
    <w:rsid w:val="00077F0A"/>
    <w:rsid w:val="0008176F"/>
    <w:rsid w:val="00083581"/>
    <w:rsid w:val="000844F6"/>
    <w:rsid w:val="000962BB"/>
    <w:rsid w:val="000C18E6"/>
    <w:rsid w:val="000C24B8"/>
    <w:rsid w:val="000D0CE4"/>
    <w:rsid w:val="000D7F10"/>
    <w:rsid w:val="000E191D"/>
    <w:rsid w:val="000F0885"/>
    <w:rsid w:val="000F56FF"/>
    <w:rsid w:val="00101F07"/>
    <w:rsid w:val="00105BBB"/>
    <w:rsid w:val="00106C83"/>
    <w:rsid w:val="001111B0"/>
    <w:rsid w:val="00111915"/>
    <w:rsid w:val="0011424B"/>
    <w:rsid w:val="00116E9B"/>
    <w:rsid w:val="00120CA1"/>
    <w:rsid w:val="001244EF"/>
    <w:rsid w:val="001315CA"/>
    <w:rsid w:val="00133F19"/>
    <w:rsid w:val="00136382"/>
    <w:rsid w:val="00136B2A"/>
    <w:rsid w:val="00142293"/>
    <w:rsid w:val="00144B35"/>
    <w:rsid w:val="00170C4F"/>
    <w:rsid w:val="00172240"/>
    <w:rsid w:val="001726CB"/>
    <w:rsid w:val="001735C1"/>
    <w:rsid w:val="00174266"/>
    <w:rsid w:val="00177E36"/>
    <w:rsid w:val="00180428"/>
    <w:rsid w:val="00187691"/>
    <w:rsid w:val="0019756A"/>
    <w:rsid w:val="001B12EF"/>
    <w:rsid w:val="001B148C"/>
    <w:rsid w:val="001C3B63"/>
    <w:rsid w:val="001C535D"/>
    <w:rsid w:val="001D1014"/>
    <w:rsid w:val="001D724A"/>
    <w:rsid w:val="001E05B9"/>
    <w:rsid w:val="001E2404"/>
    <w:rsid w:val="001E7A6B"/>
    <w:rsid w:val="002147D8"/>
    <w:rsid w:val="002209DD"/>
    <w:rsid w:val="0023049E"/>
    <w:rsid w:val="0023375C"/>
    <w:rsid w:val="00260F9A"/>
    <w:rsid w:val="00271ED6"/>
    <w:rsid w:val="00272CAD"/>
    <w:rsid w:val="002853AD"/>
    <w:rsid w:val="00294AE7"/>
    <w:rsid w:val="002B28CF"/>
    <w:rsid w:val="002D6E20"/>
    <w:rsid w:val="002E157F"/>
    <w:rsid w:val="002F0C71"/>
    <w:rsid w:val="002F1077"/>
    <w:rsid w:val="00301A5F"/>
    <w:rsid w:val="0030486D"/>
    <w:rsid w:val="0030639F"/>
    <w:rsid w:val="00306A27"/>
    <w:rsid w:val="00306FF7"/>
    <w:rsid w:val="0030767B"/>
    <w:rsid w:val="00307A6B"/>
    <w:rsid w:val="0031048F"/>
    <w:rsid w:val="00314F3F"/>
    <w:rsid w:val="00315BBC"/>
    <w:rsid w:val="00316757"/>
    <w:rsid w:val="003218D0"/>
    <w:rsid w:val="003240AA"/>
    <w:rsid w:val="00325004"/>
    <w:rsid w:val="00326D7B"/>
    <w:rsid w:val="00332B33"/>
    <w:rsid w:val="00337248"/>
    <w:rsid w:val="00343673"/>
    <w:rsid w:val="003450B1"/>
    <w:rsid w:val="00347C4E"/>
    <w:rsid w:val="00355913"/>
    <w:rsid w:val="003635D6"/>
    <w:rsid w:val="00364385"/>
    <w:rsid w:val="00371F9C"/>
    <w:rsid w:val="003815D0"/>
    <w:rsid w:val="00385E9D"/>
    <w:rsid w:val="00386E26"/>
    <w:rsid w:val="00390019"/>
    <w:rsid w:val="00393159"/>
    <w:rsid w:val="003937A1"/>
    <w:rsid w:val="00396207"/>
    <w:rsid w:val="00397ACF"/>
    <w:rsid w:val="003A060D"/>
    <w:rsid w:val="003A134B"/>
    <w:rsid w:val="003B73A8"/>
    <w:rsid w:val="003B763D"/>
    <w:rsid w:val="003B7B22"/>
    <w:rsid w:val="003C0183"/>
    <w:rsid w:val="003D30E3"/>
    <w:rsid w:val="003E22B5"/>
    <w:rsid w:val="003F1757"/>
    <w:rsid w:val="003F2167"/>
    <w:rsid w:val="00401A31"/>
    <w:rsid w:val="004024ED"/>
    <w:rsid w:val="0041769D"/>
    <w:rsid w:val="004431F8"/>
    <w:rsid w:val="00444FEE"/>
    <w:rsid w:val="004548FB"/>
    <w:rsid w:val="00461AA9"/>
    <w:rsid w:val="00463EE9"/>
    <w:rsid w:val="004713B9"/>
    <w:rsid w:val="00472B7F"/>
    <w:rsid w:val="00497143"/>
    <w:rsid w:val="004B55DC"/>
    <w:rsid w:val="004C10C9"/>
    <w:rsid w:val="004C46BF"/>
    <w:rsid w:val="004D5986"/>
    <w:rsid w:val="004D6E8D"/>
    <w:rsid w:val="004E1599"/>
    <w:rsid w:val="004E188C"/>
    <w:rsid w:val="004F40DE"/>
    <w:rsid w:val="004F4884"/>
    <w:rsid w:val="005044EC"/>
    <w:rsid w:val="00511FBA"/>
    <w:rsid w:val="0053028C"/>
    <w:rsid w:val="00532F92"/>
    <w:rsid w:val="0053410A"/>
    <w:rsid w:val="005354E8"/>
    <w:rsid w:val="00547BE8"/>
    <w:rsid w:val="00566784"/>
    <w:rsid w:val="00571900"/>
    <w:rsid w:val="0057775C"/>
    <w:rsid w:val="00582EBC"/>
    <w:rsid w:val="0059258C"/>
    <w:rsid w:val="005966D6"/>
    <w:rsid w:val="00596960"/>
    <w:rsid w:val="005A2B79"/>
    <w:rsid w:val="005A5AE9"/>
    <w:rsid w:val="005A60FA"/>
    <w:rsid w:val="005A6984"/>
    <w:rsid w:val="005A723B"/>
    <w:rsid w:val="005B0705"/>
    <w:rsid w:val="005C67D8"/>
    <w:rsid w:val="005C7103"/>
    <w:rsid w:val="005D583B"/>
    <w:rsid w:val="00607DF1"/>
    <w:rsid w:val="006132E0"/>
    <w:rsid w:val="00616A57"/>
    <w:rsid w:val="006200C1"/>
    <w:rsid w:val="006273C0"/>
    <w:rsid w:val="00633C74"/>
    <w:rsid w:val="006459A1"/>
    <w:rsid w:val="00645A8F"/>
    <w:rsid w:val="00653C73"/>
    <w:rsid w:val="00657447"/>
    <w:rsid w:val="00660B74"/>
    <w:rsid w:val="00661C13"/>
    <w:rsid w:val="00687303"/>
    <w:rsid w:val="00691AC3"/>
    <w:rsid w:val="0069415A"/>
    <w:rsid w:val="006A0DC8"/>
    <w:rsid w:val="006A16BA"/>
    <w:rsid w:val="006A6340"/>
    <w:rsid w:val="006B1D41"/>
    <w:rsid w:val="006B5145"/>
    <w:rsid w:val="006B5C7A"/>
    <w:rsid w:val="006D5CBE"/>
    <w:rsid w:val="006E3332"/>
    <w:rsid w:val="006F10CE"/>
    <w:rsid w:val="006F7E97"/>
    <w:rsid w:val="0070017B"/>
    <w:rsid w:val="00703127"/>
    <w:rsid w:val="00705086"/>
    <w:rsid w:val="007128AF"/>
    <w:rsid w:val="0071435E"/>
    <w:rsid w:val="00720B64"/>
    <w:rsid w:val="00730F0A"/>
    <w:rsid w:val="00746E16"/>
    <w:rsid w:val="007478E4"/>
    <w:rsid w:val="007510EC"/>
    <w:rsid w:val="007555AF"/>
    <w:rsid w:val="007559B1"/>
    <w:rsid w:val="00761FDB"/>
    <w:rsid w:val="00766531"/>
    <w:rsid w:val="007671C5"/>
    <w:rsid w:val="007739FB"/>
    <w:rsid w:val="00775701"/>
    <w:rsid w:val="00777E64"/>
    <w:rsid w:val="00785420"/>
    <w:rsid w:val="0078679A"/>
    <w:rsid w:val="007A2626"/>
    <w:rsid w:val="007A30C4"/>
    <w:rsid w:val="007A3960"/>
    <w:rsid w:val="007A3C32"/>
    <w:rsid w:val="007B3298"/>
    <w:rsid w:val="007E5847"/>
    <w:rsid w:val="007F2648"/>
    <w:rsid w:val="007F79FA"/>
    <w:rsid w:val="007F7A84"/>
    <w:rsid w:val="00806330"/>
    <w:rsid w:val="00814BE7"/>
    <w:rsid w:val="00825477"/>
    <w:rsid w:val="00844477"/>
    <w:rsid w:val="008450F3"/>
    <w:rsid w:val="00851C56"/>
    <w:rsid w:val="00857B42"/>
    <w:rsid w:val="00860BCD"/>
    <w:rsid w:val="0086523C"/>
    <w:rsid w:val="00877916"/>
    <w:rsid w:val="008809F9"/>
    <w:rsid w:val="00890A0B"/>
    <w:rsid w:val="00895061"/>
    <w:rsid w:val="008A3965"/>
    <w:rsid w:val="008A4233"/>
    <w:rsid w:val="008A4F22"/>
    <w:rsid w:val="008A5AE5"/>
    <w:rsid w:val="008A6E8D"/>
    <w:rsid w:val="008A7227"/>
    <w:rsid w:val="008A7CF8"/>
    <w:rsid w:val="008B2228"/>
    <w:rsid w:val="008C59DB"/>
    <w:rsid w:val="008C66D4"/>
    <w:rsid w:val="008D2B5E"/>
    <w:rsid w:val="008E1C26"/>
    <w:rsid w:val="008E1CF0"/>
    <w:rsid w:val="008F1822"/>
    <w:rsid w:val="00905A97"/>
    <w:rsid w:val="00917D6C"/>
    <w:rsid w:val="009245C5"/>
    <w:rsid w:val="00924721"/>
    <w:rsid w:val="00927233"/>
    <w:rsid w:val="00941CCD"/>
    <w:rsid w:val="00942B6C"/>
    <w:rsid w:val="00943270"/>
    <w:rsid w:val="009501BE"/>
    <w:rsid w:val="009671ED"/>
    <w:rsid w:val="00980548"/>
    <w:rsid w:val="00981B1B"/>
    <w:rsid w:val="00992C28"/>
    <w:rsid w:val="009A56FB"/>
    <w:rsid w:val="009B361B"/>
    <w:rsid w:val="009B49FC"/>
    <w:rsid w:val="009C4FEF"/>
    <w:rsid w:val="009D6DCB"/>
    <w:rsid w:val="009E14A2"/>
    <w:rsid w:val="009E2892"/>
    <w:rsid w:val="009E29A4"/>
    <w:rsid w:val="009E4F5A"/>
    <w:rsid w:val="00A0094B"/>
    <w:rsid w:val="00A07FBA"/>
    <w:rsid w:val="00A32BB7"/>
    <w:rsid w:val="00A37B30"/>
    <w:rsid w:val="00A438E6"/>
    <w:rsid w:val="00A460F3"/>
    <w:rsid w:val="00A50007"/>
    <w:rsid w:val="00A5626C"/>
    <w:rsid w:val="00A57BC6"/>
    <w:rsid w:val="00A6200D"/>
    <w:rsid w:val="00A661F6"/>
    <w:rsid w:val="00A76D67"/>
    <w:rsid w:val="00A773AA"/>
    <w:rsid w:val="00A80751"/>
    <w:rsid w:val="00A82C54"/>
    <w:rsid w:val="00A8771A"/>
    <w:rsid w:val="00A90647"/>
    <w:rsid w:val="00A96143"/>
    <w:rsid w:val="00AA0B13"/>
    <w:rsid w:val="00AA1B3B"/>
    <w:rsid w:val="00AA4AED"/>
    <w:rsid w:val="00AA4C55"/>
    <w:rsid w:val="00AA6197"/>
    <w:rsid w:val="00AC5E50"/>
    <w:rsid w:val="00AD1143"/>
    <w:rsid w:val="00AD2F03"/>
    <w:rsid w:val="00AE3E65"/>
    <w:rsid w:val="00AE6F78"/>
    <w:rsid w:val="00AE7E7F"/>
    <w:rsid w:val="00AF0BB2"/>
    <w:rsid w:val="00B13AC0"/>
    <w:rsid w:val="00B242CA"/>
    <w:rsid w:val="00B25279"/>
    <w:rsid w:val="00B26394"/>
    <w:rsid w:val="00B26AF9"/>
    <w:rsid w:val="00B36426"/>
    <w:rsid w:val="00B62953"/>
    <w:rsid w:val="00B9170A"/>
    <w:rsid w:val="00B91E22"/>
    <w:rsid w:val="00B935DC"/>
    <w:rsid w:val="00B93ECE"/>
    <w:rsid w:val="00BA1A3A"/>
    <w:rsid w:val="00BB2DDE"/>
    <w:rsid w:val="00BB3F72"/>
    <w:rsid w:val="00BB678C"/>
    <w:rsid w:val="00BC76D5"/>
    <w:rsid w:val="00BD1142"/>
    <w:rsid w:val="00BD2769"/>
    <w:rsid w:val="00BD3F15"/>
    <w:rsid w:val="00BD45C8"/>
    <w:rsid w:val="00BD5E7E"/>
    <w:rsid w:val="00BD6CA1"/>
    <w:rsid w:val="00BD7D35"/>
    <w:rsid w:val="00BE451E"/>
    <w:rsid w:val="00C13C89"/>
    <w:rsid w:val="00C16C66"/>
    <w:rsid w:val="00C16F40"/>
    <w:rsid w:val="00C17359"/>
    <w:rsid w:val="00C23B6C"/>
    <w:rsid w:val="00C30CCE"/>
    <w:rsid w:val="00C34207"/>
    <w:rsid w:val="00C36E17"/>
    <w:rsid w:val="00C3745C"/>
    <w:rsid w:val="00C378FA"/>
    <w:rsid w:val="00C4062A"/>
    <w:rsid w:val="00C4480F"/>
    <w:rsid w:val="00C52A22"/>
    <w:rsid w:val="00C61CB3"/>
    <w:rsid w:val="00C63C23"/>
    <w:rsid w:val="00C653C3"/>
    <w:rsid w:val="00C6706E"/>
    <w:rsid w:val="00C817BE"/>
    <w:rsid w:val="00C8326D"/>
    <w:rsid w:val="00C911EA"/>
    <w:rsid w:val="00C92079"/>
    <w:rsid w:val="00C94B7B"/>
    <w:rsid w:val="00CA3FDF"/>
    <w:rsid w:val="00CD0846"/>
    <w:rsid w:val="00CD7575"/>
    <w:rsid w:val="00CE1629"/>
    <w:rsid w:val="00CE1F3C"/>
    <w:rsid w:val="00D065D4"/>
    <w:rsid w:val="00D23514"/>
    <w:rsid w:val="00D26676"/>
    <w:rsid w:val="00D332B1"/>
    <w:rsid w:val="00D332D0"/>
    <w:rsid w:val="00D417E2"/>
    <w:rsid w:val="00D418C5"/>
    <w:rsid w:val="00D438D2"/>
    <w:rsid w:val="00D522B0"/>
    <w:rsid w:val="00D72088"/>
    <w:rsid w:val="00D734F9"/>
    <w:rsid w:val="00D82744"/>
    <w:rsid w:val="00D85725"/>
    <w:rsid w:val="00DA0169"/>
    <w:rsid w:val="00DA10D5"/>
    <w:rsid w:val="00DA1971"/>
    <w:rsid w:val="00DB664C"/>
    <w:rsid w:val="00DC3A87"/>
    <w:rsid w:val="00DD1A63"/>
    <w:rsid w:val="00DE1EF7"/>
    <w:rsid w:val="00DE50F8"/>
    <w:rsid w:val="00DF7412"/>
    <w:rsid w:val="00E01A7D"/>
    <w:rsid w:val="00E03641"/>
    <w:rsid w:val="00E0501B"/>
    <w:rsid w:val="00E13792"/>
    <w:rsid w:val="00E13ED9"/>
    <w:rsid w:val="00E17C66"/>
    <w:rsid w:val="00E20B9A"/>
    <w:rsid w:val="00E219C7"/>
    <w:rsid w:val="00E252B0"/>
    <w:rsid w:val="00E4417E"/>
    <w:rsid w:val="00E453E8"/>
    <w:rsid w:val="00E53D7E"/>
    <w:rsid w:val="00E5404D"/>
    <w:rsid w:val="00E56D55"/>
    <w:rsid w:val="00E6062A"/>
    <w:rsid w:val="00E65C03"/>
    <w:rsid w:val="00E7388D"/>
    <w:rsid w:val="00E77477"/>
    <w:rsid w:val="00E77572"/>
    <w:rsid w:val="00E77D88"/>
    <w:rsid w:val="00E915E0"/>
    <w:rsid w:val="00E948D0"/>
    <w:rsid w:val="00EA3AD5"/>
    <w:rsid w:val="00EA7E4F"/>
    <w:rsid w:val="00EC35F8"/>
    <w:rsid w:val="00EC7766"/>
    <w:rsid w:val="00EE1E3C"/>
    <w:rsid w:val="00EE3797"/>
    <w:rsid w:val="00EF78AB"/>
    <w:rsid w:val="00F061D4"/>
    <w:rsid w:val="00F20080"/>
    <w:rsid w:val="00F27248"/>
    <w:rsid w:val="00F46A49"/>
    <w:rsid w:val="00F51A24"/>
    <w:rsid w:val="00F6021C"/>
    <w:rsid w:val="00F70314"/>
    <w:rsid w:val="00F73707"/>
    <w:rsid w:val="00FA2425"/>
    <w:rsid w:val="00FB22E6"/>
    <w:rsid w:val="00FB6008"/>
    <w:rsid w:val="00FC06C4"/>
    <w:rsid w:val="00FC5D6F"/>
    <w:rsid w:val="00FC6075"/>
    <w:rsid w:val="00FC6A58"/>
    <w:rsid w:val="00FE43A9"/>
    <w:rsid w:val="00FF3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F15048"/>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C6706E"/>
    <w:pPr>
      <w:spacing w:line="480" w:lineRule="auto"/>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C6706E"/>
    <w:pPr>
      <w:keepNext/>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unhideWhenUsed/>
    <w:qFormat/>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706E"/>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C6706E"/>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autoRedefine/>
    <w:uiPriority w:val="35"/>
    <w:unhideWhenUsed/>
    <w:qFormat/>
    <w:rsid w:val="00607DF1"/>
    <w:pPr>
      <w:spacing w:line="240" w:lineRule="auto"/>
    </w:pPr>
    <w:rPr>
      <w:rFonts w:ascii="Times New Roman" w:hAnsi="Times New Roman"/>
      <w:bCs/>
      <w:iCs/>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qFormat/>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qFormat/>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qFormat/>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qFormat/>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4F40DE"/>
    <w:pPr>
      <w:spacing w:before="240" w:after="120"/>
    </w:pPr>
    <w:rPr>
      <w:rFonts w:cstheme="minorHAnsi"/>
      <w:bCs/>
      <w:szCs w:val="20"/>
    </w:rPr>
  </w:style>
  <w:style w:type="paragraph" w:styleId="TOC2">
    <w:name w:val="toc 2"/>
    <w:basedOn w:val="Normal"/>
    <w:next w:val="Normal"/>
    <w:autoRedefine/>
    <w:uiPriority w:val="39"/>
    <w:unhideWhenUsed/>
    <w:rsid w:val="004F40DE"/>
    <w:pPr>
      <w:spacing w:before="120"/>
      <w:ind w:left="240"/>
    </w:pPr>
    <w:rPr>
      <w:rFonts w:cstheme="minorHAnsi"/>
      <w:iCs/>
      <w:szCs w:val="20"/>
    </w:r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4F40DE"/>
    <w:pPr>
      <w:ind w:left="480"/>
    </w:pPr>
    <w:rPr>
      <w:rFonts w:cstheme="minorHAnsi"/>
      <w:szCs w:val="20"/>
    </w:r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table" w:styleId="GridTable7Colorful">
    <w:name w:val="Grid Table 7 Colorful"/>
    <w:basedOn w:val="TableNormal"/>
    <w:uiPriority w:val="52"/>
    <w:rsid w:val="00547BE8"/>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SEGCategoryheading1">
    <w:name w:val="SEG Category heading 1"/>
    <w:basedOn w:val="Normal"/>
    <w:next w:val="TOC1"/>
    <w:qFormat/>
    <w:rsid w:val="005044EC"/>
    <w:pPr>
      <w:spacing w:line="240" w:lineRule="auto"/>
      <w:jc w:val="center"/>
    </w:pPr>
    <w:rPr>
      <w:rFonts w:ascii="Times" w:eastAsiaTheme="minorEastAsia" w:hAnsi="Times" w:cstheme="minorBidi"/>
      <w:lang w:bidi="ar-SA"/>
    </w:rPr>
  </w:style>
  <w:style w:type="character" w:styleId="PageNumber">
    <w:name w:val="page number"/>
    <w:basedOn w:val="DefaultParagraphFont"/>
    <w:uiPriority w:val="99"/>
    <w:semiHidden/>
    <w:unhideWhenUsed/>
    <w:rsid w:val="005044EC"/>
  </w:style>
  <w:style w:type="paragraph" w:styleId="NormalWeb">
    <w:name w:val="Normal (Web)"/>
    <w:basedOn w:val="Normal"/>
    <w:uiPriority w:val="99"/>
    <w:semiHidden/>
    <w:unhideWhenUsed/>
    <w:qFormat/>
    <w:rsid w:val="005044EC"/>
    <w:pPr>
      <w:spacing w:before="100" w:beforeAutospacing="1" w:after="100" w:afterAutospacing="1" w:line="240" w:lineRule="auto"/>
    </w:pPr>
    <w:rPr>
      <w:rFonts w:ascii="Times" w:eastAsiaTheme="minorEastAsia" w:hAnsi="Times"/>
      <w:sz w:val="20"/>
      <w:szCs w:val="20"/>
      <w:lang w:bidi="ar-SA"/>
    </w:rPr>
  </w:style>
  <w:style w:type="paragraph" w:customStyle="1" w:styleId="SEGBodyText">
    <w:name w:val="SEG Body Text"/>
    <w:basedOn w:val="NormalWeb"/>
    <w:qFormat/>
    <w:rsid w:val="005044EC"/>
    <w:pPr>
      <w:spacing w:line="480" w:lineRule="auto"/>
      <w:ind w:firstLine="720"/>
    </w:pPr>
    <w:rPr>
      <w:sz w:val="24"/>
      <w:szCs w:val="24"/>
    </w:rPr>
  </w:style>
  <w:style w:type="paragraph" w:customStyle="1" w:styleId="SEGCategory2heading">
    <w:name w:val="SEG Category 2 heading"/>
    <w:basedOn w:val="SEGBodyText"/>
    <w:qFormat/>
    <w:rsid w:val="005044EC"/>
    <w:rPr>
      <w:rFonts w:ascii="Times New Roman" w:hAnsi="Times New Roman"/>
      <w:b/>
      <w:noProof/>
    </w:rPr>
  </w:style>
  <w:style w:type="paragraph" w:customStyle="1" w:styleId="SEGCategory3heading">
    <w:name w:val="SEG Category 3 heading"/>
    <w:basedOn w:val="SEGBodyText"/>
    <w:qFormat/>
    <w:rsid w:val="005044EC"/>
    <w:rPr>
      <w:rFonts w:ascii="Times New Roman" w:hAnsi="Times New Roman"/>
      <w:i/>
      <w:noProof/>
    </w:rPr>
  </w:style>
  <w:style w:type="paragraph" w:customStyle="1" w:styleId="SEGCategory4heading">
    <w:name w:val="SEG Category 4 heading"/>
    <w:basedOn w:val="SEGBodyText"/>
    <w:qFormat/>
    <w:rsid w:val="005044EC"/>
    <w:rPr>
      <w:rFonts w:ascii="Times New Roman" w:hAnsi="Times New Roman"/>
      <w:noProof/>
    </w:rPr>
  </w:style>
  <w:style w:type="paragraph" w:customStyle="1" w:styleId="section">
    <w:name w:val="section"/>
    <w:basedOn w:val="Normal"/>
    <w:rsid w:val="005044EC"/>
    <w:pPr>
      <w:spacing w:before="100" w:beforeAutospacing="1" w:after="100" w:afterAutospacing="1" w:line="240" w:lineRule="auto"/>
    </w:pPr>
    <w:rPr>
      <w:rFonts w:ascii="Times" w:eastAsiaTheme="minorEastAsia" w:hAnsi="Times" w:cstheme="minorBidi"/>
      <w:sz w:val="20"/>
      <w:szCs w:val="20"/>
      <w:lang w:bidi="ar-SA"/>
    </w:rPr>
  </w:style>
  <w:style w:type="paragraph" w:customStyle="1" w:styleId="SEGCategory1heading">
    <w:name w:val="SEG Category 1 heading"/>
    <w:basedOn w:val="Normal"/>
    <w:next w:val="TOC1"/>
    <w:rsid w:val="005044EC"/>
    <w:pPr>
      <w:spacing w:line="240" w:lineRule="auto"/>
      <w:jc w:val="center"/>
    </w:pPr>
    <w:rPr>
      <w:rFonts w:ascii="Times" w:eastAsiaTheme="minorEastAsia" w:hAnsi="Times" w:cstheme="minorBidi"/>
      <w:lang w:bidi="ar-SA"/>
    </w:rPr>
  </w:style>
  <w:style w:type="character" w:styleId="FollowedHyperlink">
    <w:name w:val="FollowedHyperlink"/>
    <w:basedOn w:val="DefaultParagraphFont"/>
    <w:uiPriority w:val="99"/>
    <w:semiHidden/>
    <w:unhideWhenUsed/>
    <w:qFormat/>
    <w:rsid w:val="005044EC"/>
    <w:rPr>
      <w:color w:val="800080" w:themeColor="followedHyperlink"/>
      <w:u w:val="single"/>
    </w:rPr>
  </w:style>
  <w:style w:type="paragraph" w:customStyle="1" w:styleId="Author">
    <w:name w:val="Author"/>
    <w:basedOn w:val="Normal"/>
    <w:rsid w:val="005044EC"/>
    <w:pPr>
      <w:spacing w:line="240" w:lineRule="auto"/>
    </w:pPr>
    <w:rPr>
      <w:rFonts w:ascii="Times New Roman" w:hAnsi="Times New Roman"/>
      <w:b/>
      <w:lang w:bidi="ar-SA"/>
    </w:rPr>
  </w:style>
  <w:style w:type="paragraph" w:customStyle="1" w:styleId="AuthorAffiliation">
    <w:name w:val="Author Affiliation"/>
    <w:basedOn w:val="Normal"/>
    <w:rsid w:val="005044EC"/>
    <w:pPr>
      <w:spacing w:line="240" w:lineRule="auto"/>
    </w:pPr>
    <w:rPr>
      <w:rFonts w:ascii="Times New Roman" w:hAnsi="Times New Roman"/>
      <w:i/>
      <w:lang w:bidi="ar-SA"/>
    </w:rPr>
  </w:style>
  <w:style w:type="character" w:styleId="FootnoteReference">
    <w:name w:val="footnote reference"/>
    <w:uiPriority w:val="99"/>
    <w:semiHidden/>
    <w:unhideWhenUsed/>
    <w:rsid w:val="005044EC"/>
    <w:rPr>
      <w:vertAlign w:val="superscript"/>
    </w:rPr>
  </w:style>
  <w:style w:type="table" w:styleId="PlainTable5">
    <w:name w:val="Plain Table 5"/>
    <w:basedOn w:val="TableNormal"/>
    <w:uiPriority w:val="45"/>
    <w:rsid w:val="005044EC"/>
    <w:rPr>
      <w:rFonts w:asciiTheme="minorHAnsi" w:eastAsiaTheme="minorEastAsia" w:hAnsiTheme="minorHAnsi" w:cstheme="minorBidi"/>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CommentReference">
    <w:name w:val="annotation reference"/>
    <w:basedOn w:val="DefaultParagraphFont"/>
    <w:uiPriority w:val="99"/>
    <w:semiHidden/>
    <w:unhideWhenUsed/>
    <w:rsid w:val="005044EC"/>
    <w:rPr>
      <w:sz w:val="16"/>
      <w:szCs w:val="16"/>
    </w:rPr>
  </w:style>
  <w:style w:type="paragraph" w:styleId="CommentText">
    <w:name w:val="annotation text"/>
    <w:basedOn w:val="Normal"/>
    <w:link w:val="CommentTextChar"/>
    <w:uiPriority w:val="99"/>
    <w:semiHidden/>
    <w:unhideWhenUsed/>
    <w:rsid w:val="005044EC"/>
    <w:pPr>
      <w:spacing w:line="240" w:lineRule="auto"/>
    </w:pPr>
    <w:rPr>
      <w:rFonts w:eastAsiaTheme="minorEastAsia" w:cstheme="minorBidi"/>
      <w:sz w:val="20"/>
      <w:szCs w:val="20"/>
      <w:lang w:bidi="ar-SA"/>
    </w:rPr>
  </w:style>
  <w:style w:type="character" w:customStyle="1" w:styleId="CommentTextChar">
    <w:name w:val="Comment Text Char"/>
    <w:basedOn w:val="DefaultParagraphFont"/>
    <w:link w:val="CommentText"/>
    <w:uiPriority w:val="99"/>
    <w:semiHidden/>
    <w:rsid w:val="005044EC"/>
    <w:rPr>
      <w:rFonts w:asciiTheme="minorHAnsi" w:eastAsiaTheme="minorEastAsia" w:hAnsiTheme="minorHAnsi" w:cstheme="minorBidi"/>
    </w:rPr>
  </w:style>
  <w:style w:type="paragraph" w:styleId="CommentSubject">
    <w:name w:val="annotation subject"/>
    <w:basedOn w:val="CommentText"/>
    <w:next w:val="CommentText"/>
    <w:link w:val="CommentSubjectChar"/>
    <w:uiPriority w:val="99"/>
    <w:semiHidden/>
    <w:unhideWhenUsed/>
    <w:rsid w:val="005044EC"/>
    <w:rPr>
      <w:b/>
      <w:bCs/>
    </w:rPr>
  </w:style>
  <w:style w:type="character" w:customStyle="1" w:styleId="CommentSubjectChar">
    <w:name w:val="Comment Subject Char"/>
    <w:basedOn w:val="CommentTextChar"/>
    <w:link w:val="CommentSubject"/>
    <w:uiPriority w:val="99"/>
    <w:semiHidden/>
    <w:rsid w:val="005044EC"/>
    <w:rPr>
      <w:rFonts w:asciiTheme="minorHAnsi" w:eastAsiaTheme="minorEastAsia" w:hAnsiTheme="minorHAnsi" w:cstheme="minorBidi"/>
      <w:b/>
      <w:bCs/>
    </w:rPr>
  </w:style>
  <w:style w:type="character" w:customStyle="1" w:styleId="bibetal">
    <w:name w:val="bib_etal"/>
    <w:rsid w:val="005044EC"/>
    <w:rPr>
      <w:sz w:val="24"/>
      <w:bdr w:val="none" w:sz="0" w:space="0" w:color="auto"/>
      <w:shd w:val="clear" w:color="auto" w:fill="008080"/>
    </w:rPr>
  </w:style>
  <w:style w:type="paragraph" w:styleId="Revision">
    <w:name w:val="Revision"/>
    <w:hidden/>
    <w:uiPriority w:val="99"/>
    <w:semiHidden/>
    <w:rsid w:val="005044EC"/>
    <w:rPr>
      <w:rFonts w:asciiTheme="minorHAnsi" w:eastAsiaTheme="minorEastAsia" w:hAnsiTheme="minorHAnsi" w:cstheme="minorBidi"/>
      <w:sz w:val="24"/>
      <w:szCs w:val="24"/>
    </w:rPr>
  </w:style>
  <w:style w:type="character" w:styleId="LineNumber">
    <w:name w:val="line number"/>
    <w:basedOn w:val="DefaultParagraphFont"/>
    <w:uiPriority w:val="99"/>
    <w:semiHidden/>
    <w:unhideWhenUsed/>
    <w:rsid w:val="004713B9"/>
  </w:style>
  <w:style w:type="character" w:customStyle="1" w:styleId="bibarticle">
    <w:name w:val="bib_article"/>
    <w:rsid w:val="004713B9"/>
    <w:rPr>
      <w:sz w:val="24"/>
      <w:bdr w:val="none" w:sz="0" w:space="0" w:color="auto"/>
      <w:shd w:val="clear" w:color="auto" w:fill="00FFFF"/>
    </w:rPr>
  </w:style>
  <w:style w:type="character" w:customStyle="1" w:styleId="bibdoi">
    <w:name w:val="bib_doi"/>
    <w:rsid w:val="004713B9"/>
    <w:rPr>
      <w:sz w:val="24"/>
      <w:bdr w:val="none" w:sz="0" w:space="0" w:color="auto"/>
      <w:shd w:val="clear" w:color="auto" w:fill="00FF00"/>
    </w:rPr>
  </w:style>
  <w:style w:type="character" w:customStyle="1" w:styleId="bibfname">
    <w:name w:val="bib_fname"/>
    <w:rsid w:val="004713B9"/>
    <w:rPr>
      <w:sz w:val="24"/>
      <w:bdr w:val="none" w:sz="0" w:space="0" w:color="auto"/>
      <w:shd w:val="clear" w:color="auto" w:fill="FFFF00"/>
    </w:rPr>
  </w:style>
  <w:style w:type="character" w:customStyle="1" w:styleId="bibfpage">
    <w:name w:val="bib_fpage"/>
    <w:rsid w:val="004713B9"/>
    <w:rPr>
      <w:sz w:val="24"/>
      <w:bdr w:val="none" w:sz="0" w:space="0" w:color="auto"/>
      <w:shd w:val="clear" w:color="auto" w:fill="808080"/>
    </w:rPr>
  </w:style>
  <w:style w:type="character" w:customStyle="1" w:styleId="bibissue">
    <w:name w:val="bib_issue"/>
    <w:rsid w:val="004713B9"/>
    <w:rPr>
      <w:sz w:val="24"/>
      <w:bdr w:val="none" w:sz="0" w:space="0" w:color="auto"/>
      <w:shd w:val="clear" w:color="auto" w:fill="FFFF00"/>
    </w:rPr>
  </w:style>
  <w:style w:type="character" w:customStyle="1" w:styleId="bibjournal">
    <w:name w:val="bib_journal"/>
    <w:rsid w:val="004713B9"/>
    <w:rPr>
      <w:sz w:val="24"/>
      <w:bdr w:val="none" w:sz="0" w:space="0" w:color="auto"/>
      <w:shd w:val="clear" w:color="auto" w:fill="808000"/>
    </w:rPr>
  </w:style>
  <w:style w:type="character" w:customStyle="1" w:styleId="biblpage">
    <w:name w:val="bib_lpage"/>
    <w:rsid w:val="004713B9"/>
    <w:rPr>
      <w:sz w:val="24"/>
      <w:bdr w:val="none" w:sz="0" w:space="0" w:color="auto"/>
      <w:shd w:val="clear" w:color="auto" w:fill="808080"/>
    </w:rPr>
  </w:style>
  <w:style w:type="character" w:customStyle="1" w:styleId="bibnumber">
    <w:name w:val="bib_number"/>
    <w:rsid w:val="004713B9"/>
    <w:rPr>
      <w:sz w:val="24"/>
    </w:rPr>
  </w:style>
  <w:style w:type="character" w:customStyle="1" w:styleId="biborganization">
    <w:name w:val="bib_organization"/>
    <w:rsid w:val="004713B9"/>
    <w:rPr>
      <w:sz w:val="24"/>
      <w:bdr w:val="none" w:sz="0" w:space="0" w:color="auto"/>
      <w:shd w:val="clear" w:color="auto" w:fill="808000"/>
    </w:rPr>
  </w:style>
  <w:style w:type="character" w:customStyle="1" w:styleId="bibsuppl">
    <w:name w:val="bib_suppl"/>
    <w:rsid w:val="004713B9"/>
    <w:rPr>
      <w:sz w:val="24"/>
      <w:bdr w:val="none" w:sz="0" w:space="0" w:color="auto"/>
      <w:shd w:val="clear" w:color="auto" w:fill="FFFF00"/>
    </w:rPr>
  </w:style>
  <w:style w:type="character" w:customStyle="1" w:styleId="bibsurname">
    <w:name w:val="bib_surname"/>
    <w:rsid w:val="004713B9"/>
    <w:rPr>
      <w:sz w:val="24"/>
      <w:bdr w:val="none" w:sz="0" w:space="0" w:color="auto"/>
      <w:shd w:val="clear" w:color="auto" w:fill="FFFF00"/>
    </w:rPr>
  </w:style>
  <w:style w:type="character" w:customStyle="1" w:styleId="bibunpubl">
    <w:name w:val="bib_unpubl"/>
    <w:rsid w:val="004713B9"/>
    <w:rPr>
      <w:sz w:val="24"/>
    </w:rPr>
  </w:style>
  <w:style w:type="character" w:customStyle="1" w:styleId="biburl">
    <w:name w:val="bib_url"/>
    <w:rsid w:val="004713B9"/>
    <w:rPr>
      <w:sz w:val="24"/>
      <w:bdr w:val="none" w:sz="0" w:space="0" w:color="auto"/>
      <w:shd w:val="clear" w:color="auto" w:fill="00FF00"/>
    </w:rPr>
  </w:style>
  <w:style w:type="character" w:customStyle="1" w:styleId="bibvolume">
    <w:name w:val="bib_volume"/>
    <w:rsid w:val="004713B9"/>
    <w:rPr>
      <w:sz w:val="24"/>
      <w:bdr w:val="none" w:sz="0" w:space="0" w:color="auto"/>
      <w:shd w:val="clear" w:color="auto" w:fill="00FF00"/>
    </w:rPr>
  </w:style>
  <w:style w:type="character" w:customStyle="1" w:styleId="bibyear">
    <w:name w:val="bib_year"/>
    <w:rsid w:val="004713B9"/>
    <w:rPr>
      <w:sz w:val="24"/>
      <w:bdr w:val="none" w:sz="0" w:space="0" w:color="auto"/>
      <w:shd w:val="clear" w:color="auto" w:fill="FF00FF"/>
    </w:rPr>
  </w:style>
  <w:style w:type="character" w:customStyle="1" w:styleId="citebib">
    <w:name w:val="cite_bib"/>
    <w:rsid w:val="004713B9"/>
    <w:rPr>
      <w:sz w:val="24"/>
      <w:bdr w:val="none" w:sz="0" w:space="0" w:color="auto"/>
      <w:shd w:val="clear" w:color="auto" w:fill="00FFFF"/>
    </w:rPr>
  </w:style>
  <w:style w:type="character" w:customStyle="1" w:styleId="citebox">
    <w:name w:val="cite_box"/>
    <w:rsid w:val="004713B9"/>
    <w:rPr>
      <w:sz w:val="24"/>
    </w:rPr>
  </w:style>
  <w:style w:type="character" w:customStyle="1" w:styleId="citefig">
    <w:name w:val="cite_fig"/>
    <w:rsid w:val="004713B9"/>
    <w:rPr>
      <w:color w:val="auto"/>
      <w:sz w:val="24"/>
      <w:bdr w:val="none" w:sz="0" w:space="0" w:color="auto"/>
      <w:shd w:val="clear" w:color="auto" w:fill="00FF00"/>
    </w:rPr>
  </w:style>
  <w:style w:type="character" w:customStyle="1" w:styleId="citetbl">
    <w:name w:val="cite_tbl"/>
    <w:rsid w:val="004713B9"/>
    <w:rPr>
      <w:color w:val="auto"/>
      <w:sz w:val="24"/>
      <w:bdr w:val="none" w:sz="0" w:space="0" w:color="auto"/>
      <w:shd w:val="clear" w:color="auto" w:fill="FF00FF"/>
    </w:rPr>
  </w:style>
  <w:style w:type="character" w:customStyle="1" w:styleId="bibdeg">
    <w:name w:val="bib_deg"/>
    <w:rsid w:val="004713B9"/>
    <w:rPr>
      <w:sz w:val="24"/>
    </w:rPr>
  </w:style>
  <w:style w:type="character" w:customStyle="1" w:styleId="bibsuffix">
    <w:name w:val="bib_suffix"/>
    <w:rsid w:val="004713B9"/>
    <w:rPr>
      <w:sz w:val="24"/>
    </w:rPr>
  </w:style>
  <w:style w:type="character" w:customStyle="1" w:styleId="bibcomment">
    <w:name w:val="bib_comment"/>
    <w:rsid w:val="004713B9"/>
    <w:rPr>
      <w:sz w:val="24"/>
    </w:rPr>
  </w:style>
  <w:style w:type="character" w:customStyle="1" w:styleId="audeg">
    <w:name w:val="au_deg"/>
    <w:rsid w:val="004713B9"/>
    <w:rPr>
      <w:sz w:val="24"/>
      <w:bdr w:val="none" w:sz="0" w:space="0" w:color="auto"/>
      <w:shd w:val="clear" w:color="auto" w:fill="FFFF00"/>
    </w:rPr>
  </w:style>
  <w:style w:type="character" w:customStyle="1" w:styleId="aufname">
    <w:name w:val="au_fname"/>
    <w:rsid w:val="004713B9"/>
    <w:rPr>
      <w:sz w:val="24"/>
      <w:bdr w:val="none" w:sz="0" w:space="0" w:color="auto"/>
      <w:shd w:val="clear" w:color="auto" w:fill="00FFFF"/>
    </w:rPr>
  </w:style>
  <w:style w:type="character" w:customStyle="1" w:styleId="aurole">
    <w:name w:val="au_role"/>
    <w:rsid w:val="004713B9"/>
    <w:rPr>
      <w:sz w:val="24"/>
      <w:bdr w:val="none" w:sz="0" w:space="0" w:color="auto"/>
      <w:shd w:val="clear" w:color="auto" w:fill="808000"/>
    </w:rPr>
  </w:style>
  <w:style w:type="character" w:customStyle="1" w:styleId="ausuffix">
    <w:name w:val="au_suffix"/>
    <w:rsid w:val="004713B9"/>
    <w:rPr>
      <w:sz w:val="24"/>
      <w:bdr w:val="none" w:sz="0" w:space="0" w:color="auto"/>
      <w:shd w:val="clear" w:color="auto" w:fill="FF00FF"/>
    </w:rPr>
  </w:style>
  <w:style w:type="character" w:customStyle="1" w:styleId="ausurname">
    <w:name w:val="au_surname"/>
    <w:rsid w:val="004713B9"/>
    <w:rPr>
      <w:sz w:val="24"/>
      <w:bdr w:val="none" w:sz="0" w:space="0" w:color="auto"/>
      <w:shd w:val="clear" w:color="auto" w:fill="00FF00"/>
    </w:rPr>
  </w:style>
  <w:style w:type="character" w:customStyle="1" w:styleId="bibbase">
    <w:name w:val="bib_base"/>
    <w:rsid w:val="004713B9"/>
    <w:rPr>
      <w:sz w:val="24"/>
    </w:rPr>
  </w:style>
  <w:style w:type="character" w:customStyle="1" w:styleId="aubase">
    <w:name w:val="au_base"/>
    <w:rsid w:val="004713B9"/>
    <w:rPr>
      <w:sz w:val="24"/>
    </w:rPr>
  </w:style>
  <w:style w:type="character" w:customStyle="1" w:styleId="citebase">
    <w:name w:val="cite_base"/>
    <w:rsid w:val="004713B9"/>
    <w:rPr>
      <w:sz w:val="24"/>
    </w:rPr>
  </w:style>
  <w:style w:type="character" w:customStyle="1" w:styleId="citefn">
    <w:name w:val="cite_fn"/>
    <w:rsid w:val="004713B9"/>
    <w:rPr>
      <w:color w:val="auto"/>
      <w:sz w:val="24"/>
      <w:bdr w:val="none" w:sz="0" w:space="0" w:color="auto"/>
      <w:shd w:val="clear" w:color="auto" w:fill="FF0000"/>
      <w:vertAlign w:val="superscript"/>
    </w:rPr>
  </w:style>
  <w:style w:type="character" w:customStyle="1" w:styleId="aucollab">
    <w:name w:val="au_collab"/>
    <w:rsid w:val="004713B9"/>
    <w:rPr>
      <w:sz w:val="24"/>
      <w:bdr w:val="none" w:sz="0" w:space="0" w:color="auto"/>
      <w:shd w:val="clear" w:color="auto" w:fill="C0C0C0"/>
    </w:rPr>
  </w:style>
  <w:style w:type="character" w:customStyle="1" w:styleId="bibmedline">
    <w:name w:val="bib_medline"/>
    <w:rsid w:val="004713B9"/>
    <w:rPr>
      <w:sz w:val="24"/>
    </w:rPr>
  </w:style>
  <w:style w:type="character" w:customStyle="1" w:styleId="citeen">
    <w:name w:val="cite_en"/>
    <w:rsid w:val="004713B9"/>
    <w:rPr>
      <w:sz w:val="24"/>
      <w:shd w:val="clear" w:color="auto" w:fill="FFFF00"/>
      <w:vertAlign w:val="superscript"/>
    </w:rPr>
  </w:style>
  <w:style w:type="character" w:customStyle="1" w:styleId="eqno">
    <w:name w:val="eq_no"/>
    <w:rsid w:val="004713B9"/>
    <w:rPr>
      <w:sz w:val="24"/>
    </w:rPr>
  </w:style>
  <w:style w:type="paragraph" w:customStyle="1" w:styleId="BaseHeading">
    <w:name w:val="Base_Heading"/>
    <w:rsid w:val="004713B9"/>
    <w:pPr>
      <w:outlineLvl w:val="0"/>
    </w:pPr>
    <w:rPr>
      <w:sz w:val="24"/>
      <w:szCs w:val="24"/>
    </w:rPr>
  </w:style>
  <w:style w:type="paragraph" w:customStyle="1" w:styleId="BaseText">
    <w:name w:val="Base_Text"/>
    <w:rsid w:val="004713B9"/>
    <w:rPr>
      <w:sz w:val="24"/>
      <w:szCs w:val="24"/>
    </w:rPr>
  </w:style>
  <w:style w:type="paragraph" w:customStyle="1" w:styleId="Arttitle">
    <w:name w:val="Art title"/>
    <w:basedOn w:val="BaseHeading"/>
    <w:rsid w:val="004713B9"/>
    <w:rPr>
      <w:sz w:val="36"/>
    </w:rPr>
  </w:style>
  <w:style w:type="paragraph" w:customStyle="1" w:styleId="RightRunning">
    <w:name w:val="Right Running"/>
    <w:basedOn w:val="BaseText"/>
    <w:rsid w:val="004713B9"/>
  </w:style>
  <w:style w:type="paragraph" w:customStyle="1" w:styleId="LeftRunning">
    <w:name w:val="Left Running"/>
    <w:basedOn w:val="BaseText"/>
    <w:rsid w:val="004713B9"/>
  </w:style>
  <w:style w:type="paragraph" w:customStyle="1" w:styleId="Correspondence">
    <w:name w:val="Correspondence"/>
    <w:basedOn w:val="BaseText"/>
    <w:rsid w:val="004713B9"/>
  </w:style>
  <w:style w:type="paragraph" w:customStyle="1" w:styleId="Abstract">
    <w:name w:val="Abstract"/>
    <w:basedOn w:val="BaseText"/>
    <w:qFormat/>
    <w:rsid w:val="004713B9"/>
    <w:pPr>
      <w:ind w:firstLine="720"/>
    </w:pPr>
  </w:style>
  <w:style w:type="paragraph" w:customStyle="1" w:styleId="Keywords">
    <w:name w:val="Keywords"/>
    <w:basedOn w:val="BaseText"/>
    <w:rsid w:val="004713B9"/>
  </w:style>
  <w:style w:type="paragraph" w:customStyle="1" w:styleId="Footnote">
    <w:name w:val="Footnote"/>
    <w:basedOn w:val="BaseText"/>
    <w:rsid w:val="004713B9"/>
  </w:style>
  <w:style w:type="paragraph" w:customStyle="1" w:styleId="BookReference">
    <w:name w:val="Book Reference"/>
    <w:basedOn w:val="BaseText"/>
    <w:rsid w:val="004713B9"/>
  </w:style>
  <w:style w:type="paragraph" w:customStyle="1" w:styleId="Head1">
    <w:name w:val="Head 1"/>
    <w:basedOn w:val="BaseHeading"/>
    <w:rsid w:val="004713B9"/>
    <w:rPr>
      <w:b/>
    </w:rPr>
  </w:style>
  <w:style w:type="paragraph" w:customStyle="1" w:styleId="Head2">
    <w:name w:val="Head 2"/>
    <w:basedOn w:val="BaseHeading"/>
    <w:rsid w:val="004713B9"/>
    <w:pPr>
      <w:outlineLvl w:val="1"/>
    </w:pPr>
    <w:rPr>
      <w:b/>
    </w:rPr>
  </w:style>
  <w:style w:type="paragraph" w:customStyle="1" w:styleId="Head3">
    <w:name w:val="Head 3"/>
    <w:basedOn w:val="BaseHeading"/>
    <w:rsid w:val="004713B9"/>
    <w:pPr>
      <w:outlineLvl w:val="2"/>
    </w:pPr>
    <w:rPr>
      <w:b/>
      <w:i/>
    </w:rPr>
  </w:style>
  <w:style w:type="paragraph" w:customStyle="1" w:styleId="Head4">
    <w:name w:val="Head 4"/>
    <w:basedOn w:val="BaseHeading"/>
    <w:rsid w:val="004713B9"/>
    <w:pPr>
      <w:ind w:left="360"/>
      <w:outlineLvl w:val="3"/>
    </w:pPr>
    <w:rPr>
      <w:b/>
      <w:i/>
    </w:rPr>
  </w:style>
  <w:style w:type="paragraph" w:customStyle="1" w:styleId="Head5">
    <w:name w:val="Head 5"/>
    <w:basedOn w:val="BaseHeading"/>
    <w:rsid w:val="004713B9"/>
    <w:pPr>
      <w:ind w:left="360"/>
      <w:outlineLvl w:val="4"/>
    </w:pPr>
    <w:rPr>
      <w:i/>
    </w:rPr>
  </w:style>
  <w:style w:type="paragraph" w:customStyle="1" w:styleId="BodyParagraph">
    <w:name w:val="Body Paragraph"/>
    <w:basedOn w:val="BaseText"/>
    <w:rsid w:val="004713B9"/>
    <w:pPr>
      <w:ind w:firstLine="720"/>
    </w:pPr>
  </w:style>
  <w:style w:type="paragraph" w:customStyle="1" w:styleId="Extract">
    <w:name w:val="Extract"/>
    <w:basedOn w:val="BaseText"/>
    <w:rsid w:val="004713B9"/>
  </w:style>
  <w:style w:type="paragraph" w:customStyle="1" w:styleId="Equation">
    <w:name w:val="Equation"/>
    <w:basedOn w:val="BaseText"/>
    <w:rsid w:val="004713B9"/>
    <w:pPr>
      <w:ind w:left="720" w:right="720"/>
    </w:pPr>
  </w:style>
  <w:style w:type="paragraph" w:customStyle="1" w:styleId="List1">
    <w:name w:val="List 1"/>
    <w:basedOn w:val="BaseText"/>
    <w:rsid w:val="004713B9"/>
    <w:pPr>
      <w:ind w:left="360" w:hanging="360"/>
      <w:outlineLvl w:val="0"/>
    </w:pPr>
  </w:style>
  <w:style w:type="paragraph" w:styleId="List2">
    <w:name w:val="List 2"/>
    <w:basedOn w:val="BaseText"/>
    <w:rsid w:val="004713B9"/>
    <w:pPr>
      <w:ind w:left="720" w:hanging="360"/>
      <w:outlineLvl w:val="1"/>
    </w:pPr>
  </w:style>
  <w:style w:type="paragraph" w:customStyle="1" w:styleId="Bullettext">
    <w:name w:val="Bullet text"/>
    <w:basedOn w:val="BaseText"/>
    <w:rsid w:val="004713B9"/>
    <w:pPr>
      <w:ind w:left="360" w:hanging="360"/>
      <w:outlineLvl w:val="0"/>
    </w:pPr>
  </w:style>
  <w:style w:type="paragraph" w:customStyle="1" w:styleId="TableTitle">
    <w:name w:val="Table Title"/>
    <w:basedOn w:val="BaseText"/>
    <w:rsid w:val="004713B9"/>
    <w:pPr>
      <w:jc w:val="center"/>
    </w:pPr>
    <w:rPr>
      <w:sz w:val="16"/>
    </w:rPr>
  </w:style>
  <w:style w:type="paragraph" w:customStyle="1" w:styleId="TableHead">
    <w:name w:val="Table Head"/>
    <w:basedOn w:val="BaseText"/>
    <w:rsid w:val="004713B9"/>
    <w:pPr>
      <w:jc w:val="center"/>
    </w:pPr>
    <w:rPr>
      <w:sz w:val="16"/>
    </w:rPr>
  </w:style>
  <w:style w:type="paragraph" w:customStyle="1" w:styleId="TableBody">
    <w:name w:val="Table Body"/>
    <w:basedOn w:val="BaseText"/>
    <w:rsid w:val="004713B9"/>
    <w:pPr>
      <w:jc w:val="center"/>
    </w:pPr>
    <w:rPr>
      <w:sz w:val="16"/>
    </w:rPr>
  </w:style>
  <w:style w:type="paragraph" w:customStyle="1" w:styleId="TableFootnote">
    <w:name w:val="Table Footnote"/>
    <w:basedOn w:val="BaseText"/>
    <w:rsid w:val="004713B9"/>
    <w:pPr>
      <w:ind w:left="720"/>
    </w:pPr>
    <w:rPr>
      <w:sz w:val="16"/>
    </w:rPr>
  </w:style>
  <w:style w:type="paragraph" w:customStyle="1" w:styleId="Acknowledgment">
    <w:name w:val="Acknowledgment"/>
    <w:basedOn w:val="BaseText"/>
    <w:rsid w:val="004713B9"/>
    <w:pPr>
      <w:ind w:left="360" w:firstLine="720"/>
    </w:pPr>
  </w:style>
  <w:style w:type="paragraph" w:customStyle="1" w:styleId="Appendix">
    <w:name w:val="Appendix"/>
    <w:basedOn w:val="BaseText"/>
    <w:rsid w:val="004713B9"/>
  </w:style>
  <w:style w:type="paragraph" w:customStyle="1" w:styleId="Tagline">
    <w:name w:val="Tagline"/>
    <w:basedOn w:val="BaseText"/>
    <w:rsid w:val="004713B9"/>
  </w:style>
  <w:style w:type="paragraph" w:customStyle="1" w:styleId="References">
    <w:name w:val="References"/>
    <w:basedOn w:val="BaseText"/>
    <w:rsid w:val="004713B9"/>
    <w:pPr>
      <w:ind w:left="432" w:hanging="432"/>
    </w:pPr>
  </w:style>
  <w:style w:type="paragraph" w:customStyle="1" w:styleId="NoteinProof">
    <w:name w:val="Note in Proof"/>
    <w:basedOn w:val="BaseText"/>
    <w:rsid w:val="004713B9"/>
    <w:rPr>
      <w:i/>
    </w:rPr>
  </w:style>
  <w:style w:type="paragraph" w:customStyle="1" w:styleId="AbstractHead">
    <w:name w:val="Abstract Head"/>
    <w:basedOn w:val="BaseHeading"/>
    <w:rsid w:val="004713B9"/>
    <w:rPr>
      <w:b/>
    </w:rPr>
  </w:style>
  <w:style w:type="paragraph" w:customStyle="1" w:styleId="AppendixHead">
    <w:name w:val="Appendix Head"/>
    <w:basedOn w:val="BaseHeading"/>
    <w:rsid w:val="004713B9"/>
    <w:rPr>
      <w:b/>
    </w:rPr>
  </w:style>
  <w:style w:type="paragraph" w:customStyle="1" w:styleId="ReferenceHead">
    <w:name w:val="Reference Head"/>
    <w:basedOn w:val="BaseHeading"/>
    <w:rsid w:val="004713B9"/>
    <w:rPr>
      <w:b/>
    </w:rPr>
  </w:style>
  <w:style w:type="paragraph" w:customStyle="1" w:styleId="AcknowledgmentHead">
    <w:name w:val="Acknowledgment Head"/>
    <w:basedOn w:val="BaseHeading"/>
    <w:rsid w:val="004713B9"/>
    <w:rPr>
      <w:b/>
    </w:rPr>
  </w:style>
  <w:style w:type="paragraph" w:customStyle="1" w:styleId="FigureCaption">
    <w:name w:val="Figure Caption"/>
    <w:basedOn w:val="BaseText"/>
    <w:rsid w:val="004713B9"/>
  </w:style>
  <w:style w:type="paragraph" w:customStyle="1" w:styleId="Endnote">
    <w:name w:val="Endnote"/>
    <w:basedOn w:val="BaseText"/>
    <w:rsid w:val="004713B9"/>
  </w:style>
  <w:style w:type="paragraph" w:customStyle="1" w:styleId="FlushParagraph">
    <w:name w:val="Flush Paragraph"/>
    <w:basedOn w:val="BaseText"/>
    <w:rsid w:val="004713B9"/>
  </w:style>
  <w:style w:type="paragraph" w:customStyle="1" w:styleId="AppendixH2">
    <w:name w:val="Appendix H2"/>
    <w:basedOn w:val="BaseHeading"/>
    <w:rsid w:val="004713B9"/>
    <w:rPr>
      <w:b/>
    </w:rPr>
  </w:style>
  <w:style w:type="paragraph" w:customStyle="1" w:styleId="AppendixH3">
    <w:name w:val="Appendix H3"/>
    <w:basedOn w:val="BaseHeading"/>
    <w:rsid w:val="004713B9"/>
    <w:rPr>
      <w:b/>
    </w:rPr>
  </w:style>
  <w:style w:type="paragraph" w:styleId="BodyTextIndent">
    <w:name w:val="Body Text Indent"/>
    <w:basedOn w:val="Normal"/>
    <w:link w:val="BodyTextIndentChar"/>
    <w:rsid w:val="004713B9"/>
    <w:pPr>
      <w:spacing w:line="240" w:lineRule="auto"/>
      <w:ind w:left="360" w:hanging="360"/>
    </w:pPr>
    <w:rPr>
      <w:rFonts w:ascii="Times New Roman" w:hAnsi="Times New Roman"/>
      <w:szCs w:val="20"/>
      <w:lang w:bidi="ar-SA"/>
    </w:rPr>
  </w:style>
  <w:style w:type="character" w:customStyle="1" w:styleId="BodyTextIndentChar">
    <w:name w:val="Body Text Indent Char"/>
    <w:basedOn w:val="DefaultParagraphFont"/>
    <w:link w:val="BodyTextIndent"/>
    <w:rsid w:val="004713B9"/>
    <w:rPr>
      <w:sz w:val="24"/>
    </w:rPr>
  </w:style>
  <w:style w:type="paragraph" w:styleId="BodyTextIndent2">
    <w:name w:val="Body Text Indent 2"/>
    <w:basedOn w:val="Normal"/>
    <w:link w:val="BodyTextIndent2Char"/>
    <w:rsid w:val="004713B9"/>
    <w:pPr>
      <w:spacing w:line="240" w:lineRule="auto"/>
      <w:ind w:left="360" w:hanging="360"/>
      <w:jc w:val="both"/>
    </w:pPr>
    <w:rPr>
      <w:rFonts w:ascii="Times New Roman" w:hAnsi="Times New Roman"/>
      <w:szCs w:val="20"/>
      <w:lang w:bidi="ar-SA"/>
    </w:rPr>
  </w:style>
  <w:style w:type="character" w:customStyle="1" w:styleId="BodyTextIndent2Char">
    <w:name w:val="Body Text Indent 2 Char"/>
    <w:basedOn w:val="DefaultParagraphFont"/>
    <w:link w:val="BodyTextIndent2"/>
    <w:rsid w:val="004713B9"/>
    <w:rPr>
      <w:sz w:val="24"/>
    </w:rPr>
  </w:style>
  <w:style w:type="paragraph" w:styleId="BodyTextIndent3">
    <w:name w:val="Body Text Indent 3"/>
    <w:basedOn w:val="Normal"/>
    <w:link w:val="BodyTextIndent3Char"/>
    <w:rsid w:val="004713B9"/>
    <w:pPr>
      <w:spacing w:line="240" w:lineRule="auto"/>
      <w:ind w:left="360" w:hanging="288"/>
    </w:pPr>
    <w:rPr>
      <w:rFonts w:ascii="Times New Roman" w:hAnsi="Times New Roman"/>
      <w:szCs w:val="20"/>
      <w:lang w:bidi="ar-SA"/>
    </w:rPr>
  </w:style>
  <w:style w:type="character" w:customStyle="1" w:styleId="BodyTextIndent3Char">
    <w:name w:val="Body Text Indent 3 Char"/>
    <w:basedOn w:val="DefaultParagraphFont"/>
    <w:link w:val="BodyTextIndent3"/>
    <w:rsid w:val="004713B9"/>
    <w:rPr>
      <w:sz w:val="24"/>
    </w:rPr>
  </w:style>
  <w:style w:type="table" w:customStyle="1" w:styleId="GridTable21">
    <w:name w:val="Grid Table 21"/>
    <w:basedOn w:val="TableNormal"/>
    <w:uiPriority w:val="47"/>
    <w:rsid w:val="004713B9"/>
    <w:rPr>
      <w:rFonts w:ascii="Calibri" w:eastAsia="Calibri" w:hAnsi="Calibri"/>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FootnoteText">
    <w:name w:val="footnote text"/>
    <w:basedOn w:val="Normal"/>
    <w:link w:val="FootnoteTextChar"/>
    <w:uiPriority w:val="99"/>
    <w:semiHidden/>
    <w:unhideWhenUsed/>
    <w:rsid w:val="004713B9"/>
    <w:pPr>
      <w:spacing w:line="240" w:lineRule="auto"/>
    </w:pPr>
    <w:rPr>
      <w:rFonts w:ascii="Times New Roman" w:hAnsi="Times New Roman"/>
      <w:sz w:val="20"/>
      <w:szCs w:val="20"/>
      <w:lang w:bidi="ar-SA"/>
    </w:rPr>
  </w:style>
  <w:style w:type="character" w:customStyle="1" w:styleId="FootnoteTextChar">
    <w:name w:val="Footnote Text Char"/>
    <w:basedOn w:val="DefaultParagraphFont"/>
    <w:link w:val="FootnoteText"/>
    <w:uiPriority w:val="99"/>
    <w:semiHidden/>
    <w:rsid w:val="004713B9"/>
  </w:style>
  <w:style w:type="table" w:customStyle="1" w:styleId="GridTable31">
    <w:name w:val="Grid Table 31"/>
    <w:basedOn w:val="TableNormal"/>
    <w:uiPriority w:val="48"/>
    <w:rsid w:val="004713B9"/>
    <w:rPr>
      <w:rFonts w:ascii="Calibri" w:hAnsi="Calibri"/>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character" w:customStyle="1" w:styleId="UnresolvedMention1">
    <w:name w:val="Unresolved Mention1"/>
    <w:uiPriority w:val="99"/>
    <w:semiHidden/>
    <w:unhideWhenUsed/>
    <w:rsid w:val="004713B9"/>
    <w:rPr>
      <w:color w:val="605E5C"/>
      <w:shd w:val="clear" w:color="auto" w:fill="E1DFDD"/>
    </w:rPr>
  </w:style>
  <w:style w:type="table" w:styleId="PlainTable3">
    <w:name w:val="Plain Table 3"/>
    <w:basedOn w:val="TableNormal"/>
    <w:uiPriority w:val="43"/>
    <w:rsid w:val="004713B9"/>
    <w:rPr>
      <w:rFonts w:ascii="Calibri" w:hAnsi="Calibri"/>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AD2F03"/>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AD2F03"/>
    <w:rPr>
      <w:rFonts w:asciiTheme="minorHAnsi" w:eastAsiaTheme="minorHAnsi" w:hAnsiTheme="minorHAnsi" w:cstheme="minorBid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nternetLink">
    <w:name w:val="Internet Link"/>
    <w:rsid w:val="001D724A"/>
    <w:rPr>
      <w:color w:val="0000FF"/>
      <w:u w:val="single"/>
    </w:rPr>
  </w:style>
  <w:style w:type="character" w:customStyle="1" w:styleId="UnresolvedMention10">
    <w:name w:val="Unresolved Mention1"/>
    <w:basedOn w:val="DefaultParagraphFont"/>
    <w:uiPriority w:val="99"/>
    <w:qFormat/>
    <w:rsid w:val="001D724A"/>
    <w:rPr>
      <w:color w:val="808080"/>
      <w:shd w:val="clear" w:color="auto" w:fill="E6E6E6"/>
    </w:rPr>
  </w:style>
  <w:style w:type="character" w:customStyle="1" w:styleId="ListLabel1">
    <w:name w:val="ListLabel 1"/>
    <w:qFormat/>
    <w:rsid w:val="001D724A"/>
    <w:rPr>
      <w:rFonts w:cs="Courier New"/>
    </w:rPr>
  </w:style>
  <w:style w:type="character" w:customStyle="1" w:styleId="ListLabel2">
    <w:name w:val="ListLabel 2"/>
    <w:qFormat/>
    <w:rsid w:val="001D724A"/>
    <w:rPr>
      <w:rFonts w:cs="Courier New"/>
    </w:rPr>
  </w:style>
  <w:style w:type="character" w:customStyle="1" w:styleId="ListLabel3">
    <w:name w:val="ListLabel 3"/>
    <w:qFormat/>
    <w:rsid w:val="001D724A"/>
    <w:rPr>
      <w:rFonts w:cs="Courier New"/>
    </w:rPr>
  </w:style>
  <w:style w:type="character" w:customStyle="1" w:styleId="ListLabel4">
    <w:name w:val="ListLabel 4"/>
    <w:qFormat/>
    <w:rsid w:val="001D724A"/>
    <w:rPr>
      <w:sz w:val="20"/>
    </w:rPr>
  </w:style>
  <w:style w:type="character" w:customStyle="1" w:styleId="ListLabel5">
    <w:name w:val="ListLabel 5"/>
    <w:qFormat/>
    <w:rsid w:val="001D724A"/>
    <w:rPr>
      <w:sz w:val="20"/>
    </w:rPr>
  </w:style>
  <w:style w:type="character" w:customStyle="1" w:styleId="ListLabel6">
    <w:name w:val="ListLabel 6"/>
    <w:qFormat/>
    <w:rsid w:val="001D724A"/>
    <w:rPr>
      <w:sz w:val="20"/>
    </w:rPr>
  </w:style>
  <w:style w:type="character" w:customStyle="1" w:styleId="ListLabel7">
    <w:name w:val="ListLabel 7"/>
    <w:qFormat/>
    <w:rsid w:val="001D724A"/>
    <w:rPr>
      <w:sz w:val="20"/>
    </w:rPr>
  </w:style>
  <w:style w:type="character" w:customStyle="1" w:styleId="ListLabel8">
    <w:name w:val="ListLabel 8"/>
    <w:qFormat/>
    <w:rsid w:val="001D724A"/>
    <w:rPr>
      <w:sz w:val="20"/>
    </w:rPr>
  </w:style>
  <w:style w:type="character" w:customStyle="1" w:styleId="ListLabel9">
    <w:name w:val="ListLabel 9"/>
    <w:qFormat/>
    <w:rsid w:val="001D724A"/>
    <w:rPr>
      <w:sz w:val="20"/>
    </w:rPr>
  </w:style>
  <w:style w:type="character" w:customStyle="1" w:styleId="ListLabel10">
    <w:name w:val="ListLabel 10"/>
    <w:qFormat/>
    <w:rsid w:val="001D724A"/>
    <w:rPr>
      <w:sz w:val="20"/>
    </w:rPr>
  </w:style>
  <w:style w:type="character" w:customStyle="1" w:styleId="ListLabel11">
    <w:name w:val="ListLabel 11"/>
    <w:qFormat/>
    <w:rsid w:val="001D724A"/>
    <w:rPr>
      <w:sz w:val="20"/>
    </w:rPr>
  </w:style>
  <w:style w:type="character" w:customStyle="1" w:styleId="ListLabel12">
    <w:name w:val="ListLabel 12"/>
    <w:qFormat/>
    <w:rsid w:val="001D724A"/>
    <w:rPr>
      <w:sz w:val="20"/>
    </w:rPr>
  </w:style>
  <w:style w:type="character" w:customStyle="1" w:styleId="ListLabel13">
    <w:name w:val="ListLabel 13"/>
    <w:qFormat/>
    <w:rsid w:val="001D724A"/>
    <w:rPr>
      <w:sz w:val="20"/>
    </w:rPr>
  </w:style>
  <w:style w:type="character" w:customStyle="1" w:styleId="ListLabel14">
    <w:name w:val="ListLabel 14"/>
    <w:qFormat/>
    <w:rsid w:val="001D724A"/>
    <w:rPr>
      <w:sz w:val="20"/>
    </w:rPr>
  </w:style>
  <w:style w:type="character" w:customStyle="1" w:styleId="ListLabel15">
    <w:name w:val="ListLabel 15"/>
    <w:qFormat/>
    <w:rsid w:val="001D724A"/>
    <w:rPr>
      <w:sz w:val="20"/>
    </w:rPr>
  </w:style>
  <w:style w:type="character" w:customStyle="1" w:styleId="ListLabel16">
    <w:name w:val="ListLabel 16"/>
    <w:qFormat/>
    <w:rsid w:val="001D724A"/>
    <w:rPr>
      <w:sz w:val="20"/>
    </w:rPr>
  </w:style>
  <w:style w:type="character" w:customStyle="1" w:styleId="ListLabel17">
    <w:name w:val="ListLabel 17"/>
    <w:qFormat/>
    <w:rsid w:val="001D724A"/>
    <w:rPr>
      <w:sz w:val="20"/>
    </w:rPr>
  </w:style>
  <w:style w:type="character" w:customStyle="1" w:styleId="ListLabel18">
    <w:name w:val="ListLabel 18"/>
    <w:qFormat/>
    <w:rsid w:val="001D724A"/>
    <w:rPr>
      <w:sz w:val="20"/>
    </w:rPr>
  </w:style>
  <w:style w:type="character" w:customStyle="1" w:styleId="ListLabel19">
    <w:name w:val="ListLabel 19"/>
    <w:qFormat/>
    <w:rsid w:val="001D724A"/>
    <w:rPr>
      <w:sz w:val="20"/>
    </w:rPr>
  </w:style>
  <w:style w:type="character" w:customStyle="1" w:styleId="ListLabel20">
    <w:name w:val="ListLabel 20"/>
    <w:qFormat/>
    <w:rsid w:val="001D724A"/>
    <w:rPr>
      <w:sz w:val="20"/>
    </w:rPr>
  </w:style>
  <w:style w:type="character" w:customStyle="1" w:styleId="ListLabel21">
    <w:name w:val="ListLabel 21"/>
    <w:qFormat/>
    <w:rsid w:val="001D724A"/>
    <w:rPr>
      <w:sz w:val="20"/>
    </w:rPr>
  </w:style>
  <w:style w:type="character" w:customStyle="1" w:styleId="ListLabel22">
    <w:name w:val="ListLabel 22"/>
    <w:qFormat/>
    <w:rsid w:val="001D724A"/>
    <w:rPr>
      <w:rFonts w:cs="Courier New"/>
    </w:rPr>
  </w:style>
  <w:style w:type="character" w:customStyle="1" w:styleId="ListLabel23">
    <w:name w:val="ListLabel 23"/>
    <w:qFormat/>
    <w:rsid w:val="001D724A"/>
    <w:rPr>
      <w:rFonts w:cs="Courier New"/>
    </w:rPr>
  </w:style>
  <w:style w:type="character" w:customStyle="1" w:styleId="ListLabel24">
    <w:name w:val="ListLabel 24"/>
    <w:qFormat/>
    <w:rsid w:val="001D724A"/>
    <w:rPr>
      <w:rFonts w:cs="Courier New"/>
    </w:rPr>
  </w:style>
  <w:style w:type="paragraph" w:customStyle="1" w:styleId="Heading">
    <w:name w:val="Heading"/>
    <w:basedOn w:val="Normal"/>
    <w:next w:val="BodyText"/>
    <w:qFormat/>
    <w:rsid w:val="0000131B"/>
    <w:pPr>
      <w:keepNext/>
      <w:spacing w:before="240" w:after="120" w:line="240" w:lineRule="auto"/>
    </w:pPr>
    <w:rPr>
      <w:rFonts w:asciiTheme="majorHAnsi" w:eastAsia="ZYSong18030" w:hAnsiTheme="majorHAnsi" w:cs="DejaVu Sans"/>
      <w:b/>
      <w:sz w:val="28"/>
      <w:szCs w:val="28"/>
      <w:lang w:bidi="ar-SA"/>
    </w:rPr>
  </w:style>
  <w:style w:type="paragraph" w:styleId="BodyText">
    <w:name w:val="Body Text"/>
    <w:basedOn w:val="Normal"/>
    <w:link w:val="BodyTextChar"/>
    <w:rsid w:val="001D724A"/>
    <w:pPr>
      <w:spacing w:after="140" w:line="288" w:lineRule="auto"/>
    </w:pPr>
    <w:rPr>
      <w:rFonts w:ascii="Times New Roman" w:eastAsiaTheme="minorHAnsi" w:hAnsi="Times New Roman"/>
      <w:sz w:val="20"/>
      <w:szCs w:val="20"/>
      <w:lang w:bidi="ar-SA"/>
    </w:rPr>
  </w:style>
  <w:style w:type="character" w:customStyle="1" w:styleId="BodyTextChar">
    <w:name w:val="Body Text Char"/>
    <w:basedOn w:val="DefaultParagraphFont"/>
    <w:link w:val="BodyText"/>
    <w:rsid w:val="001D724A"/>
    <w:rPr>
      <w:rFonts w:eastAsiaTheme="minorHAnsi"/>
    </w:rPr>
  </w:style>
  <w:style w:type="paragraph" w:styleId="List">
    <w:name w:val="List"/>
    <w:basedOn w:val="BodyText"/>
    <w:rsid w:val="001D724A"/>
    <w:rPr>
      <w:rFonts w:cs="DejaVu Sans"/>
    </w:rPr>
  </w:style>
  <w:style w:type="paragraph" w:customStyle="1" w:styleId="Index">
    <w:name w:val="Index"/>
    <w:basedOn w:val="Normal"/>
    <w:qFormat/>
    <w:rsid w:val="001D724A"/>
    <w:pPr>
      <w:suppressLineNumbers/>
      <w:spacing w:line="240" w:lineRule="auto"/>
    </w:pPr>
    <w:rPr>
      <w:rFonts w:ascii="Times New Roman" w:eastAsiaTheme="minorHAnsi" w:hAnsi="Times New Roman" w:cs="DejaVu Sans"/>
      <w:sz w:val="20"/>
      <w:szCs w:val="20"/>
      <w:lang w:bidi="ar-SA"/>
    </w:rPr>
  </w:style>
  <w:style w:type="paragraph" w:customStyle="1" w:styleId="Reference">
    <w:name w:val="Reference"/>
    <w:basedOn w:val="Normal"/>
    <w:qFormat/>
    <w:rsid w:val="001D724A"/>
    <w:pPr>
      <w:spacing w:before="120" w:line="240" w:lineRule="auto"/>
      <w:ind w:left="720" w:hanging="720"/>
    </w:pPr>
    <w:rPr>
      <w:rFonts w:ascii="Times New Roman" w:hAnsi="Times New Roman"/>
      <w:lang w:bidi="ar-SA"/>
    </w:rPr>
  </w:style>
  <w:style w:type="paragraph" w:customStyle="1" w:styleId="Heading-Secondary">
    <w:name w:val="Heading-Secondary"/>
    <w:basedOn w:val="Heading-Main"/>
    <w:qFormat/>
    <w:rsid w:val="001D724A"/>
    <w:pPr>
      <w:ind w:left="720"/>
    </w:pPr>
    <w:rPr>
      <w:b w:val="0"/>
    </w:rPr>
  </w:style>
  <w:style w:type="paragraph" w:customStyle="1" w:styleId="Heading-Main">
    <w:name w:val="Heading-Main"/>
    <w:basedOn w:val="Normal"/>
    <w:qFormat/>
    <w:rsid w:val="001D724A"/>
    <w:pPr>
      <w:keepNext/>
      <w:spacing w:before="240" w:after="120" w:line="240" w:lineRule="auto"/>
      <w:outlineLvl w:val="0"/>
    </w:pPr>
    <w:rPr>
      <w:rFonts w:ascii="Times New Roman" w:hAnsi="Times New Roman"/>
      <w:b/>
      <w:bCs/>
      <w:lang w:bidi="ar-SA"/>
    </w:rPr>
  </w:style>
  <w:style w:type="paragraph" w:customStyle="1" w:styleId="Authors">
    <w:name w:val="Authors"/>
    <w:basedOn w:val="Normal"/>
    <w:qFormat/>
    <w:rsid w:val="001D724A"/>
    <w:pPr>
      <w:spacing w:before="120" w:after="360" w:line="240" w:lineRule="auto"/>
    </w:pPr>
    <w:rPr>
      <w:rFonts w:ascii="Times New Roman" w:hAnsi="Times New Roman"/>
      <w:b/>
      <w:lang w:bidi="ar-SA"/>
    </w:rPr>
  </w:style>
  <w:style w:type="paragraph" w:customStyle="1" w:styleId="Text">
    <w:name w:val="Text"/>
    <w:basedOn w:val="Normal"/>
    <w:qFormat/>
    <w:rsid w:val="001D724A"/>
    <w:pPr>
      <w:spacing w:before="120" w:line="240" w:lineRule="auto"/>
      <w:ind w:firstLine="720"/>
    </w:pPr>
    <w:rPr>
      <w:rFonts w:ascii="Times New Roman" w:hAnsi="Times New Roman"/>
      <w:lang w:bidi="ar-SA"/>
    </w:rPr>
  </w:style>
  <w:style w:type="paragraph" w:customStyle="1" w:styleId="FigureorTableCaption">
    <w:name w:val="Figure or Table Caption"/>
    <w:basedOn w:val="Normal"/>
    <w:qFormat/>
    <w:rsid w:val="001D724A"/>
    <w:pPr>
      <w:keepNext/>
      <w:spacing w:before="240" w:line="240" w:lineRule="auto"/>
      <w:outlineLvl w:val="0"/>
    </w:pPr>
    <w:rPr>
      <w:rFonts w:ascii="Times New Roman" w:hAnsi="Times New Roman"/>
      <w:lang w:bidi="ar-SA"/>
    </w:rPr>
  </w:style>
  <w:style w:type="paragraph" w:customStyle="1" w:styleId="Affiliation">
    <w:name w:val="Affiliation"/>
    <w:basedOn w:val="Text"/>
    <w:qFormat/>
    <w:rsid w:val="001D724A"/>
    <w:pPr>
      <w:ind w:firstLine="0"/>
    </w:pPr>
  </w:style>
  <w:style w:type="paragraph" w:customStyle="1" w:styleId="KeyPoints">
    <w:name w:val="Key Points"/>
    <w:basedOn w:val="Normal"/>
    <w:qFormat/>
    <w:rsid w:val="001D724A"/>
    <w:pPr>
      <w:spacing w:before="120" w:line="240" w:lineRule="auto"/>
    </w:pPr>
    <w:rPr>
      <w:rFonts w:ascii="Times New Roman" w:hAnsi="Times New Roman"/>
      <w:lang w:bidi="ar-SA"/>
    </w:rPr>
  </w:style>
  <w:style w:type="paragraph" w:customStyle="1" w:styleId="Note">
    <w:name w:val="Note"/>
    <w:basedOn w:val="Normal"/>
    <w:qFormat/>
    <w:rsid w:val="001D724A"/>
    <w:pPr>
      <w:spacing w:before="240" w:after="240" w:line="240" w:lineRule="auto"/>
    </w:pPr>
    <w:rPr>
      <w:rFonts w:ascii="Times New Roman" w:eastAsiaTheme="minorHAnsi" w:hAnsi="Times New Roman"/>
      <w:color w:val="00B0F0"/>
      <w:sz w:val="20"/>
      <w:szCs w:val="20"/>
      <w:lang w:bidi="ar-SA"/>
    </w:rPr>
  </w:style>
  <w:style w:type="paragraph" w:styleId="TOC4">
    <w:name w:val="toc 4"/>
    <w:basedOn w:val="Normal"/>
    <w:next w:val="Normal"/>
    <w:autoRedefine/>
    <w:uiPriority w:val="39"/>
    <w:unhideWhenUsed/>
    <w:rsid w:val="00FE43A9"/>
    <w:pPr>
      <w:ind w:left="720"/>
    </w:pPr>
    <w:rPr>
      <w:rFonts w:cstheme="minorHAnsi"/>
      <w:sz w:val="20"/>
      <w:szCs w:val="20"/>
    </w:rPr>
  </w:style>
  <w:style w:type="paragraph" w:styleId="TOC5">
    <w:name w:val="toc 5"/>
    <w:basedOn w:val="Normal"/>
    <w:next w:val="Normal"/>
    <w:autoRedefine/>
    <w:uiPriority w:val="39"/>
    <w:unhideWhenUsed/>
    <w:rsid w:val="00FE43A9"/>
    <w:pPr>
      <w:ind w:left="960"/>
    </w:pPr>
    <w:rPr>
      <w:rFonts w:cstheme="minorHAnsi"/>
      <w:sz w:val="20"/>
      <w:szCs w:val="20"/>
    </w:rPr>
  </w:style>
  <w:style w:type="paragraph" w:styleId="TOC6">
    <w:name w:val="toc 6"/>
    <w:basedOn w:val="Normal"/>
    <w:next w:val="Normal"/>
    <w:autoRedefine/>
    <w:uiPriority w:val="39"/>
    <w:unhideWhenUsed/>
    <w:rsid w:val="00FE43A9"/>
    <w:pPr>
      <w:ind w:left="1200"/>
    </w:pPr>
    <w:rPr>
      <w:rFonts w:cstheme="minorHAnsi"/>
      <w:sz w:val="20"/>
      <w:szCs w:val="20"/>
    </w:rPr>
  </w:style>
  <w:style w:type="paragraph" w:styleId="TOC7">
    <w:name w:val="toc 7"/>
    <w:basedOn w:val="Normal"/>
    <w:next w:val="Normal"/>
    <w:autoRedefine/>
    <w:uiPriority w:val="39"/>
    <w:unhideWhenUsed/>
    <w:rsid w:val="00FE43A9"/>
    <w:pPr>
      <w:ind w:left="1440"/>
    </w:pPr>
    <w:rPr>
      <w:rFonts w:cstheme="minorHAnsi"/>
      <w:sz w:val="20"/>
      <w:szCs w:val="20"/>
    </w:rPr>
  </w:style>
  <w:style w:type="paragraph" w:styleId="TOC8">
    <w:name w:val="toc 8"/>
    <w:basedOn w:val="Normal"/>
    <w:next w:val="Normal"/>
    <w:autoRedefine/>
    <w:uiPriority w:val="39"/>
    <w:unhideWhenUsed/>
    <w:rsid w:val="00FE43A9"/>
    <w:pPr>
      <w:ind w:left="1680"/>
    </w:pPr>
    <w:rPr>
      <w:rFonts w:cstheme="minorHAnsi"/>
      <w:sz w:val="20"/>
      <w:szCs w:val="20"/>
    </w:rPr>
  </w:style>
  <w:style w:type="paragraph" w:styleId="TOC9">
    <w:name w:val="toc 9"/>
    <w:basedOn w:val="Normal"/>
    <w:next w:val="Normal"/>
    <w:autoRedefine/>
    <w:uiPriority w:val="39"/>
    <w:unhideWhenUsed/>
    <w:rsid w:val="00FE43A9"/>
    <w:pPr>
      <w:ind w:left="1920"/>
    </w:pPr>
    <w:rPr>
      <w:rFonts w:cstheme="minorHAnsi"/>
      <w:sz w:val="20"/>
      <w:szCs w:val="20"/>
    </w:rPr>
  </w:style>
  <w:style w:type="character" w:customStyle="1" w:styleId="UnresolvedMention">
    <w:name w:val="Unresolved Mention"/>
    <w:basedOn w:val="DefaultParagraphFont"/>
    <w:uiPriority w:val="99"/>
    <w:semiHidden/>
    <w:unhideWhenUsed/>
    <w:rsid w:val="004F40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emf"/><Relationship Id="rId63" Type="http://schemas.openxmlformats.org/officeDocument/2006/relationships/image" Target="media/image49.png"/><Relationship Id="rId68" Type="http://schemas.openxmlformats.org/officeDocument/2006/relationships/image" Target="media/image54.png"/><Relationship Id="rId84" Type="http://schemas.openxmlformats.org/officeDocument/2006/relationships/image" Target="media/image65.png"/><Relationship Id="rId89" Type="http://schemas.openxmlformats.org/officeDocument/2006/relationships/image" Target="media/image70.png"/><Relationship Id="rId16" Type="http://schemas.openxmlformats.org/officeDocument/2006/relationships/image" Target="media/image5.png"/><Relationship Id="rId11" Type="http://schemas.openxmlformats.org/officeDocument/2006/relationships/footer" Target="footer1.xml"/><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hyperlink" Target="https://github.com/raplima/remote_sensing-transfer_learning" TargetMode="External"/><Relationship Id="rId79" Type="http://schemas.openxmlformats.org/officeDocument/2006/relationships/image" Target="media/image60.png"/><Relationship Id="rId5" Type="http://schemas.openxmlformats.org/officeDocument/2006/relationships/numbering" Target="numbering.xml"/><Relationship Id="rId90" Type="http://schemas.openxmlformats.org/officeDocument/2006/relationships/image" Target="media/image71.png"/><Relationship Id="rId95" Type="http://schemas.openxmlformats.org/officeDocument/2006/relationships/glossaryDocument" Target="glossary/document.xml"/><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image" Target="media/image32.emf"/><Relationship Id="rId48" Type="http://schemas.openxmlformats.org/officeDocument/2006/relationships/image" Target="media/image37.emf"/><Relationship Id="rId64" Type="http://schemas.openxmlformats.org/officeDocument/2006/relationships/image" Target="media/image50.png"/><Relationship Id="rId69" Type="http://schemas.openxmlformats.org/officeDocument/2006/relationships/image" Target="media/image55.png"/><Relationship Id="rId8" Type="http://schemas.openxmlformats.org/officeDocument/2006/relationships/webSettings" Target="webSettings.xml"/><Relationship Id="rId51" Type="http://schemas.openxmlformats.org/officeDocument/2006/relationships/image" Target="media/image40.png"/><Relationship Id="rId72" Type="http://schemas.openxmlformats.org/officeDocument/2006/relationships/hyperlink" Target="http://captain.whu.edu.cn/WUDA-RSImg/aid.html" TargetMode="External"/><Relationship Id="rId80" Type="http://schemas.openxmlformats.org/officeDocument/2006/relationships/image" Target="media/image61.png"/><Relationship Id="rId85" Type="http://schemas.openxmlformats.org/officeDocument/2006/relationships/image" Target="media/image66.png"/><Relationship Id="rId93"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emf"/><Relationship Id="rId59" Type="http://schemas.openxmlformats.org/officeDocument/2006/relationships/hyperlink" Target="http://weegee.vision.ucmerced.edu/datasets/landuse.html" TargetMode="External"/><Relationship Id="rId67" Type="http://schemas.openxmlformats.org/officeDocument/2006/relationships/image" Target="media/image53.pn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48.png"/><Relationship Id="rId70" Type="http://schemas.openxmlformats.org/officeDocument/2006/relationships/image" Target="media/image56.png"/><Relationship Id="rId75" Type="http://schemas.openxmlformats.org/officeDocument/2006/relationships/hyperlink" Target="mailto:E2@4.6" TargetMode="External"/><Relationship Id="rId83" Type="http://schemas.openxmlformats.org/officeDocument/2006/relationships/image" Target="media/image64.png"/><Relationship Id="rId88" Type="http://schemas.openxmlformats.org/officeDocument/2006/relationships/image" Target="media/image69.png"/><Relationship Id="rId91" Type="http://schemas.openxmlformats.org/officeDocument/2006/relationships/image" Target="media/image72.png"/><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endnotes" Target="endnotes.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hyperlink" Target="http://captain.whu.edu.cn/WUDA-RSImg/aid.html" TargetMode="External"/><Relationship Id="rId65" Type="http://schemas.openxmlformats.org/officeDocument/2006/relationships/image" Target="media/image51.png"/><Relationship Id="rId73" Type="http://schemas.openxmlformats.org/officeDocument/2006/relationships/hyperlink" Target="https://sites.google.com/view/zhouwx/dataset" TargetMode="External"/><Relationship Id="rId78" Type="http://schemas.openxmlformats.org/officeDocument/2006/relationships/image" Target="media/image59.png"/><Relationship Id="rId81" Type="http://schemas.openxmlformats.org/officeDocument/2006/relationships/image" Target="media/image62.png"/><Relationship Id="rId86" Type="http://schemas.openxmlformats.org/officeDocument/2006/relationships/image" Target="media/image67.png"/><Relationship Id="rId9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emf"/><Relationship Id="rId18" Type="http://schemas.openxmlformats.org/officeDocument/2006/relationships/image" Target="media/image7.pn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57.png"/><Relationship Id="rId7" Type="http://schemas.openxmlformats.org/officeDocument/2006/relationships/settings" Target="settings.xml"/><Relationship Id="rId71" Type="http://schemas.openxmlformats.org/officeDocument/2006/relationships/hyperlink" Target="http://weegee.vision.ucmerced.edu/datasets/landuse.html" TargetMode="External"/><Relationship Id="rId92" Type="http://schemas.openxmlformats.org/officeDocument/2006/relationships/image" Target="media/image73.png"/><Relationship Id="rId2" Type="http://schemas.openxmlformats.org/officeDocument/2006/relationships/customXml" Target="../customXml/item2.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emf"/><Relationship Id="rId66" Type="http://schemas.openxmlformats.org/officeDocument/2006/relationships/image" Target="media/image52.png"/><Relationship Id="rId87" Type="http://schemas.openxmlformats.org/officeDocument/2006/relationships/image" Target="media/image68.png"/><Relationship Id="rId61" Type="http://schemas.openxmlformats.org/officeDocument/2006/relationships/hyperlink" Target="https://sites.google.com/view/zhouwx/dataset" TargetMode="External"/><Relationship Id="rId82" Type="http://schemas.openxmlformats.org/officeDocument/2006/relationships/image" Target="media/image63.png"/><Relationship Id="rId19" Type="http://schemas.openxmlformats.org/officeDocument/2006/relationships/image" Target="media/image8.png"/><Relationship Id="rId14" Type="http://schemas.openxmlformats.org/officeDocument/2006/relationships/image" Target="media/image3.png"/><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image" Target="media/image45.png"/><Relationship Id="rId77" Type="http://schemas.openxmlformats.org/officeDocument/2006/relationships/image" Target="media/image5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2DCAA8C8C1B74D6EAF7A754B2BB601F6"/>
        <w:category>
          <w:name w:val="General"/>
          <w:gallery w:val="placeholder"/>
        </w:category>
        <w:types>
          <w:type w:val="bbPlcHdr"/>
        </w:types>
        <w:behaviors>
          <w:behavior w:val="content"/>
        </w:behaviors>
        <w:guid w:val="{5A3A86FE-7922-4F18-87D9-EF556D53FEEA}"/>
      </w:docPartPr>
      <w:docPartBody>
        <w:p w:rsidR="00AD7AA9" w:rsidRDefault="00045235" w:rsidP="00045235">
          <w:pPr>
            <w:pStyle w:val="2DCAA8C8C1B74D6EAF7A754B2BB601F6"/>
          </w:pPr>
          <w:r w:rsidRPr="00AC7F25">
            <w:rPr>
              <w:rStyle w:val="PlaceholderText"/>
            </w:rPr>
            <w:t>Choose an item.</w:t>
          </w:r>
        </w:p>
      </w:docPartBody>
    </w:docPart>
    <w:docPart>
      <w:docPartPr>
        <w:name w:val="DA806E397DC842508EF4DF85269E45AE"/>
        <w:category>
          <w:name w:val="General"/>
          <w:gallery w:val="placeholder"/>
        </w:category>
        <w:types>
          <w:type w:val="bbPlcHdr"/>
        </w:types>
        <w:behaviors>
          <w:behavior w:val="content"/>
        </w:behaviors>
        <w:guid w:val="{A8BE74F5-DE03-4D95-BBC1-6EE500F11C2E}"/>
      </w:docPartPr>
      <w:docPartBody>
        <w:p w:rsidR="00AD7AA9" w:rsidRDefault="00045235" w:rsidP="00045235">
          <w:pPr>
            <w:pStyle w:val="DA806E397DC842508EF4DF85269E45AE"/>
          </w:pPr>
          <w:r w:rsidRPr="001F1C68">
            <w:rPr>
              <w:rStyle w:val="PlaceholderText"/>
            </w:rPr>
            <w:t>Click here to enter text.</w:t>
          </w:r>
        </w:p>
      </w:docPartBody>
    </w:docPart>
    <w:docPart>
      <w:docPartPr>
        <w:name w:val="9473ECB0C550424D8A298F9501EE09A1"/>
        <w:category>
          <w:name w:val="General"/>
          <w:gallery w:val="placeholder"/>
        </w:category>
        <w:types>
          <w:type w:val="bbPlcHdr"/>
        </w:types>
        <w:behaviors>
          <w:behavior w:val="content"/>
        </w:behaviors>
        <w:guid w:val="{A2C27EE3-BB1C-4C33-B04F-BBDAAD6CD8F6}"/>
      </w:docPartPr>
      <w:docPartBody>
        <w:p w:rsidR="00AD7AA9" w:rsidRDefault="00045235" w:rsidP="00045235">
          <w:pPr>
            <w:pStyle w:val="9473ECB0C550424D8A298F9501EE09A1"/>
          </w:pPr>
          <w:r w:rsidRPr="00AC7F25">
            <w:rPr>
              <w:rStyle w:val="PlaceholderText"/>
            </w:rPr>
            <w:t>Choose an item.</w:t>
          </w:r>
        </w:p>
      </w:docPartBody>
    </w:docPart>
    <w:docPart>
      <w:docPartPr>
        <w:name w:val="E76CD3450AB7403A9E1149A692198555"/>
        <w:category>
          <w:name w:val="General"/>
          <w:gallery w:val="placeholder"/>
        </w:category>
        <w:types>
          <w:type w:val="bbPlcHdr"/>
        </w:types>
        <w:behaviors>
          <w:behavior w:val="content"/>
        </w:behaviors>
        <w:guid w:val="{AE2CBFF6-0A74-4D68-B85C-3EB457815787}"/>
      </w:docPartPr>
      <w:docPartBody>
        <w:p w:rsidR="00AD7AA9" w:rsidRDefault="00045235" w:rsidP="00045235">
          <w:pPr>
            <w:pStyle w:val="E76CD3450AB7403A9E1149A692198555"/>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ZYSong18030">
    <w:panose1 w:val="00000000000000000000"/>
    <w:charset w:val="00"/>
    <w:family w:val="roman"/>
    <w:notTrueType/>
    <w:pitch w:val="default"/>
  </w:font>
  <w:font w:name="DejaVu Sans">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045235"/>
    <w:rsid w:val="00045235"/>
    <w:rsid w:val="00063D21"/>
    <w:rsid w:val="0009005F"/>
    <w:rsid w:val="000C5B2E"/>
    <w:rsid w:val="00151A9E"/>
    <w:rsid w:val="001924A2"/>
    <w:rsid w:val="001D26AE"/>
    <w:rsid w:val="001F1822"/>
    <w:rsid w:val="00232FC8"/>
    <w:rsid w:val="002805E2"/>
    <w:rsid w:val="002F2904"/>
    <w:rsid w:val="00303490"/>
    <w:rsid w:val="003153C5"/>
    <w:rsid w:val="00327900"/>
    <w:rsid w:val="004F10EE"/>
    <w:rsid w:val="00517FB1"/>
    <w:rsid w:val="0053599A"/>
    <w:rsid w:val="005C08FC"/>
    <w:rsid w:val="0060095D"/>
    <w:rsid w:val="00617A9D"/>
    <w:rsid w:val="00656A55"/>
    <w:rsid w:val="00713126"/>
    <w:rsid w:val="007332C0"/>
    <w:rsid w:val="007772E6"/>
    <w:rsid w:val="007B7BE5"/>
    <w:rsid w:val="007D11E5"/>
    <w:rsid w:val="0086030F"/>
    <w:rsid w:val="008809FC"/>
    <w:rsid w:val="00893142"/>
    <w:rsid w:val="008B7CFD"/>
    <w:rsid w:val="008C0287"/>
    <w:rsid w:val="008C532B"/>
    <w:rsid w:val="008D1845"/>
    <w:rsid w:val="00943536"/>
    <w:rsid w:val="009A7815"/>
    <w:rsid w:val="009D68F6"/>
    <w:rsid w:val="00A4381C"/>
    <w:rsid w:val="00AD7AA9"/>
    <w:rsid w:val="00B12DA6"/>
    <w:rsid w:val="00BF24AA"/>
    <w:rsid w:val="00C30249"/>
    <w:rsid w:val="00C52808"/>
    <w:rsid w:val="00C54A6A"/>
    <w:rsid w:val="00CD1817"/>
    <w:rsid w:val="00E5448F"/>
    <w:rsid w:val="00E637F6"/>
    <w:rsid w:val="00F072BC"/>
    <w:rsid w:val="00FD6EC6"/>
    <w:rsid w:val="00FF11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6A55"/>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FB6BC100256848A5A97B47EF9500A1F03">
    <w:name w:val="FB6BC100256848A5A97B47EF9500A1F03"/>
    <w:rsid w:val="009D68F6"/>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B35E9B34D4B540A5782920032EE300" ma:contentTypeVersion="13" ma:contentTypeDescription="Create a new document." ma:contentTypeScope="" ma:versionID="4e7465cd6ce3a857a7c13b5c010282bf">
  <xsd:schema xmlns:xsd="http://www.w3.org/2001/XMLSchema" xmlns:xs="http://www.w3.org/2001/XMLSchema" xmlns:p="http://schemas.microsoft.com/office/2006/metadata/properties" xmlns:ns3="84414299-4190-4ce0-817c-498f52f0e748" xmlns:ns4="a93bf28d-c3e5-4b25-b576-f1cfe2078d75" targetNamespace="http://schemas.microsoft.com/office/2006/metadata/properties" ma:root="true" ma:fieldsID="caac6917733426c79634c842ba422af0" ns3:_="" ns4:_="">
    <xsd:import namespace="84414299-4190-4ce0-817c-498f52f0e748"/>
    <xsd:import namespace="a93bf28d-c3e5-4b25-b576-f1cfe2078d7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414299-4190-4ce0-817c-498f52f0e74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3bf28d-c3e5-4b25-b576-f1cfe2078d7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F78A6-804E-4D1E-8372-E1D1008B89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414299-4190-4ce0-817c-498f52f0e748"/>
    <ds:schemaRef ds:uri="a93bf28d-c3e5-4b25-b576-f1cfe2078d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2CCC33-1C09-495C-9292-9FD2E32274C9}">
  <ds:schemaRefs>
    <ds:schemaRef ds:uri="http://schemas.microsoft.com/sharepoint/v3/contenttype/forms"/>
  </ds:schemaRefs>
</ds:datastoreItem>
</file>

<file path=customXml/itemProps3.xml><?xml version="1.0" encoding="utf-8"?>
<ds:datastoreItem xmlns:ds="http://schemas.openxmlformats.org/officeDocument/2006/customXml" ds:itemID="{9D14082C-68BF-42A0-92C5-45A08D77AAC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E5D55CA-2E02-4CFB-947B-9E2E859E7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447</TotalTime>
  <Pages>250</Pages>
  <Words>162954</Words>
  <Characters>928841</Characters>
  <Application>Microsoft Office Word</Application>
  <DocSecurity>0</DocSecurity>
  <Lines>7740</Lines>
  <Paragraphs>2179</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1089616</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Windows User</cp:lastModifiedBy>
  <cp:revision>38</cp:revision>
  <cp:lastPrinted>2019-11-01T01:23:00Z</cp:lastPrinted>
  <dcterms:created xsi:type="dcterms:W3CDTF">2019-11-14T03:20:00Z</dcterms:created>
  <dcterms:modified xsi:type="dcterms:W3CDTF">2019-12-09T15:34:00Z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http://www.zotero.org/styles/harvard-cite-them-right</vt:lpwstr>
  </property>
  <property fmtid="{D5CDD505-2E9C-101B-9397-08002B2CF9AE}" pid="5" name="Mendeley Recent Style Name 1_1">
    <vt:lpwstr>Cite Them Right 10th edition - Harvard</vt:lpwstr>
  </property>
  <property fmtid="{D5CDD505-2E9C-101B-9397-08002B2CF9AE}" pid="6" name="Mendeley Recent Style Id 2_1">
    <vt:lpwstr>http://www.zotero.org/styles/computers-and-geosciences</vt:lpwstr>
  </property>
  <property fmtid="{D5CDD505-2E9C-101B-9397-08002B2CF9AE}" pid="7" name="Mendeley Recent Style Name 2_1">
    <vt:lpwstr>Computers and Geosciences</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http://www.zotero.org/styles/modern-humanities-research-association</vt:lpwstr>
  </property>
  <property fmtid="{D5CDD505-2E9C-101B-9397-08002B2CF9AE}" pid="11" name="Mendeley Recent Style Name 4_1">
    <vt:lpwstr>Modern Humanities Research Association 3rd edition (note with bibliography)</vt:lpwstr>
  </property>
  <property fmtid="{D5CDD505-2E9C-101B-9397-08002B2CF9AE}" pid="12" name="Mendeley Recent Style Id 5_1">
    <vt:lpwstr>http://www.zotero.org/styles/modern-language-association</vt:lpwstr>
  </property>
  <property fmtid="{D5CDD505-2E9C-101B-9397-08002B2CF9AE}" pid="13" name="Mendeley Recent Style Name 5_1">
    <vt:lpwstr>Modern Language Association 8th edition</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http://csl.mendeley.com/styles/510906061/palaeontologia-electronica-NoMonth</vt:lpwstr>
  </property>
  <property fmtid="{D5CDD505-2E9C-101B-9397-08002B2CF9AE}" pid="17" name="Mendeley Recent Style Name 7_1">
    <vt:lpwstr>Palaeontologia Electronica</vt:lpwstr>
  </property>
  <property fmtid="{D5CDD505-2E9C-101B-9397-08002B2CF9AE}" pid="18" name="Mendeley Recent Style Id 8_1">
    <vt:lpwstr>http://csl.mendeley.com/styles/510906061/american-association-of-petroleum-geologists</vt:lpwstr>
  </property>
  <property fmtid="{D5CDD505-2E9C-101B-9397-08002B2CF9AE}" pid="19" name="Mendeley Recent Style Name 8_1">
    <vt:lpwstr>SEG From AAPG - Rafael - Rafael Pires de Lima</vt:lpwstr>
  </property>
  <property fmtid="{D5CDD505-2E9C-101B-9397-08002B2CF9AE}" pid="20" name="Mendeley Recent Style Id 9_1">
    <vt:lpwstr>http://csl.mendeley.com/styles/510906061/TSR-from-AAPG</vt:lpwstr>
  </property>
  <property fmtid="{D5CDD505-2E9C-101B-9397-08002B2CF9AE}" pid="21" name="Mendeley Recent Style Name 9_1">
    <vt:lpwstr>TSR-from-AAPG</vt:lpwstr>
  </property>
  <property fmtid="{D5CDD505-2E9C-101B-9397-08002B2CF9AE}" pid="22" name="Mendeley Document_1">
    <vt:lpwstr>True</vt:lpwstr>
  </property>
  <property fmtid="{D5CDD505-2E9C-101B-9397-08002B2CF9AE}" pid="23" name="Mendeley Unique User Id_1">
    <vt:lpwstr>06f78e51-487d-370e-b0bb-c620882aa3eb</vt:lpwstr>
  </property>
  <property fmtid="{D5CDD505-2E9C-101B-9397-08002B2CF9AE}" pid="24" name="Mendeley Citation Style_1">
    <vt:lpwstr>http://www.zotero.org/styles/computers-and-geosciences</vt:lpwstr>
  </property>
  <property fmtid="{D5CDD505-2E9C-101B-9397-08002B2CF9AE}" pid="25" name="ContentTypeId">
    <vt:lpwstr>0x01010029B35E9B34D4B540A5782920032EE300</vt:lpwstr>
  </property>
</Properties>
</file>