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2BA" w:rsidRDefault="009632BA" w:rsidP="00BB04E8">
      <w:pPr>
        <w:tabs>
          <w:tab w:val="left" w:pos="1350"/>
        </w:tabs>
        <w:spacing w:after="200" w:line="480" w:lineRule="auto"/>
        <w:contextualSpacing/>
        <w:jc w:val="center"/>
        <w:rPr>
          <w:rFonts w:eastAsia="Calibri"/>
        </w:rPr>
      </w:pPr>
      <w:r>
        <w:rPr>
          <w:rFonts w:eastAsia="Calibri"/>
        </w:rPr>
        <w:t>UNIVERSITY OF OKLAHOMA</w:t>
      </w:r>
    </w:p>
    <w:p w:rsidR="009632BA" w:rsidRDefault="009632BA" w:rsidP="009632BA">
      <w:pPr>
        <w:spacing w:after="200" w:line="480" w:lineRule="auto"/>
        <w:contextualSpacing/>
        <w:jc w:val="center"/>
        <w:rPr>
          <w:rFonts w:eastAsia="Calibri"/>
        </w:rPr>
      </w:pPr>
      <w:r>
        <w:rPr>
          <w:rFonts w:eastAsia="Calibri"/>
        </w:rPr>
        <w:t>GRADUATE COLLEGE</w:t>
      </w: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p>
    <w:p w:rsidR="008D6BD4" w:rsidRDefault="008D6BD4" w:rsidP="008D6BD4">
      <w:pPr>
        <w:spacing w:after="200" w:line="480" w:lineRule="auto"/>
        <w:contextualSpacing/>
        <w:jc w:val="center"/>
        <w:rPr>
          <w:rFonts w:eastAsia="Calibri"/>
        </w:rPr>
      </w:pPr>
      <w:r>
        <w:rPr>
          <w:rFonts w:eastAsia="Calibri"/>
        </w:rPr>
        <w:t xml:space="preserve">EXAMINING </w:t>
      </w:r>
      <w:r w:rsidR="009E5F29">
        <w:rPr>
          <w:rFonts w:eastAsia="Calibri"/>
        </w:rPr>
        <w:t>WORLD-SYSTEMS AND I</w:t>
      </w:r>
      <w:r w:rsidR="007F154D">
        <w:rPr>
          <w:rFonts w:eastAsia="Calibri"/>
        </w:rPr>
        <w:t xml:space="preserve">NCOME </w:t>
      </w:r>
      <w:r w:rsidR="00AB2F17">
        <w:rPr>
          <w:rFonts w:eastAsia="Calibri"/>
        </w:rPr>
        <w:t xml:space="preserve">INEQUALITY </w:t>
      </w:r>
      <w:r w:rsidR="009E5F29">
        <w:rPr>
          <w:rFonts w:eastAsia="Calibri"/>
        </w:rPr>
        <w:t>EFFECTS ON</w:t>
      </w:r>
      <w:r w:rsidR="00AB2F17">
        <w:rPr>
          <w:rFonts w:eastAsia="Calibri"/>
        </w:rPr>
        <w:t xml:space="preserve"> </w:t>
      </w:r>
      <w:r>
        <w:rPr>
          <w:rFonts w:eastAsia="Calibri"/>
        </w:rPr>
        <w:t>INCARCERATION RATES: A CROSS-NATIONAL STUDY</w:t>
      </w: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r>
        <w:rPr>
          <w:rFonts w:eastAsia="Calibri"/>
        </w:rPr>
        <w:t>A DISSERTATION</w:t>
      </w:r>
    </w:p>
    <w:p w:rsidR="009632BA" w:rsidRDefault="009632BA" w:rsidP="009632BA">
      <w:pPr>
        <w:spacing w:after="200" w:line="480" w:lineRule="auto"/>
        <w:contextualSpacing/>
        <w:jc w:val="center"/>
        <w:rPr>
          <w:rFonts w:eastAsia="Calibri"/>
        </w:rPr>
      </w:pPr>
      <w:r>
        <w:rPr>
          <w:rFonts w:eastAsia="Calibri"/>
        </w:rPr>
        <w:t>SUBMITTED TO THE GRADUATE FACULTY</w:t>
      </w:r>
    </w:p>
    <w:p w:rsidR="009632BA" w:rsidRPr="00611A9D" w:rsidRDefault="009632BA" w:rsidP="009632BA">
      <w:pPr>
        <w:spacing w:after="200" w:line="480" w:lineRule="auto"/>
        <w:contextualSpacing/>
        <w:jc w:val="center"/>
        <w:rPr>
          <w:rFonts w:eastAsia="Calibri"/>
          <w:noProof/>
        </w:rPr>
      </w:pPr>
      <w:r w:rsidRPr="00611A9D">
        <w:rPr>
          <w:rFonts w:eastAsia="Calibri"/>
          <w:noProof/>
        </w:rPr>
        <w:t xml:space="preserve">in partial fulfillment of the requirements for the </w:t>
      </w:r>
    </w:p>
    <w:p w:rsidR="009632BA" w:rsidRPr="00C22CEC" w:rsidRDefault="009632BA" w:rsidP="009632BA">
      <w:pPr>
        <w:spacing w:after="200" w:line="480" w:lineRule="auto"/>
        <w:contextualSpacing/>
        <w:jc w:val="center"/>
        <w:rPr>
          <w:rFonts w:eastAsia="Calibri"/>
          <w:noProof/>
        </w:rPr>
      </w:pPr>
      <w:r w:rsidRPr="00611A9D">
        <w:rPr>
          <w:rFonts w:eastAsia="Calibri"/>
          <w:noProof/>
        </w:rPr>
        <w:t>Degree of</w:t>
      </w:r>
      <w:r w:rsidRPr="00C22CEC">
        <w:rPr>
          <w:rFonts w:eastAsia="Calibri"/>
          <w:noProof/>
        </w:rPr>
        <w:t xml:space="preserve"> </w:t>
      </w:r>
    </w:p>
    <w:p w:rsidR="009632BA" w:rsidRDefault="009632BA" w:rsidP="009632BA">
      <w:pPr>
        <w:spacing w:after="200" w:line="480" w:lineRule="auto"/>
        <w:contextualSpacing/>
        <w:jc w:val="center"/>
        <w:rPr>
          <w:rFonts w:eastAsia="Calibri"/>
        </w:rPr>
      </w:pPr>
      <w:r w:rsidRPr="00C22CEC">
        <w:rPr>
          <w:rFonts w:eastAsia="Calibri"/>
          <w:noProof/>
        </w:rPr>
        <w:t>DOCTOR OF PHILOSOPHY</w:t>
      </w: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r>
        <w:rPr>
          <w:rFonts w:eastAsia="Calibri"/>
        </w:rPr>
        <w:t>By</w:t>
      </w:r>
    </w:p>
    <w:p w:rsidR="009632BA" w:rsidRDefault="009632BA" w:rsidP="009632BA">
      <w:pPr>
        <w:spacing w:after="200" w:line="240" w:lineRule="auto"/>
        <w:contextualSpacing/>
        <w:jc w:val="center"/>
        <w:rPr>
          <w:rFonts w:eastAsia="Calibri"/>
        </w:rPr>
      </w:pPr>
      <w:r>
        <w:rPr>
          <w:rFonts w:eastAsia="Calibri"/>
        </w:rPr>
        <w:t>BURLE G. STEELMAN</w:t>
      </w:r>
    </w:p>
    <w:p w:rsidR="009632BA" w:rsidRDefault="009632BA" w:rsidP="009632BA">
      <w:pPr>
        <w:spacing w:after="200" w:line="240" w:lineRule="auto"/>
        <w:contextualSpacing/>
        <w:jc w:val="center"/>
        <w:rPr>
          <w:rFonts w:eastAsia="Calibri"/>
        </w:rPr>
      </w:pPr>
      <w:r>
        <w:rPr>
          <w:rFonts w:eastAsia="Calibri"/>
        </w:rPr>
        <w:t>Norman, Oklahoma</w:t>
      </w:r>
    </w:p>
    <w:p w:rsidR="009632BA" w:rsidRDefault="0074405C" w:rsidP="009632BA">
      <w:pPr>
        <w:spacing w:after="200" w:line="240" w:lineRule="auto"/>
        <w:contextualSpacing/>
        <w:jc w:val="center"/>
        <w:rPr>
          <w:rFonts w:eastAsia="Calibri"/>
        </w:rPr>
      </w:pPr>
      <w:r>
        <w:rPr>
          <w:rFonts w:eastAsia="Calibri"/>
        </w:rPr>
        <w:t>2016</w:t>
      </w:r>
    </w:p>
    <w:p w:rsidR="009632BA" w:rsidRDefault="009632BA" w:rsidP="009632BA">
      <w:pPr>
        <w:spacing w:after="200" w:line="480" w:lineRule="auto"/>
        <w:contextualSpacing/>
        <w:jc w:val="center"/>
        <w:rPr>
          <w:rFonts w:eastAsia="Calibri"/>
        </w:rPr>
      </w:pPr>
    </w:p>
    <w:p w:rsidR="009632BA" w:rsidRDefault="009632BA" w:rsidP="009632BA">
      <w:pPr>
        <w:spacing w:after="200" w:line="480" w:lineRule="auto"/>
        <w:contextualSpacing/>
        <w:jc w:val="center"/>
        <w:rPr>
          <w:rFonts w:eastAsia="Calibri"/>
        </w:rPr>
      </w:pPr>
    </w:p>
    <w:p w:rsidR="009632BA" w:rsidRPr="003B6046" w:rsidRDefault="009632BA" w:rsidP="009632BA">
      <w:pPr>
        <w:spacing w:after="200" w:line="480" w:lineRule="auto"/>
        <w:contextualSpacing/>
        <w:jc w:val="center"/>
        <w:rPr>
          <w:rFonts w:eastAsia="Calibri"/>
          <w:vertAlign w:val="superscript"/>
        </w:rPr>
      </w:pPr>
    </w:p>
    <w:p w:rsidR="009632BA" w:rsidRDefault="009632BA" w:rsidP="009632BA">
      <w:pPr>
        <w:spacing w:after="200" w:line="480" w:lineRule="auto"/>
        <w:contextualSpacing/>
        <w:jc w:val="center"/>
        <w:rPr>
          <w:rFonts w:eastAsia="Calibri"/>
        </w:rPr>
      </w:pPr>
    </w:p>
    <w:p w:rsidR="00A86532" w:rsidRDefault="00A86532" w:rsidP="009632BA">
      <w:pPr>
        <w:spacing w:after="200" w:line="480" w:lineRule="auto"/>
        <w:contextualSpacing/>
        <w:jc w:val="center"/>
        <w:rPr>
          <w:rFonts w:eastAsia="Calibri"/>
        </w:rPr>
      </w:pPr>
    </w:p>
    <w:p w:rsidR="009632BA" w:rsidRDefault="00715377" w:rsidP="00A86532">
      <w:pPr>
        <w:spacing w:after="200" w:line="240" w:lineRule="auto"/>
        <w:contextualSpacing/>
        <w:jc w:val="center"/>
        <w:rPr>
          <w:rFonts w:eastAsia="Calibri"/>
        </w:rPr>
      </w:pPr>
      <w:r>
        <w:rPr>
          <w:rFonts w:eastAsia="Calibri"/>
        </w:rPr>
        <w:t>EXAMINING</w:t>
      </w:r>
      <w:r w:rsidR="007F154D">
        <w:rPr>
          <w:rFonts w:eastAsia="Calibri"/>
        </w:rPr>
        <w:t xml:space="preserve"> </w:t>
      </w:r>
      <w:r w:rsidR="009E5F29">
        <w:rPr>
          <w:rFonts w:eastAsia="Calibri"/>
        </w:rPr>
        <w:t xml:space="preserve">WORLDS-SYSTEMS AND </w:t>
      </w:r>
      <w:r w:rsidR="007F154D">
        <w:rPr>
          <w:rFonts w:eastAsia="Calibri"/>
        </w:rPr>
        <w:t>INCOME</w:t>
      </w:r>
      <w:r>
        <w:rPr>
          <w:rFonts w:eastAsia="Calibri"/>
        </w:rPr>
        <w:t xml:space="preserve"> </w:t>
      </w:r>
      <w:r w:rsidR="00AB2F17">
        <w:rPr>
          <w:rFonts w:eastAsia="Calibri"/>
        </w:rPr>
        <w:t xml:space="preserve">INEQUALITY </w:t>
      </w:r>
      <w:r w:rsidR="009E5F29">
        <w:rPr>
          <w:rFonts w:eastAsia="Calibri"/>
        </w:rPr>
        <w:t xml:space="preserve">EFFECTS ON </w:t>
      </w:r>
      <w:r>
        <w:rPr>
          <w:rFonts w:eastAsia="Calibri"/>
        </w:rPr>
        <w:t>INCARCERATION RATES: A CROSS-NATIONAL STUDY</w:t>
      </w:r>
    </w:p>
    <w:p w:rsidR="009632BA" w:rsidRDefault="009632BA" w:rsidP="009632BA">
      <w:pPr>
        <w:spacing w:after="200" w:line="480" w:lineRule="auto"/>
        <w:contextualSpacing/>
        <w:jc w:val="center"/>
        <w:rPr>
          <w:rFonts w:eastAsia="Calibri"/>
        </w:rPr>
      </w:pPr>
    </w:p>
    <w:p w:rsidR="009632BA" w:rsidRDefault="009632BA" w:rsidP="009632BA">
      <w:pPr>
        <w:spacing w:after="200" w:line="240" w:lineRule="auto"/>
        <w:contextualSpacing/>
        <w:jc w:val="center"/>
        <w:rPr>
          <w:rFonts w:eastAsia="Calibri"/>
        </w:rPr>
      </w:pPr>
      <w:r>
        <w:rPr>
          <w:rFonts w:eastAsia="Calibri"/>
        </w:rPr>
        <w:t xml:space="preserve">A DISSERTATION </w:t>
      </w:r>
      <w:r w:rsidRPr="003E4401">
        <w:rPr>
          <w:rFonts w:eastAsia="Calibri"/>
          <w:noProof/>
        </w:rPr>
        <w:t>A</w:t>
      </w:r>
      <w:r w:rsidR="003E4401">
        <w:rPr>
          <w:rFonts w:eastAsia="Calibri"/>
          <w:noProof/>
        </w:rPr>
        <w:t>P</w:t>
      </w:r>
      <w:r w:rsidRPr="003E4401">
        <w:rPr>
          <w:rFonts w:eastAsia="Calibri"/>
          <w:noProof/>
        </w:rPr>
        <w:t>PROVED</w:t>
      </w:r>
      <w:r>
        <w:rPr>
          <w:rFonts w:eastAsia="Calibri"/>
        </w:rPr>
        <w:t xml:space="preserve"> FOR THE</w:t>
      </w:r>
    </w:p>
    <w:p w:rsidR="009632BA" w:rsidRDefault="009632BA" w:rsidP="009632BA">
      <w:pPr>
        <w:spacing w:after="200" w:line="240" w:lineRule="auto"/>
        <w:contextualSpacing/>
        <w:jc w:val="center"/>
        <w:rPr>
          <w:rFonts w:eastAsia="Calibri"/>
        </w:rPr>
      </w:pPr>
      <w:r>
        <w:rPr>
          <w:rFonts w:eastAsia="Calibri"/>
        </w:rPr>
        <w:t>DEPARTMENT OF SOCIOLOGY</w:t>
      </w: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r>
        <w:rPr>
          <w:rFonts w:eastAsia="Calibri"/>
        </w:rPr>
        <w:t>BY</w:t>
      </w: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right"/>
        <w:rPr>
          <w:rFonts w:eastAsia="Calibri"/>
        </w:rPr>
      </w:pPr>
      <w:r>
        <w:rPr>
          <w:rFonts w:eastAsia="Calibri"/>
        </w:rPr>
        <w:t>________________________________</w:t>
      </w:r>
    </w:p>
    <w:p w:rsidR="009632BA" w:rsidRDefault="009632BA" w:rsidP="009632BA">
      <w:pPr>
        <w:spacing w:after="200" w:line="240" w:lineRule="auto"/>
        <w:contextualSpacing/>
        <w:jc w:val="right"/>
        <w:rPr>
          <w:rFonts w:eastAsia="Calibri"/>
        </w:rPr>
      </w:pPr>
      <w:r>
        <w:rPr>
          <w:rFonts w:eastAsia="Calibri"/>
        </w:rPr>
        <w:t xml:space="preserve">Dr. Thomas Burns, Chair </w:t>
      </w: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r>
        <w:rPr>
          <w:rFonts w:eastAsia="Calibri"/>
        </w:rPr>
        <w:t>________________________________</w:t>
      </w:r>
    </w:p>
    <w:p w:rsidR="009632BA" w:rsidRDefault="009632BA" w:rsidP="009632BA">
      <w:pPr>
        <w:spacing w:after="200" w:line="240" w:lineRule="auto"/>
        <w:contextualSpacing/>
        <w:jc w:val="right"/>
        <w:rPr>
          <w:rFonts w:eastAsia="Calibri"/>
        </w:rPr>
      </w:pPr>
      <w:r>
        <w:rPr>
          <w:rFonts w:eastAsia="Calibri"/>
        </w:rPr>
        <w:t>Dr. Kelly Damphousse</w:t>
      </w: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r>
        <w:rPr>
          <w:rFonts w:eastAsia="Calibri"/>
        </w:rPr>
        <w:t>________________________________</w:t>
      </w:r>
    </w:p>
    <w:p w:rsidR="009632BA" w:rsidRDefault="009632BA" w:rsidP="009632BA">
      <w:pPr>
        <w:spacing w:after="200" w:line="240" w:lineRule="auto"/>
        <w:contextualSpacing/>
        <w:jc w:val="right"/>
        <w:rPr>
          <w:rFonts w:eastAsia="Calibri"/>
        </w:rPr>
      </w:pPr>
      <w:r>
        <w:rPr>
          <w:rFonts w:eastAsia="Calibri"/>
        </w:rPr>
        <w:t>Dr. Susan Sharp</w:t>
      </w: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r>
        <w:rPr>
          <w:rFonts w:eastAsia="Calibri"/>
        </w:rPr>
        <w:t>________________________________</w:t>
      </w:r>
    </w:p>
    <w:p w:rsidR="009632BA" w:rsidRDefault="009632BA" w:rsidP="009632BA">
      <w:pPr>
        <w:spacing w:after="200" w:line="240" w:lineRule="auto"/>
        <w:contextualSpacing/>
        <w:jc w:val="right"/>
        <w:rPr>
          <w:rFonts w:eastAsia="Calibri"/>
        </w:rPr>
      </w:pPr>
      <w:r>
        <w:rPr>
          <w:rFonts w:eastAsia="Calibri"/>
        </w:rPr>
        <w:t>Dr. Robert Clark</w:t>
      </w: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p>
    <w:p w:rsidR="009632BA" w:rsidRDefault="009632BA" w:rsidP="009632BA">
      <w:pPr>
        <w:spacing w:after="200" w:line="240" w:lineRule="auto"/>
        <w:contextualSpacing/>
        <w:jc w:val="right"/>
        <w:rPr>
          <w:rFonts w:eastAsia="Calibri"/>
        </w:rPr>
      </w:pPr>
      <w:r>
        <w:rPr>
          <w:rFonts w:eastAsia="Calibri"/>
        </w:rPr>
        <w:t>________________________________</w:t>
      </w:r>
    </w:p>
    <w:p w:rsidR="009632BA" w:rsidRDefault="009632BA" w:rsidP="009632BA">
      <w:pPr>
        <w:spacing w:after="200" w:line="240" w:lineRule="auto"/>
        <w:contextualSpacing/>
        <w:jc w:val="right"/>
        <w:rPr>
          <w:rFonts w:eastAsia="Calibri"/>
        </w:rPr>
      </w:pPr>
      <w:r>
        <w:rPr>
          <w:rFonts w:eastAsia="Calibri"/>
        </w:rPr>
        <w:t>Dr. Susan Laird</w:t>
      </w: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p>
    <w:p w:rsidR="00AB2F17" w:rsidRDefault="00AB2F17" w:rsidP="009632BA">
      <w:pPr>
        <w:spacing w:after="200" w:line="240" w:lineRule="auto"/>
        <w:contextualSpacing/>
        <w:jc w:val="center"/>
        <w:rPr>
          <w:rFonts w:eastAsia="Calibri"/>
        </w:rPr>
      </w:pPr>
    </w:p>
    <w:p w:rsidR="009632BA" w:rsidRDefault="009632BA" w:rsidP="009632BA">
      <w:pPr>
        <w:spacing w:after="200" w:line="240" w:lineRule="auto"/>
        <w:contextualSpacing/>
        <w:jc w:val="center"/>
        <w:rPr>
          <w:rFonts w:eastAsia="Calibri"/>
        </w:rPr>
      </w:pPr>
      <w:r>
        <w:rPr>
          <w:rFonts w:eastAsia="Calibri"/>
        </w:rPr>
        <w:t>© Cop</w:t>
      </w:r>
      <w:r w:rsidR="0074405C">
        <w:rPr>
          <w:rFonts w:eastAsia="Calibri"/>
        </w:rPr>
        <w:t>yright by BURLE G. STEELMAN 2016</w:t>
      </w:r>
    </w:p>
    <w:p w:rsidR="00790BD2" w:rsidRDefault="009632BA" w:rsidP="00790BD2">
      <w:pPr>
        <w:spacing w:after="200" w:line="240" w:lineRule="auto"/>
        <w:contextualSpacing/>
        <w:jc w:val="center"/>
        <w:rPr>
          <w:rFonts w:eastAsia="Calibri"/>
        </w:rPr>
      </w:pPr>
      <w:r>
        <w:rPr>
          <w:rFonts w:eastAsia="Calibri"/>
        </w:rPr>
        <w:t xml:space="preserve">All Rights Reserved. </w:t>
      </w:r>
      <w:r w:rsidR="00790BD2">
        <w:rPr>
          <w:rFonts w:eastAsia="Calibri"/>
        </w:rPr>
        <w:br w:type="page"/>
      </w:r>
    </w:p>
    <w:p w:rsidR="00790BD2" w:rsidRDefault="00790BD2" w:rsidP="00790BD2">
      <w:pPr>
        <w:spacing w:after="200" w:line="240" w:lineRule="auto"/>
        <w:contextualSpacing/>
        <w:jc w:val="center"/>
        <w:rPr>
          <w:rFonts w:eastAsia="Calibri"/>
        </w:rPr>
        <w:sectPr w:rsidR="00790BD2" w:rsidSect="00790BD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2304" w:header="720" w:footer="720" w:gutter="0"/>
          <w:pgNumType w:fmt="lowerRoman" w:start="1"/>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5"/>
        <w:gridCol w:w="841"/>
      </w:tblGrid>
      <w:tr w:rsidR="0037420D" w:rsidTr="006F0D5D">
        <w:tc>
          <w:tcPr>
            <w:tcW w:w="7645" w:type="dxa"/>
          </w:tcPr>
          <w:p w:rsidR="0037420D" w:rsidRDefault="0037420D" w:rsidP="00174B75">
            <w:pPr>
              <w:spacing w:line="480" w:lineRule="auto"/>
              <w:contextualSpacing/>
            </w:pPr>
            <w:r>
              <w:lastRenderedPageBreak/>
              <w:t>Table of Contents</w:t>
            </w:r>
          </w:p>
        </w:tc>
        <w:tc>
          <w:tcPr>
            <w:tcW w:w="841" w:type="dxa"/>
          </w:tcPr>
          <w:p w:rsidR="0037420D" w:rsidRDefault="0037420D" w:rsidP="00174B75">
            <w:pPr>
              <w:spacing w:line="480" w:lineRule="auto"/>
              <w:contextualSpacing/>
              <w:jc w:val="right"/>
            </w:pPr>
            <w:r>
              <w:t>iv</w:t>
            </w:r>
          </w:p>
        </w:tc>
      </w:tr>
      <w:tr w:rsidR="0037420D" w:rsidTr="006F0D5D">
        <w:tc>
          <w:tcPr>
            <w:tcW w:w="7645" w:type="dxa"/>
          </w:tcPr>
          <w:p w:rsidR="0037420D" w:rsidRDefault="0037420D" w:rsidP="00174B75">
            <w:pPr>
              <w:spacing w:line="480" w:lineRule="auto"/>
              <w:contextualSpacing/>
            </w:pPr>
            <w:r>
              <w:rPr>
                <w:rFonts w:eastAsia="Calibri"/>
              </w:rPr>
              <w:t>List of Tables</w:t>
            </w:r>
          </w:p>
        </w:tc>
        <w:tc>
          <w:tcPr>
            <w:tcW w:w="841" w:type="dxa"/>
          </w:tcPr>
          <w:p w:rsidR="0037420D" w:rsidRDefault="0037420D" w:rsidP="00174B75">
            <w:pPr>
              <w:spacing w:line="480" w:lineRule="auto"/>
              <w:contextualSpacing/>
              <w:jc w:val="right"/>
            </w:pPr>
            <w:r>
              <w:t>v</w:t>
            </w:r>
          </w:p>
        </w:tc>
      </w:tr>
      <w:tr w:rsidR="0037420D" w:rsidTr="006F0D5D">
        <w:tc>
          <w:tcPr>
            <w:tcW w:w="7645" w:type="dxa"/>
          </w:tcPr>
          <w:p w:rsidR="0037420D" w:rsidRDefault="0037420D" w:rsidP="00174B75">
            <w:pPr>
              <w:spacing w:line="480" w:lineRule="auto"/>
              <w:contextualSpacing/>
            </w:pPr>
            <w:r>
              <w:rPr>
                <w:rFonts w:eastAsia="Calibri"/>
              </w:rPr>
              <w:t>List of Figures</w:t>
            </w:r>
            <w:r>
              <w:rPr>
                <w:rFonts w:eastAsia="Calibri"/>
              </w:rPr>
              <w:tab/>
            </w:r>
          </w:p>
        </w:tc>
        <w:tc>
          <w:tcPr>
            <w:tcW w:w="841" w:type="dxa"/>
          </w:tcPr>
          <w:p w:rsidR="0037420D" w:rsidRDefault="0037420D" w:rsidP="00174B75">
            <w:pPr>
              <w:spacing w:line="480" w:lineRule="auto"/>
              <w:contextualSpacing/>
              <w:jc w:val="right"/>
            </w:pPr>
            <w:r>
              <w:t>vi</w:t>
            </w:r>
          </w:p>
        </w:tc>
      </w:tr>
      <w:tr w:rsidR="0037420D" w:rsidTr="006F0D5D">
        <w:tc>
          <w:tcPr>
            <w:tcW w:w="7645" w:type="dxa"/>
          </w:tcPr>
          <w:p w:rsidR="0037420D" w:rsidRDefault="0037420D" w:rsidP="00174B75">
            <w:pPr>
              <w:spacing w:line="480" w:lineRule="auto"/>
              <w:contextualSpacing/>
            </w:pPr>
            <w:r>
              <w:rPr>
                <w:rFonts w:eastAsia="Calibri"/>
              </w:rPr>
              <w:t>Abstract</w:t>
            </w:r>
          </w:p>
        </w:tc>
        <w:tc>
          <w:tcPr>
            <w:tcW w:w="841" w:type="dxa"/>
          </w:tcPr>
          <w:p w:rsidR="0037420D" w:rsidRDefault="00A61BE5" w:rsidP="00174B75">
            <w:pPr>
              <w:spacing w:line="480" w:lineRule="auto"/>
              <w:contextualSpacing/>
              <w:jc w:val="right"/>
            </w:pPr>
            <w:r>
              <w:t>viii</w:t>
            </w:r>
          </w:p>
        </w:tc>
      </w:tr>
      <w:tr w:rsidR="0037420D" w:rsidTr="006F0D5D">
        <w:tc>
          <w:tcPr>
            <w:tcW w:w="7645" w:type="dxa"/>
          </w:tcPr>
          <w:p w:rsidR="0037420D" w:rsidRDefault="0037420D" w:rsidP="00174B75">
            <w:pPr>
              <w:spacing w:line="480" w:lineRule="auto"/>
              <w:contextualSpacing/>
            </w:pPr>
            <w:r>
              <w:rPr>
                <w:rFonts w:eastAsia="Calibri"/>
              </w:rPr>
              <w:t>Chapter 1. Introduction</w:t>
            </w:r>
          </w:p>
        </w:tc>
        <w:tc>
          <w:tcPr>
            <w:tcW w:w="841" w:type="dxa"/>
          </w:tcPr>
          <w:p w:rsidR="0037420D" w:rsidRDefault="0037420D" w:rsidP="00174B75">
            <w:pPr>
              <w:spacing w:line="480" w:lineRule="auto"/>
              <w:contextualSpacing/>
              <w:jc w:val="right"/>
            </w:pPr>
            <w:r>
              <w:t>1</w:t>
            </w:r>
          </w:p>
        </w:tc>
      </w:tr>
      <w:tr w:rsidR="0037420D" w:rsidTr="006F0D5D">
        <w:tc>
          <w:tcPr>
            <w:tcW w:w="7645" w:type="dxa"/>
          </w:tcPr>
          <w:p w:rsidR="0037420D" w:rsidRDefault="0037420D" w:rsidP="00174B75">
            <w:pPr>
              <w:spacing w:line="480" w:lineRule="auto"/>
              <w:contextualSpacing/>
            </w:pPr>
            <w:r>
              <w:rPr>
                <w:rFonts w:eastAsia="Calibri"/>
              </w:rPr>
              <w:t>Chapter 2. Data and Methods</w:t>
            </w:r>
          </w:p>
        </w:tc>
        <w:tc>
          <w:tcPr>
            <w:tcW w:w="841" w:type="dxa"/>
          </w:tcPr>
          <w:p w:rsidR="0037420D" w:rsidRDefault="00CE1779" w:rsidP="00174B75">
            <w:pPr>
              <w:spacing w:line="480" w:lineRule="auto"/>
              <w:contextualSpacing/>
              <w:jc w:val="right"/>
            </w:pPr>
            <w:r>
              <w:t>18</w:t>
            </w:r>
          </w:p>
        </w:tc>
      </w:tr>
      <w:tr w:rsidR="0037420D" w:rsidTr="006F0D5D">
        <w:tc>
          <w:tcPr>
            <w:tcW w:w="7645" w:type="dxa"/>
          </w:tcPr>
          <w:p w:rsidR="0037420D" w:rsidRDefault="0037420D" w:rsidP="00174B75">
            <w:pPr>
              <w:spacing w:line="480" w:lineRule="auto"/>
              <w:contextualSpacing/>
            </w:pPr>
            <w:r>
              <w:rPr>
                <w:rFonts w:eastAsia="Calibri"/>
              </w:rPr>
              <w:t>Chapter 3. Examining Trends</w:t>
            </w:r>
          </w:p>
        </w:tc>
        <w:tc>
          <w:tcPr>
            <w:tcW w:w="841" w:type="dxa"/>
          </w:tcPr>
          <w:p w:rsidR="0037420D" w:rsidRDefault="006F0D5D" w:rsidP="00174B75">
            <w:pPr>
              <w:spacing w:line="480" w:lineRule="auto"/>
              <w:contextualSpacing/>
              <w:jc w:val="right"/>
            </w:pPr>
            <w:r>
              <w:t>53</w:t>
            </w:r>
          </w:p>
        </w:tc>
      </w:tr>
      <w:tr w:rsidR="0037420D" w:rsidTr="006F0D5D">
        <w:tc>
          <w:tcPr>
            <w:tcW w:w="7645" w:type="dxa"/>
          </w:tcPr>
          <w:p w:rsidR="0037420D" w:rsidRDefault="0037420D" w:rsidP="00174B75">
            <w:pPr>
              <w:spacing w:line="480" w:lineRule="auto"/>
              <w:contextualSpacing/>
            </w:pPr>
            <w:r>
              <w:rPr>
                <w:rFonts w:eastAsia="Calibri"/>
              </w:rPr>
              <w:t>Chapter 4. World-Systems Position</w:t>
            </w:r>
          </w:p>
        </w:tc>
        <w:tc>
          <w:tcPr>
            <w:tcW w:w="841" w:type="dxa"/>
          </w:tcPr>
          <w:p w:rsidR="0037420D" w:rsidRDefault="006F0D5D" w:rsidP="00174B75">
            <w:pPr>
              <w:spacing w:line="480" w:lineRule="auto"/>
              <w:contextualSpacing/>
              <w:jc w:val="right"/>
            </w:pPr>
            <w:r>
              <w:t>71</w:t>
            </w:r>
          </w:p>
        </w:tc>
      </w:tr>
      <w:tr w:rsidR="0037420D" w:rsidTr="006F0D5D">
        <w:tc>
          <w:tcPr>
            <w:tcW w:w="7645" w:type="dxa"/>
          </w:tcPr>
          <w:p w:rsidR="0037420D" w:rsidRDefault="0037420D" w:rsidP="00174B75">
            <w:pPr>
              <w:spacing w:line="480" w:lineRule="auto"/>
              <w:contextualSpacing/>
              <w:rPr>
                <w:rFonts w:eastAsia="Calibri"/>
              </w:rPr>
            </w:pPr>
            <w:r>
              <w:rPr>
                <w:rFonts w:eastAsia="Calibri"/>
              </w:rPr>
              <w:t>Chapter 5. Inequality and Incarceration</w:t>
            </w:r>
          </w:p>
        </w:tc>
        <w:tc>
          <w:tcPr>
            <w:tcW w:w="841" w:type="dxa"/>
          </w:tcPr>
          <w:p w:rsidR="0037420D" w:rsidRDefault="006F0D5D" w:rsidP="00174B75">
            <w:pPr>
              <w:spacing w:line="480" w:lineRule="auto"/>
              <w:contextualSpacing/>
              <w:jc w:val="right"/>
            </w:pPr>
            <w:r>
              <w:t>81</w:t>
            </w:r>
          </w:p>
        </w:tc>
      </w:tr>
      <w:tr w:rsidR="0037420D" w:rsidTr="006F0D5D">
        <w:tc>
          <w:tcPr>
            <w:tcW w:w="7645" w:type="dxa"/>
          </w:tcPr>
          <w:p w:rsidR="0037420D" w:rsidRDefault="0037420D" w:rsidP="00174B75">
            <w:pPr>
              <w:spacing w:line="480" w:lineRule="auto"/>
              <w:contextualSpacing/>
              <w:rPr>
                <w:rFonts w:eastAsia="Calibri"/>
              </w:rPr>
            </w:pPr>
            <w:r>
              <w:rPr>
                <w:rFonts w:eastAsia="Calibri"/>
              </w:rPr>
              <w:t>Chapter 6. Conclusion</w:t>
            </w:r>
          </w:p>
        </w:tc>
        <w:tc>
          <w:tcPr>
            <w:tcW w:w="841" w:type="dxa"/>
          </w:tcPr>
          <w:p w:rsidR="0037420D" w:rsidRDefault="006F0D5D" w:rsidP="00174B75">
            <w:pPr>
              <w:spacing w:line="480" w:lineRule="auto"/>
              <w:contextualSpacing/>
              <w:jc w:val="right"/>
            </w:pPr>
            <w:r>
              <w:t>92</w:t>
            </w:r>
          </w:p>
        </w:tc>
      </w:tr>
      <w:tr w:rsidR="0037420D" w:rsidTr="006F0D5D">
        <w:tc>
          <w:tcPr>
            <w:tcW w:w="7645" w:type="dxa"/>
          </w:tcPr>
          <w:p w:rsidR="0037420D" w:rsidRDefault="0037420D" w:rsidP="00174B75">
            <w:pPr>
              <w:spacing w:line="480" w:lineRule="auto"/>
              <w:contextualSpacing/>
              <w:rPr>
                <w:rFonts w:eastAsia="Calibri"/>
              </w:rPr>
            </w:pPr>
            <w:r>
              <w:rPr>
                <w:rFonts w:eastAsia="Calibri"/>
              </w:rPr>
              <w:t>References</w:t>
            </w:r>
            <w:r>
              <w:rPr>
                <w:rFonts w:eastAsia="Calibri"/>
              </w:rPr>
              <w:tab/>
            </w:r>
          </w:p>
        </w:tc>
        <w:tc>
          <w:tcPr>
            <w:tcW w:w="841" w:type="dxa"/>
          </w:tcPr>
          <w:p w:rsidR="0037420D" w:rsidRDefault="006F0D5D" w:rsidP="006F0D5D">
            <w:pPr>
              <w:spacing w:line="480" w:lineRule="auto"/>
              <w:contextualSpacing/>
              <w:jc w:val="right"/>
            </w:pPr>
            <w:r>
              <w:t>99</w:t>
            </w:r>
          </w:p>
        </w:tc>
      </w:tr>
    </w:tbl>
    <w:p w:rsidR="00790BD2" w:rsidRDefault="00790BD2">
      <w:pPr>
        <w:rPr>
          <w:rFonts w:eastAsia="Calibri"/>
        </w:rPr>
      </w:pPr>
      <w:r>
        <w:rPr>
          <w:rFonts w:eastAsia="Calibr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661"/>
      </w:tblGrid>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lastRenderedPageBreak/>
              <w:t>List of Tables</w:t>
            </w:r>
          </w:p>
        </w:tc>
        <w:tc>
          <w:tcPr>
            <w:tcW w:w="661" w:type="dxa"/>
          </w:tcPr>
          <w:p w:rsidR="00C86B22" w:rsidRPr="00C86B22" w:rsidRDefault="00C86B22" w:rsidP="0037420D">
            <w:pPr>
              <w:spacing w:after="160" w:line="480" w:lineRule="auto"/>
              <w:contextualSpacing/>
              <w:rPr>
                <w:rFonts w:eastAsia="Calibri"/>
              </w:rPr>
            </w:pP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Table 1. Studies of Income Inequality and Incarceration</w:t>
            </w:r>
          </w:p>
        </w:tc>
        <w:tc>
          <w:tcPr>
            <w:tcW w:w="661" w:type="dxa"/>
          </w:tcPr>
          <w:p w:rsidR="00C86B22" w:rsidRPr="00C86B22" w:rsidRDefault="00CE1779" w:rsidP="0037420D">
            <w:pPr>
              <w:spacing w:after="160" w:line="480" w:lineRule="auto"/>
              <w:contextualSpacing/>
              <w:jc w:val="right"/>
              <w:rPr>
                <w:rFonts w:eastAsia="Calibri"/>
              </w:rPr>
            </w:pPr>
            <w:r>
              <w:rPr>
                <w:rFonts w:eastAsia="Calibri"/>
              </w:rPr>
              <w:t>17</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Table 2. Attributed World-Systems Position by Study</w:t>
            </w:r>
          </w:p>
        </w:tc>
        <w:tc>
          <w:tcPr>
            <w:tcW w:w="661" w:type="dxa"/>
          </w:tcPr>
          <w:p w:rsidR="00C86B22" w:rsidRPr="00C86B22" w:rsidRDefault="00CE1779" w:rsidP="0037420D">
            <w:pPr>
              <w:spacing w:after="160" w:line="480" w:lineRule="auto"/>
              <w:contextualSpacing/>
              <w:jc w:val="right"/>
              <w:rPr>
                <w:rFonts w:eastAsia="Calibri"/>
              </w:rPr>
            </w:pPr>
            <w:r>
              <w:rPr>
                <w:rFonts w:eastAsia="Calibri"/>
              </w:rPr>
              <w:t>25</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Table 3. Countries by World-Systems Position</w:t>
            </w:r>
          </w:p>
        </w:tc>
        <w:tc>
          <w:tcPr>
            <w:tcW w:w="661" w:type="dxa"/>
          </w:tcPr>
          <w:p w:rsidR="00C86B22" w:rsidRPr="00C86B22" w:rsidRDefault="00CE1779" w:rsidP="0037420D">
            <w:pPr>
              <w:spacing w:after="160" w:line="480" w:lineRule="auto"/>
              <w:contextualSpacing/>
              <w:jc w:val="right"/>
              <w:rPr>
                <w:rFonts w:eastAsia="Calibri"/>
              </w:rPr>
            </w:pPr>
            <w:r>
              <w:rPr>
                <w:rFonts w:eastAsia="Calibri"/>
              </w:rPr>
              <w:t>26</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Table 4. Descriptive S</w:t>
            </w:r>
            <w:r w:rsidR="00295E9C">
              <w:rPr>
                <w:rFonts w:eastAsia="Calibri"/>
              </w:rPr>
              <w:t>tatistics</w:t>
            </w:r>
          </w:p>
        </w:tc>
        <w:tc>
          <w:tcPr>
            <w:tcW w:w="661" w:type="dxa"/>
          </w:tcPr>
          <w:p w:rsidR="00C86B22" w:rsidRPr="00C86B22" w:rsidRDefault="00CE1779" w:rsidP="0037420D">
            <w:pPr>
              <w:spacing w:after="160" w:line="480" w:lineRule="auto"/>
              <w:contextualSpacing/>
              <w:jc w:val="right"/>
              <w:rPr>
                <w:rFonts w:eastAsia="Calibri"/>
              </w:rPr>
            </w:pPr>
            <w:r>
              <w:rPr>
                <w:rFonts w:eastAsia="Calibri"/>
              </w:rPr>
              <w:t>41</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Table 5. Countries by Region</w:t>
            </w:r>
          </w:p>
        </w:tc>
        <w:tc>
          <w:tcPr>
            <w:tcW w:w="661" w:type="dxa"/>
          </w:tcPr>
          <w:p w:rsidR="00C86B22" w:rsidRPr="00C86B22" w:rsidRDefault="00CE1779" w:rsidP="00295E9C">
            <w:pPr>
              <w:spacing w:after="160" w:line="480" w:lineRule="auto"/>
              <w:contextualSpacing/>
              <w:jc w:val="right"/>
              <w:rPr>
                <w:rFonts w:eastAsia="Calibri"/>
              </w:rPr>
            </w:pPr>
            <w:r>
              <w:rPr>
                <w:rFonts w:eastAsia="Calibri"/>
              </w:rPr>
              <w:t>42</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Table 6. Pairwise Correlation Matrix</w:t>
            </w:r>
          </w:p>
        </w:tc>
        <w:tc>
          <w:tcPr>
            <w:tcW w:w="661" w:type="dxa"/>
          </w:tcPr>
          <w:p w:rsidR="00C86B22" w:rsidRPr="00C86B22" w:rsidRDefault="00CE1779" w:rsidP="006F0D5D">
            <w:pPr>
              <w:spacing w:after="160" w:line="480" w:lineRule="auto"/>
              <w:contextualSpacing/>
              <w:jc w:val="right"/>
              <w:rPr>
                <w:rFonts w:eastAsia="Calibri"/>
              </w:rPr>
            </w:pPr>
            <w:r>
              <w:rPr>
                <w:rFonts w:eastAsia="Calibri"/>
              </w:rPr>
              <w:t>4</w:t>
            </w:r>
            <w:r w:rsidR="006F0D5D">
              <w:rPr>
                <w:rFonts w:eastAsia="Calibri"/>
              </w:rPr>
              <w:t>4</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Table 7. FE Regression for each Explanatory Variable</w:t>
            </w:r>
          </w:p>
        </w:tc>
        <w:tc>
          <w:tcPr>
            <w:tcW w:w="661" w:type="dxa"/>
          </w:tcPr>
          <w:p w:rsidR="00C86B22" w:rsidRPr="00C86B22" w:rsidRDefault="006F0D5D" w:rsidP="0037420D">
            <w:pPr>
              <w:spacing w:after="160" w:line="480" w:lineRule="auto"/>
              <w:contextualSpacing/>
              <w:jc w:val="right"/>
              <w:rPr>
                <w:rFonts w:eastAsia="Calibri"/>
              </w:rPr>
            </w:pPr>
            <w:r>
              <w:rPr>
                <w:rFonts w:eastAsia="Calibri"/>
              </w:rPr>
              <w:t>48</w:t>
            </w:r>
          </w:p>
        </w:tc>
      </w:tr>
      <w:tr w:rsidR="00C86B22" w:rsidRPr="00C86B22" w:rsidTr="0037420D">
        <w:tc>
          <w:tcPr>
            <w:tcW w:w="7825" w:type="dxa"/>
          </w:tcPr>
          <w:p w:rsidR="00C86B22" w:rsidRPr="00C86B22" w:rsidRDefault="00C86B22" w:rsidP="00295E9C">
            <w:pPr>
              <w:spacing w:after="160" w:line="480" w:lineRule="auto"/>
              <w:contextualSpacing/>
              <w:rPr>
                <w:rFonts w:eastAsia="Calibri"/>
              </w:rPr>
            </w:pPr>
            <w:r w:rsidRPr="00C86B22">
              <w:rPr>
                <w:rFonts w:eastAsia="Calibri"/>
              </w:rPr>
              <w:t>Tabl</w:t>
            </w:r>
            <w:r w:rsidR="00295E9C">
              <w:rPr>
                <w:rFonts w:eastAsia="Calibri"/>
              </w:rPr>
              <w:t xml:space="preserve">e 8. FE Regression for Regional </w:t>
            </w:r>
            <w:r w:rsidRPr="00C86B22">
              <w:rPr>
                <w:rFonts w:eastAsia="Calibri"/>
              </w:rPr>
              <w:t>Variables</w:t>
            </w:r>
          </w:p>
        </w:tc>
        <w:tc>
          <w:tcPr>
            <w:tcW w:w="661" w:type="dxa"/>
          </w:tcPr>
          <w:p w:rsidR="00C86B22" w:rsidRPr="00C86B22" w:rsidRDefault="006F0D5D" w:rsidP="0037420D">
            <w:pPr>
              <w:spacing w:after="160" w:line="480" w:lineRule="auto"/>
              <w:contextualSpacing/>
              <w:jc w:val="right"/>
              <w:rPr>
                <w:rFonts w:eastAsia="Calibri"/>
              </w:rPr>
            </w:pPr>
            <w:r>
              <w:rPr>
                <w:rFonts w:eastAsia="Calibri"/>
              </w:rPr>
              <w:t>49</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 xml:space="preserve">Table 9. </w:t>
            </w:r>
            <w:r w:rsidR="00295E9C">
              <w:rPr>
                <w:rFonts w:eastAsia="Calibri"/>
              </w:rPr>
              <w:t xml:space="preserve">FE Regression for </w:t>
            </w:r>
            <w:r w:rsidR="00295E9C" w:rsidRPr="00C86B22">
              <w:rPr>
                <w:rFonts w:eastAsia="Calibri"/>
              </w:rPr>
              <w:t>World-Systems Variables</w:t>
            </w:r>
          </w:p>
        </w:tc>
        <w:tc>
          <w:tcPr>
            <w:tcW w:w="661" w:type="dxa"/>
          </w:tcPr>
          <w:p w:rsidR="00C86B22" w:rsidRPr="00C86B22" w:rsidRDefault="006F0D5D" w:rsidP="0037420D">
            <w:pPr>
              <w:spacing w:after="160" w:line="480" w:lineRule="auto"/>
              <w:contextualSpacing/>
              <w:jc w:val="right"/>
              <w:rPr>
                <w:rFonts w:eastAsia="Calibri"/>
              </w:rPr>
            </w:pPr>
            <w:r>
              <w:rPr>
                <w:rFonts w:eastAsia="Calibri"/>
              </w:rPr>
              <w:t>49</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 xml:space="preserve">Table 10. </w:t>
            </w:r>
            <w:r w:rsidR="00295E9C" w:rsidRPr="00295E9C">
              <w:rPr>
                <w:rFonts w:eastAsia="Calibri"/>
              </w:rPr>
              <w:t>RE Regression for each Explanatory Variable</w:t>
            </w:r>
          </w:p>
        </w:tc>
        <w:tc>
          <w:tcPr>
            <w:tcW w:w="661" w:type="dxa"/>
          </w:tcPr>
          <w:p w:rsidR="00C86B22" w:rsidRPr="00C86B22" w:rsidRDefault="006F0D5D" w:rsidP="0037420D">
            <w:pPr>
              <w:spacing w:after="160" w:line="480" w:lineRule="auto"/>
              <w:contextualSpacing/>
              <w:jc w:val="right"/>
              <w:rPr>
                <w:rFonts w:eastAsia="Calibri"/>
              </w:rPr>
            </w:pPr>
            <w:r>
              <w:rPr>
                <w:rFonts w:eastAsia="Calibri"/>
              </w:rPr>
              <w:t>51</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 xml:space="preserve">Table 11. </w:t>
            </w:r>
            <w:r w:rsidR="00295E9C" w:rsidRPr="00295E9C">
              <w:rPr>
                <w:rFonts w:eastAsia="Calibri"/>
              </w:rPr>
              <w:t>RE Regression for Regional Variables</w:t>
            </w:r>
          </w:p>
        </w:tc>
        <w:tc>
          <w:tcPr>
            <w:tcW w:w="661" w:type="dxa"/>
          </w:tcPr>
          <w:p w:rsidR="00C86B22" w:rsidRPr="00C86B22" w:rsidRDefault="006F0D5D" w:rsidP="0037420D">
            <w:pPr>
              <w:spacing w:after="160" w:line="480" w:lineRule="auto"/>
              <w:contextualSpacing/>
              <w:jc w:val="right"/>
              <w:rPr>
                <w:rFonts w:eastAsia="Calibri"/>
              </w:rPr>
            </w:pPr>
            <w:r>
              <w:rPr>
                <w:rFonts w:eastAsia="Calibri"/>
              </w:rPr>
              <w:t>52</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 xml:space="preserve">Table 12. </w:t>
            </w:r>
            <w:r w:rsidR="00295E9C" w:rsidRPr="00295E9C">
              <w:rPr>
                <w:rFonts w:eastAsia="Calibri"/>
              </w:rPr>
              <w:t>RE Regression for each Variable for WSP</w:t>
            </w:r>
          </w:p>
        </w:tc>
        <w:tc>
          <w:tcPr>
            <w:tcW w:w="661" w:type="dxa"/>
          </w:tcPr>
          <w:p w:rsidR="00C86B22" w:rsidRPr="00C86B22" w:rsidRDefault="006F0D5D" w:rsidP="0037420D">
            <w:pPr>
              <w:spacing w:after="160" w:line="480" w:lineRule="auto"/>
              <w:contextualSpacing/>
              <w:jc w:val="right"/>
              <w:rPr>
                <w:rFonts w:eastAsia="Calibri"/>
              </w:rPr>
            </w:pPr>
            <w:r>
              <w:rPr>
                <w:rFonts w:eastAsia="Calibri"/>
              </w:rPr>
              <w:t>80</w:t>
            </w:r>
          </w:p>
        </w:tc>
      </w:tr>
      <w:tr w:rsidR="00C86B22" w:rsidRPr="00C86B22" w:rsidTr="0037420D">
        <w:tc>
          <w:tcPr>
            <w:tcW w:w="7825" w:type="dxa"/>
          </w:tcPr>
          <w:p w:rsidR="00C86B22" w:rsidRPr="00C86B22" w:rsidRDefault="00295E9C" w:rsidP="00295E9C">
            <w:pPr>
              <w:spacing w:after="160" w:line="480" w:lineRule="auto"/>
              <w:contextualSpacing/>
              <w:rPr>
                <w:rFonts w:eastAsia="Calibri"/>
              </w:rPr>
            </w:pPr>
            <w:r>
              <w:rPr>
                <w:rFonts w:eastAsia="Calibri"/>
              </w:rPr>
              <w:t>Table 13.</w:t>
            </w:r>
            <w:r w:rsidR="00C86B22" w:rsidRPr="00C86B22">
              <w:rPr>
                <w:rFonts w:eastAsia="Calibri"/>
              </w:rPr>
              <w:t xml:space="preserve"> FE Regression of Incarceration Rates on the Listed Variables</w:t>
            </w:r>
          </w:p>
        </w:tc>
        <w:tc>
          <w:tcPr>
            <w:tcW w:w="661" w:type="dxa"/>
          </w:tcPr>
          <w:p w:rsidR="00C86B22" w:rsidRPr="00C86B22" w:rsidRDefault="006F0D5D" w:rsidP="0037420D">
            <w:pPr>
              <w:spacing w:after="160" w:line="480" w:lineRule="auto"/>
              <w:contextualSpacing/>
              <w:jc w:val="right"/>
              <w:rPr>
                <w:rFonts w:eastAsia="Calibri"/>
              </w:rPr>
            </w:pPr>
            <w:r>
              <w:rPr>
                <w:rFonts w:eastAsia="Calibri"/>
              </w:rPr>
              <w:t>86</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r w:rsidRPr="00C86B22">
              <w:rPr>
                <w:rFonts w:eastAsia="Calibri"/>
              </w:rPr>
              <w:t>Table</w:t>
            </w:r>
            <w:r w:rsidR="0037420D">
              <w:rPr>
                <w:rFonts w:eastAsia="Calibri"/>
              </w:rPr>
              <w:t xml:space="preserve"> </w:t>
            </w:r>
            <w:r w:rsidRPr="00C86B22">
              <w:rPr>
                <w:rFonts w:eastAsia="Calibri"/>
              </w:rPr>
              <w:t>14. RE Regression for each Explanatory Variable</w:t>
            </w:r>
          </w:p>
        </w:tc>
        <w:tc>
          <w:tcPr>
            <w:tcW w:w="661" w:type="dxa"/>
          </w:tcPr>
          <w:p w:rsidR="00C86B22" w:rsidRPr="00C86B22" w:rsidRDefault="006F0D5D" w:rsidP="0037420D">
            <w:pPr>
              <w:spacing w:after="160" w:line="480" w:lineRule="auto"/>
              <w:contextualSpacing/>
              <w:jc w:val="right"/>
              <w:rPr>
                <w:rFonts w:eastAsia="Calibri"/>
              </w:rPr>
            </w:pPr>
            <w:r>
              <w:rPr>
                <w:rFonts w:eastAsia="Calibri"/>
              </w:rPr>
              <w:t>90</w:t>
            </w:r>
          </w:p>
        </w:tc>
      </w:tr>
      <w:tr w:rsidR="00C86B22" w:rsidRPr="00C86B22" w:rsidTr="0037420D">
        <w:tc>
          <w:tcPr>
            <w:tcW w:w="7825" w:type="dxa"/>
          </w:tcPr>
          <w:p w:rsidR="00C86B22" w:rsidRPr="00C86B22" w:rsidRDefault="00C86B22" w:rsidP="0037420D">
            <w:pPr>
              <w:spacing w:after="160" w:line="480" w:lineRule="auto"/>
              <w:contextualSpacing/>
              <w:rPr>
                <w:rFonts w:eastAsia="Calibri"/>
              </w:rPr>
            </w:pPr>
          </w:p>
        </w:tc>
        <w:tc>
          <w:tcPr>
            <w:tcW w:w="661" w:type="dxa"/>
          </w:tcPr>
          <w:p w:rsidR="00C86B22" w:rsidRPr="00C86B22" w:rsidRDefault="00C86B22" w:rsidP="0037420D">
            <w:pPr>
              <w:spacing w:after="160" w:line="480" w:lineRule="auto"/>
              <w:contextualSpacing/>
              <w:jc w:val="right"/>
              <w:rPr>
                <w:rFonts w:eastAsia="Calibri"/>
              </w:rPr>
            </w:pPr>
          </w:p>
        </w:tc>
      </w:tr>
      <w:tr w:rsidR="00C86B22" w:rsidRPr="00C86B22" w:rsidTr="0037420D">
        <w:tc>
          <w:tcPr>
            <w:tcW w:w="7825" w:type="dxa"/>
          </w:tcPr>
          <w:p w:rsidR="00C86B22" w:rsidRPr="00C86B22" w:rsidRDefault="00C86B22" w:rsidP="0037420D">
            <w:pPr>
              <w:spacing w:after="160" w:line="480" w:lineRule="auto"/>
              <w:ind w:left="1008" w:hanging="1008"/>
              <w:contextualSpacing/>
              <w:rPr>
                <w:rFonts w:eastAsia="Calibri"/>
              </w:rPr>
            </w:pPr>
          </w:p>
        </w:tc>
        <w:tc>
          <w:tcPr>
            <w:tcW w:w="661" w:type="dxa"/>
          </w:tcPr>
          <w:p w:rsidR="00C86B22" w:rsidRPr="00C86B22" w:rsidRDefault="00C86B22" w:rsidP="0037420D">
            <w:pPr>
              <w:spacing w:after="160" w:line="480" w:lineRule="auto"/>
              <w:contextualSpacing/>
              <w:jc w:val="right"/>
              <w:rPr>
                <w:rFonts w:eastAsia="Calibri"/>
              </w:rPr>
            </w:pPr>
          </w:p>
        </w:tc>
      </w:tr>
      <w:tr w:rsidR="00C86B22" w:rsidRPr="00C86B22" w:rsidTr="0037420D">
        <w:tc>
          <w:tcPr>
            <w:tcW w:w="7825" w:type="dxa"/>
          </w:tcPr>
          <w:p w:rsidR="00C86B22" w:rsidRPr="00C86B22" w:rsidRDefault="00C86B22" w:rsidP="0037420D">
            <w:pPr>
              <w:spacing w:after="160" w:line="480" w:lineRule="auto"/>
              <w:ind w:left="1008" w:hanging="1008"/>
              <w:contextualSpacing/>
              <w:rPr>
                <w:rFonts w:eastAsia="Calibri"/>
              </w:rPr>
            </w:pPr>
          </w:p>
        </w:tc>
        <w:tc>
          <w:tcPr>
            <w:tcW w:w="661" w:type="dxa"/>
          </w:tcPr>
          <w:p w:rsidR="00C86B22" w:rsidRPr="00C86B22" w:rsidRDefault="00C86B22" w:rsidP="0037420D">
            <w:pPr>
              <w:spacing w:after="160" w:line="480" w:lineRule="auto"/>
              <w:contextualSpacing/>
              <w:jc w:val="right"/>
              <w:rPr>
                <w:rFonts w:eastAsia="Calibri"/>
              </w:rPr>
            </w:pPr>
          </w:p>
        </w:tc>
      </w:tr>
    </w:tbl>
    <w:p w:rsidR="00790BD2" w:rsidRDefault="00790BD2">
      <w:pPr>
        <w:rPr>
          <w:rFonts w:eastAsia="Calibri"/>
        </w:rPr>
      </w:pPr>
      <w:r>
        <w:rPr>
          <w:rFonts w:eastAsia="Calibr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35"/>
        <w:gridCol w:w="751"/>
      </w:tblGrid>
      <w:tr w:rsidR="00C86B22" w:rsidRPr="00C86B22" w:rsidTr="0037420D">
        <w:tc>
          <w:tcPr>
            <w:tcW w:w="7735" w:type="dxa"/>
          </w:tcPr>
          <w:p w:rsidR="00C86B22" w:rsidRPr="00C86B22" w:rsidRDefault="00C86B22" w:rsidP="00C86B22">
            <w:pPr>
              <w:tabs>
                <w:tab w:val="left" w:pos="7920"/>
              </w:tabs>
              <w:spacing w:after="160" w:line="480" w:lineRule="auto"/>
              <w:contextualSpacing/>
              <w:rPr>
                <w:rFonts w:eastAsia="Calibri"/>
              </w:rPr>
            </w:pPr>
            <w:r w:rsidRPr="00C86B22">
              <w:rPr>
                <w:rFonts w:eastAsia="Calibri"/>
              </w:rPr>
              <w:lastRenderedPageBreak/>
              <w:t>List of Figures</w:t>
            </w:r>
          </w:p>
        </w:tc>
        <w:tc>
          <w:tcPr>
            <w:tcW w:w="751" w:type="dxa"/>
          </w:tcPr>
          <w:p w:rsidR="00C86B22" w:rsidRPr="00C86B22" w:rsidRDefault="00C86B22" w:rsidP="00C86B22">
            <w:pPr>
              <w:tabs>
                <w:tab w:val="left" w:pos="7920"/>
              </w:tabs>
              <w:spacing w:after="160" w:line="480" w:lineRule="auto"/>
              <w:contextualSpacing/>
              <w:rPr>
                <w:rFonts w:eastAsia="Calibri"/>
              </w:rPr>
            </w:pPr>
          </w:p>
        </w:tc>
      </w:tr>
      <w:tr w:rsidR="00C86B22" w:rsidRPr="00C86B22" w:rsidTr="0037420D">
        <w:tc>
          <w:tcPr>
            <w:tcW w:w="7735" w:type="dxa"/>
          </w:tcPr>
          <w:p w:rsidR="00C86B22" w:rsidRPr="00C86B22" w:rsidRDefault="00C86B22" w:rsidP="00C86B22">
            <w:pPr>
              <w:tabs>
                <w:tab w:val="left" w:pos="7920"/>
              </w:tabs>
              <w:spacing w:after="160" w:line="480" w:lineRule="auto"/>
              <w:contextualSpacing/>
              <w:rPr>
                <w:rFonts w:eastAsia="Calibri"/>
              </w:rPr>
            </w:pPr>
            <w:r w:rsidRPr="00C86B22">
              <w:rPr>
                <w:rFonts w:eastAsia="Calibri"/>
              </w:rPr>
              <w:t>Figure 1. Incarceration Rates per 100,000</w:t>
            </w:r>
          </w:p>
        </w:tc>
        <w:tc>
          <w:tcPr>
            <w:tcW w:w="751" w:type="dxa"/>
          </w:tcPr>
          <w:p w:rsidR="00C86B22" w:rsidRPr="00C86B22" w:rsidRDefault="00CE1779" w:rsidP="0037420D">
            <w:pPr>
              <w:tabs>
                <w:tab w:val="left" w:pos="7920"/>
              </w:tabs>
              <w:spacing w:after="160" w:line="480" w:lineRule="auto"/>
              <w:contextualSpacing/>
              <w:jc w:val="right"/>
              <w:rPr>
                <w:rFonts w:eastAsia="Calibri"/>
              </w:rPr>
            </w:pPr>
            <w:r>
              <w:rPr>
                <w:rFonts w:eastAsia="Calibri"/>
              </w:rPr>
              <w:t>20</w:t>
            </w:r>
          </w:p>
        </w:tc>
      </w:tr>
      <w:tr w:rsidR="00C86B22" w:rsidRPr="00C86B22" w:rsidTr="0037420D">
        <w:tc>
          <w:tcPr>
            <w:tcW w:w="7735" w:type="dxa"/>
          </w:tcPr>
          <w:p w:rsidR="00C86B22" w:rsidRPr="00C86B22" w:rsidRDefault="00C86B22" w:rsidP="00C86B22">
            <w:pPr>
              <w:tabs>
                <w:tab w:val="left" w:pos="7920"/>
              </w:tabs>
              <w:spacing w:after="160" w:line="480" w:lineRule="auto"/>
              <w:contextualSpacing/>
              <w:rPr>
                <w:rFonts w:eastAsia="Calibri"/>
              </w:rPr>
            </w:pPr>
            <w:r w:rsidRPr="00C86B22">
              <w:rPr>
                <w:rFonts w:eastAsia="Calibri"/>
              </w:rPr>
              <w:t>Figure 2. Incarceration Rates per 100,000 (logged)</w:t>
            </w:r>
          </w:p>
        </w:tc>
        <w:tc>
          <w:tcPr>
            <w:tcW w:w="751" w:type="dxa"/>
          </w:tcPr>
          <w:p w:rsidR="00C86B22" w:rsidRPr="00C86B22" w:rsidRDefault="00CE1779" w:rsidP="0037420D">
            <w:pPr>
              <w:tabs>
                <w:tab w:val="left" w:pos="7920"/>
              </w:tabs>
              <w:spacing w:after="160" w:line="480" w:lineRule="auto"/>
              <w:contextualSpacing/>
              <w:jc w:val="right"/>
              <w:rPr>
                <w:rFonts w:eastAsia="Calibri"/>
              </w:rPr>
            </w:pPr>
            <w:r>
              <w:rPr>
                <w:rFonts w:eastAsia="Calibri"/>
              </w:rPr>
              <w:t>21</w:t>
            </w:r>
          </w:p>
        </w:tc>
      </w:tr>
      <w:tr w:rsidR="00C86B22" w:rsidRPr="00C86B22" w:rsidTr="0037420D">
        <w:tc>
          <w:tcPr>
            <w:tcW w:w="7735" w:type="dxa"/>
          </w:tcPr>
          <w:p w:rsidR="00C86B22" w:rsidRPr="00C86B22" w:rsidRDefault="00C86B22" w:rsidP="00C86B22">
            <w:pPr>
              <w:tabs>
                <w:tab w:val="left" w:pos="7920"/>
              </w:tabs>
              <w:spacing w:after="160" w:line="480" w:lineRule="auto"/>
              <w:contextualSpacing/>
              <w:rPr>
                <w:rFonts w:eastAsia="Calibri"/>
              </w:rPr>
            </w:pPr>
            <w:r w:rsidRPr="00C86B22">
              <w:rPr>
                <w:rFonts w:eastAsia="Calibri"/>
              </w:rPr>
              <w:t>Figure 3. Inequality Measure, Gini Indices (net)</w:t>
            </w:r>
          </w:p>
        </w:tc>
        <w:tc>
          <w:tcPr>
            <w:tcW w:w="751" w:type="dxa"/>
          </w:tcPr>
          <w:p w:rsidR="00C86B22" w:rsidRPr="00C86B22" w:rsidRDefault="00CE1779" w:rsidP="006F0D5D">
            <w:pPr>
              <w:tabs>
                <w:tab w:val="left" w:pos="7920"/>
              </w:tabs>
              <w:spacing w:after="160" w:line="480" w:lineRule="auto"/>
              <w:contextualSpacing/>
              <w:jc w:val="right"/>
              <w:rPr>
                <w:rFonts w:eastAsia="Calibri"/>
              </w:rPr>
            </w:pPr>
            <w:r>
              <w:rPr>
                <w:rFonts w:eastAsia="Calibri"/>
              </w:rPr>
              <w:t>2</w:t>
            </w:r>
            <w:r w:rsidR="006F0D5D">
              <w:rPr>
                <w:rFonts w:eastAsia="Calibri"/>
              </w:rPr>
              <w:t>2</w:t>
            </w:r>
          </w:p>
        </w:tc>
      </w:tr>
      <w:tr w:rsidR="00C86B22" w:rsidRPr="00C86B22" w:rsidTr="0037420D">
        <w:tc>
          <w:tcPr>
            <w:tcW w:w="7735" w:type="dxa"/>
          </w:tcPr>
          <w:p w:rsidR="00C86B22" w:rsidRPr="00C86B22" w:rsidRDefault="00C86B22" w:rsidP="00C86B22">
            <w:pPr>
              <w:tabs>
                <w:tab w:val="left" w:pos="7920"/>
              </w:tabs>
              <w:spacing w:after="160" w:line="480" w:lineRule="auto"/>
              <w:contextualSpacing/>
              <w:rPr>
                <w:rFonts w:eastAsia="Calibri"/>
              </w:rPr>
            </w:pPr>
            <w:r w:rsidRPr="00C86B22">
              <w:rPr>
                <w:rFonts w:eastAsia="Calibri"/>
              </w:rPr>
              <w:t>Figure 4. Gross Domestic Product Per Capita</w:t>
            </w:r>
          </w:p>
        </w:tc>
        <w:tc>
          <w:tcPr>
            <w:tcW w:w="751" w:type="dxa"/>
          </w:tcPr>
          <w:p w:rsidR="00C86B22" w:rsidRPr="00C86B22" w:rsidRDefault="00CE1779" w:rsidP="0037420D">
            <w:pPr>
              <w:tabs>
                <w:tab w:val="left" w:pos="7920"/>
              </w:tabs>
              <w:spacing w:after="160" w:line="480" w:lineRule="auto"/>
              <w:contextualSpacing/>
              <w:jc w:val="right"/>
              <w:rPr>
                <w:rFonts w:eastAsia="Calibri"/>
              </w:rPr>
            </w:pPr>
            <w:r>
              <w:rPr>
                <w:rFonts w:eastAsia="Calibri"/>
              </w:rPr>
              <w:t>27</w:t>
            </w:r>
          </w:p>
        </w:tc>
      </w:tr>
      <w:tr w:rsidR="00C86B22" w:rsidRPr="00C86B22" w:rsidTr="0037420D">
        <w:tc>
          <w:tcPr>
            <w:tcW w:w="7735" w:type="dxa"/>
          </w:tcPr>
          <w:p w:rsidR="00C86B22" w:rsidRPr="00C86B22" w:rsidRDefault="00C86B22" w:rsidP="00C86B22">
            <w:pPr>
              <w:tabs>
                <w:tab w:val="left" w:pos="7920"/>
              </w:tabs>
              <w:spacing w:after="160" w:line="480" w:lineRule="auto"/>
              <w:contextualSpacing/>
              <w:rPr>
                <w:rFonts w:eastAsia="Calibri"/>
              </w:rPr>
            </w:pPr>
            <w:r w:rsidRPr="00C86B22">
              <w:rPr>
                <w:rFonts w:eastAsia="Calibri"/>
              </w:rPr>
              <w:t>Figure 5. Gross Domestic Product Per Capita (logged)</w:t>
            </w:r>
          </w:p>
        </w:tc>
        <w:tc>
          <w:tcPr>
            <w:tcW w:w="751" w:type="dxa"/>
          </w:tcPr>
          <w:p w:rsidR="00C86B22" w:rsidRPr="00C86B22" w:rsidRDefault="00CE1779" w:rsidP="0037420D">
            <w:pPr>
              <w:tabs>
                <w:tab w:val="left" w:pos="7920"/>
              </w:tabs>
              <w:spacing w:after="160" w:line="480" w:lineRule="auto"/>
              <w:contextualSpacing/>
              <w:jc w:val="right"/>
              <w:rPr>
                <w:rFonts w:eastAsia="Calibri"/>
              </w:rPr>
            </w:pPr>
            <w:r>
              <w:rPr>
                <w:rFonts w:eastAsia="Calibri"/>
              </w:rPr>
              <w:t>28</w:t>
            </w:r>
          </w:p>
        </w:tc>
      </w:tr>
      <w:tr w:rsidR="00C86B22" w:rsidRPr="00C86B22" w:rsidTr="0037420D">
        <w:tc>
          <w:tcPr>
            <w:tcW w:w="7735" w:type="dxa"/>
          </w:tcPr>
          <w:p w:rsidR="00C86B22" w:rsidRPr="00C86B22" w:rsidRDefault="00C86B22" w:rsidP="00C86B22">
            <w:pPr>
              <w:tabs>
                <w:tab w:val="left" w:pos="7920"/>
              </w:tabs>
              <w:spacing w:after="160" w:line="480" w:lineRule="auto"/>
              <w:contextualSpacing/>
              <w:rPr>
                <w:rFonts w:eastAsia="Calibri"/>
              </w:rPr>
            </w:pPr>
            <w:r w:rsidRPr="00C86B22">
              <w:rPr>
                <w:rFonts w:eastAsia="Calibri"/>
              </w:rPr>
              <w:t>Figure 6. Percentage of Population ages 15 through 64</w:t>
            </w:r>
          </w:p>
        </w:tc>
        <w:tc>
          <w:tcPr>
            <w:tcW w:w="751" w:type="dxa"/>
          </w:tcPr>
          <w:p w:rsidR="00C86B22" w:rsidRPr="00C86B22" w:rsidRDefault="00CE1779" w:rsidP="0037420D">
            <w:pPr>
              <w:tabs>
                <w:tab w:val="left" w:pos="7920"/>
              </w:tabs>
              <w:spacing w:after="160" w:line="480" w:lineRule="auto"/>
              <w:contextualSpacing/>
              <w:jc w:val="right"/>
              <w:rPr>
                <w:rFonts w:eastAsia="Calibri"/>
              </w:rPr>
            </w:pPr>
            <w:r>
              <w:rPr>
                <w:rFonts w:eastAsia="Calibri"/>
              </w:rPr>
              <w:t>30</w:t>
            </w:r>
          </w:p>
        </w:tc>
      </w:tr>
      <w:tr w:rsidR="00C86B22" w:rsidRPr="00C86B22" w:rsidTr="0037420D">
        <w:tc>
          <w:tcPr>
            <w:tcW w:w="7735" w:type="dxa"/>
          </w:tcPr>
          <w:p w:rsidR="00C86B22" w:rsidRPr="00C86B22" w:rsidRDefault="00C86B22" w:rsidP="00C86B22">
            <w:pPr>
              <w:tabs>
                <w:tab w:val="left" w:pos="7920"/>
              </w:tabs>
              <w:spacing w:after="160" w:line="480" w:lineRule="auto"/>
              <w:contextualSpacing/>
              <w:rPr>
                <w:rFonts w:eastAsia="Calibri"/>
              </w:rPr>
            </w:pPr>
            <w:r w:rsidRPr="00C86B22">
              <w:rPr>
                <w:rFonts w:eastAsia="Calibri"/>
              </w:rPr>
              <w:t>Figure 7. Percentage of Population Residing in Urban Areas</w:t>
            </w:r>
          </w:p>
        </w:tc>
        <w:tc>
          <w:tcPr>
            <w:tcW w:w="751" w:type="dxa"/>
          </w:tcPr>
          <w:p w:rsidR="00C86B22" w:rsidRPr="00C86B22" w:rsidRDefault="00CE1779" w:rsidP="0037420D">
            <w:pPr>
              <w:tabs>
                <w:tab w:val="left" w:pos="7920"/>
              </w:tabs>
              <w:spacing w:after="160" w:line="480" w:lineRule="auto"/>
              <w:contextualSpacing/>
              <w:jc w:val="right"/>
              <w:rPr>
                <w:rFonts w:eastAsia="Calibri"/>
              </w:rPr>
            </w:pPr>
            <w:r>
              <w:rPr>
                <w:rFonts w:eastAsia="Calibri"/>
              </w:rPr>
              <w:t>31</w:t>
            </w:r>
          </w:p>
        </w:tc>
      </w:tr>
      <w:tr w:rsidR="00C86B22" w:rsidRPr="00C86B22" w:rsidTr="0037420D">
        <w:tc>
          <w:tcPr>
            <w:tcW w:w="7735" w:type="dxa"/>
          </w:tcPr>
          <w:p w:rsidR="00C86B22" w:rsidRPr="00C86B22" w:rsidRDefault="00C86B22" w:rsidP="00C86B22">
            <w:pPr>
              <w:tabs>
                <w:tab w:val="left" w:pos="7920"/>
              </w:tabs>
              <w:spacing w:after="160" w:line="480" w:lineRule="auto"/>
              <w:contextualSpacing/>
              <w:rPr>
                <w:rFonts w:eastAsia="Calibri"/>
              </w:rPr>
            </w:pPr>
            <w:r w:rsidRPr="00C86B22">
              <w:rPr>
                <w:rFonts w:eastAsia="Calibri"/>
              </w:rPr>
              <w:t>Figure 8. Percent of Population 15+ Completing Secondary Education</w:t>
            </w:r>
          </w:p>
        </w:tc>
        <w:tc>
          <w:tcPr>
            <w:tcW w:w="751" w:type="dxa"/>
          </w:tcPr>
          <w:p w:rsidR="00C86B22" w:rsidRPr="00C86B22" w:rsidRDefault="00CE1779" w:rsidP="0037420D">
            <w:pPr>
              <w:tabs>
                <w:tab w:val="left" w:pos="7920"/>
              </w:tabs>
              <w:spacing w:after="160" w:line="480" w:lineRule="auto"/>
              <w:contextualSpacing/>
              <w:jc w:val="right"/>
              <w:rPr>
                <w:rFonts w:eastAsia="Calibri"/>
              </w:rPr>
            </w:pPr>
            <w:r>
              <w:rPr>
                <w:rFonts w:eastAsia="Calibri"/>
              </w:rPr>
              <w:t>33</w:t>
            </w:r>
          </w:p>
        </w:tc>
      </w:tr>
      <w:tr w:rsidR="00CE1779" w:rsidRPr="00C86B22" w:rsidTr="0037420D">
        <w:tc>
          <w:tcPr>
            <w:tcW w:w="7735" w:type="dxa"/>
          </w:tcPr>
          <w:p w:rsidR="00CE1779" w:rsidRPr="00C86B22" w:rsidRDefault="00CE1779" w:rsidP="006F0D5D">
            <w:pPr>
              <w:tabs>
                <w:tab w:val="left" w:pos="7920"/>
              </w:tabs>
              <w:spacing w:line="480" w:lineRule="auto"/>
              <w:contextualSpacing/>
              <w:rPr>
                <w:rFonts w:eastAsia="Calibri"/>
              </w:rPr>
            </w:pPr>
            <w:r>
              <w:rPr>
                <w:rFonts w:eastAsia="Calibri"/>
              </w:rPr>
              <w:t xml:space="preserve">Figure 9. </w:t>
            </w:r>
            <w:r w:rsidRPr="00CE1779">
              <w:rPr>
                <w:rFonts w:eastAsia="Calibri"/>
              </w:rPr>
              <w:t>Percent of Population 15+ Completing Secondary Education</w:t>
            </w:r>
            <w:r>
              <w:rPr>
                <w:rFonts w:eastAsia="Calibri"/>
              </w:rPr>
              <w:t xml:space="preserve"> </w:t>
            </w:r>
            <w:r w:rsidR="006F0D5D">
              <w:rPr>
                <w:rFonts w:eastAsia="Calibri"/>
              </w:rPr>
              <w:t>(log)</w:t>
            </w:r>
          </w:p>
        </w:tc>
        <w:tc>
          <w:tcPr>
            <w:tcW w:w="751" w:type="dxa"/>
          </w:tcPr>
          <w:p w:rsidR="00CE1779" w:rsidRDefault="00CE1779" w:rsidP="0037420D">
            <w:pPr>
              <w:tabs>
                <w:tab w:val="left" w:pos="7920"/>
              </w:tabs>
              <w:spacing w:line="480" w:lineRule="auto"/>
              <w:contextualSpacing/>
              <w:jc w:val="right"/>
              <w:rPr>
                <w:rFonts w:eastAsia="Calibri"/>
              </w:rPr>
            </w:pPr>
            <w:r>
              <w:rPr>
                <w:rFonts w:eastAsia="Calibri"/>
              </w:rPr>
              <w:t>34</w:t>
            </w:r>
          </w:p>
        </w:tc>
      </w:tr>
      <w:tr w:rsidR="00295E9C" w:rsidRPr="00C86B22" w:rsidTr="0037420D">
        <w:tc>
          <w:tcPr>
            <w:tcW w:w="7735" w:type="dxa"/>
          </w:tcPr>
          <w:p w:rsidR="00295E9C" w:rsidRPr="00C86B22" w:rsidRDefault="00295E9C" w:rsidP="00C86B22">
            <w:pPr>
              <w:tabs>
                <w:tab w:val="left" w:pos="7920"/>
              </w:tabs>
              <w:spacing w:after="160" w:line="480" w:lineRule="auto"/>
              <w:ind w:left="1008" w:hanging="1008"/>
              <w:contextualSpacing/>
              <w:rPr>
                <w:rFonts w:eastAsia="Calibri"/>
              </w:rPr>
            </w:pPr>
            <w:r w:rsidRPr="00C86B22">
              <w:rPr>
                <w:rFonts w:eastAsia="Calibri"/>
              </w:rPr>
              <w:t>Figure 10. Homicide Rates</w:t>
            </w:r>
          </w:p>
        </w:tc>
        <w:tc>
          <w:tcPr>
            <w:tcW w:w="751" w:type="dxa"/>
          </w:tcPr>
          <w:p w:rsidR="00295E9C" w:rsidRPr="00C86B22" w:rsidRDefault="00CE1779" w:rsidP="0037420D">
            <w:pPr>
              <w:tabs>
                <w:tab w:val="left" w:pos="7920"/>
              </w:tabs>
              <w:spacing w:after="160" w:line="480" w:lineRule="auto"/>
              <w:contextualSpacing/>
              <w:jc w:val="right"/>
              <w:rPr>
                <w:rFonts w:eastAsia="Calibri"/>
              </w:rPr>
            </w:pPr>
            <w:r>
              <w:rPr>
                <w:rFonts w:eastAsia="Calibri"/>
              </w:rPr>
              <w:t>35</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sidRPr="00C86B22">
              <w:rPr>
                <w:rFonts w:eastAsia="Calibri"/>
              </w:rPr>
              <w:t>Figure 11. Homicide Rates (logged)</w:t>
            </w:r>
          </w:p>
        </w:tc>
        <w:tc>
          <w:tcPr>
            <w:tcW w:w="751" w:type="dxa"/>
          </w:tcPr>
          <w:p w:rsidR="00295E9C" w:rsidRPr="00C86B22" w:rsidRDefault="00CE1779" w:rsidP="0037420D">
            <w:pPr>
              <w:tabs>
                <w:tab w:val="left" w:pos="7920"/>
              </w:tabs>
              <w:spacing w:after="160" w:line="480" w:lineRule="auto"/>
              <w:contextualSpacing/>
              <w:jc w:val="right"/>
              <w:rPr>
                <w:rFonts w:eastAsia="Calibri"/>
              </w:rPr>
            </w:pPr>
            <w:r>
              <w:rPr>
                <w:rFonts w:eastAsia="Calibri"/>
              </w:rPr>
              <w:t>36</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sidRPr="00C86B22">
              <w:rPr>
                <w:rFonts w:eastAsia="Calibri"/>
              </w:rPr>
              <w:t>Figure 12. Histogram of Drug Offense Rates</w:t>
            </w:r>
          </w:p>
        </w:tc>
        <w:tc>
          <w:tcPr>
            <w:tcW w:w="751" w:type="dxa"/>
          </w:tcPr>
          <w:p w:rsidR="00295E9C" w:rsidRPr="00C86B22" w:rsidRDefault="00CE1779" w:rsidP="0037420D">
            <w:pPr>
              <w:tabs>
                <w:tab w:val="left" w:pos="7920"/>
              </w:tabs>
              <w:spacing w:after="160" w:line="480" w:lineRule="auto"/>
              <w:contextualSpacing/>
              <w:jc w:val="right"/>
              <w:rPr>
                <w:rFonts w:eastAsia="Calibri"/>
              </w:rPr>
            </w:pPr>
            <w:r>
              <w:rPr>
                <w:rFonts w:eastAsia="Calibri"/>
              </w:rPr>
              <w:t>38</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sidRPr="00C86B22">
              <w:rPr>
                <w:rFonts w:eastAsia="Calibri"/>
              </w:rPr>
              <w:t>Figure 13. Hi</w:t>
            </w:r>
            <w:r w:rsidR="006F0D5D">
              <w:rPr>
                <w:rFonts w:eastAsia="Calibri"/>
              </w:rPr>
              <w:t>stogram of Drug Offense Rates (l</w:t>
            </w:r>
            <w:r w:rsidRPr="00C86B22">
              <w:rPr>
                <w:rFonts w:eastAsia="Calibri"/>
              </w:rPr>
              <w:t>ogged)</w:t>
            </w:r>
          </w:p>
        </w:tc>
        <w:tc>
          <w:tcPr>
            <w:tcW w:w="751" w:type="dxa"/>
          </w:tcPr>
          <w:p w:rsidR="00295E9C" w:rsidRPr="00C86B22" w:rsidRDefault="00CE1779" w:rsidP="0037420D">
            <w:pPr>
              <w:tabs>
                <w:tab w:val="left" w:pos="7920"/>
              </w:tabs>
              <w:spacing w:after="160" w:line="480" w:lineRule="auto"/>
              <w:contextualSpacing/>
              <w:jc w:val="right"/>
              <w:rPr>
                <w:rFonts w:eastAsia="Calibri"/>
              </w:rPr>
            </w:pPr>
            <w:r>
              <w:rPr>
                <w:rFonts w:eastAsia="Calibri"/>
              </w:rPr>
              <w:t>39</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sidRPr="00C86B22">
              <w:rPr>
                <w:rFonts w:eastAsia="Calibri"/>
              </w:rPr>
              <w:t>Figure 14. Ethnic Fractionalization</w:t>
            </w:r>
          </w:p>
        </w:tc>
        <w:tc>
          <w:tcPr>
            <w:tcW w:w="751" w:type="dxa"/>
          </w:tcPr>
          <w:p w:rsidR="00295E9C" w:rsidRPr="00C86B22" w:rsidRDefault="00CE1779" w:rsidP="0037420D">
            <w:pPr>
              <w:tabs>
                <w:tab w:val="left" w:pos="7920"/>
              </w:tabs>
              <w:spacing w:after="160" w:line="480" w:lineRule="auto"/>
              <w:contextualSpacing/>
              <w:jc w:val="right"/>
              <w:rPr>
                <w:rFonts w:eastAsia="Calibri"/>
              </w:rPr>
            </w:pPr>
            <w:r>
              <w:rPr>
                <w:rFonts w:eastAsia="Calibri"/>
              </w:rPr>
              <w:t>40</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15</w:t>
            </w:r>
            <w:r w:rsidRPr="00C86B22">
              <w:rPr>
                <w:rFonts w:eastAsia="Calibri"/>
              </w:rPr>
              <w:t>. Average Incarceration Rates Worldwide</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54</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16</w:t>
            </w:r>
            <w:r w:rsidRPr="00C86B22">
              <w:rPr>
                <w:rFonts w:eastAsia="Calibri"/>
              </w:rPr>
              <w:t>. Average Incarceration Rates by Region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55</w:t>
            </w:r>
          </w:p>
        </w:tc>
      </w:tr>
      <w:tr w:rsidR="00295E9C" w:rsidRPr="00C86B22" w:rsidTr="0037420D">
        <w:tc>
          <w:tcPr>
            <w:tcW w:w="7735" w:type="dxa"/>
          </w:tcPr>
          <w:p w:rsidR="00295E9C" w:rsidRPr="00C86B22" w:rsidRDefault="00295E9C" w:rsidP="00295E9C">
            <w:pPr>
              <w:tabs>
                <w:tab w:val="left" w:pos="7920"/>
              </w:tabs>
              <w:spacing w:after="160" w:line="480" w:lineRule="auto"/>
              <w:contextualSpacing/>
              <w:rPr>
                <w:rFonts w:eastAsia="Calibri"/>
              </w:rPr>
            </w:pPr>
            <w:r w:rsidRPr="00C86B22">
              <w:rPr>
                <w:rFonts w:eastAsia="Calibri"/>
              </w:rPr>
              <w:t>Figure 1</w:t>
            </w:r>
            <w:r>
              <w:rPr>
                <w:rFonts w:eastAsia="Calibri"/>
              </w:rPr>
              <w:t>7</w:t>
            </w:r>
            <w:r w:rsidRPr="00C86B22">
              <w:rPr>
                <w:rFonts w:eastAsia="Calibri"/>
              </w:rPr>
              <w:t>. Inequality Worldwide</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55</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18</w:t>
            </w:r>
            <w:r w:rsidRPr="00C86B22">
              <w:rPr>
                <w:rFonts w:eastAsia="Calibri"/>
              </w:rPr>
              <w:t>. Average Inequality for Regions of the World</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56</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19</w:t>
            </w:r>
            <w:r w:rsidRPr="00C86B22">
              <w:rPr>
                <w:rFonts w:eastAsia="Calibri"/>
              </w:rPr>
              <w:t>. GDPPC Worldwide</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57</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20</w:t>
            </w:r>
            <w:r w:rsidRPr="00C86B22">
              <w:rPr>
                <w:rFonts w:eastAsia="Calibri"/>
              </w:rPr>
              <w:t>. GDPPC by Region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58</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21</w:t>
            </w:r>
            <w:r w:rsidRPr="00C86B22">
              <w:rPr>
                <w:rFonts w:eastAsia="Calibri"/>
              </w:rPr>
              <w:t>. Democracy Worldwide</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59</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22</w:t>
            </w:r>
            <w:r w:rsidRPr="00C86B22">
              <w:rPr>
                <w:rFonts w:eastAsia="Calibri"/>
              </w:rPr>
              <w:t>. Democracy by Regions</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59</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lastRenderedPageBreak/>
              <w:t>Figure 23</w:t>
            </w:r>
            <w:r w:rsidRPr="00C86B22">
              <w:rPr>
                <w:rFonts w:eastAsia="Calibri"/>
              </w:rPr>
              <w:t>. Average Percentage of Population between Age 15 and 64</w:t>
            </w:r>
          </w:p>
        </w:tc>
        <w:tc>
          <w:tcPr>
            <w:tcW w:w="751" w:type="dxa"/>
          </w:tcPr>
          <w:p w:rsidR="00295E9C" w:rsidRPr="00C86B22" w:rsidRDefault="006F0D5D" w:rsidP="00CE1779">
            <w:pPr>
              <w:tabs>
                <w:tab w:val="left" w:pos="7920"/>
              </w:tabs>
              <w:spacing w:after="160" w:line="480" w:lineRule="auto"/>
              <w:contextualSpacing/>
              <w:jc w:val="right"/>
              <w:rPr>
                <w:rFonts w:eastAsia="Calibri"/>
              </w:rPr>
            </w:pPr>
            <w:r>
              <w:rPr>
                <w:rFonts w:eastAsia="Calibri"/>
              </w:rPr>
              <w:t>60</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24</w:t>
            </w:r>
            <w:r w:rsidRPr="00C86B22">
              <w:rPr>
                <w:rFonts w:eastAsia="Calibri"/>
              </w:rPr>
              <w:t>. Average Percentage of Population Between 15 and 64 by Regions</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60</w:t>
            </w:r>
          </w:p>
        </w:tc>
      </w:tr>
      <w:tr w:rsidR="00295E9C" w:rsidRPr="00C86B22" w:rsidTr="0037420D">
        <w:tc>
          <w:tcPr>
            <w:tcW w:w="7735" w:type="dxa"/>
          </w:tcPr>
          <w:p w:rsidR="00295E9C" w:rsidRPr="00C86B22" w:rsidRDefault="00295E9C" w:rsidP="00C86B22">
            <w:pPr>
              <w:tabs>
                <w:tab w:val="left" w:pos="7920"/>
              </w:tabs>
              <w:spacing w:after="160" w:line="480" w:lineRule="auto"/>
              <w:ind w:left="1008" w:hanging="1008"/>
              <w:contextualSpacing/>
              <w:rPr>
                <w:rFonts w:eastAsia="Calibri"/>
              </w:rPr>
            </w:pPr>
            <w:r>
              <w:rPr>
                <w:rFonts w:eastAsia="Calibri"/>
              </w:rPr>
              <w:t>Figure 25</w:t>
            </w:r>
            <w:r w:rsidRPr="00C86B22">
              <w:rPr>
                <w:rFonts w:eastAsia="Calibri"/>
              </w:rPr>
              <w:t>. Percent of Population in Urban Areas</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61</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26</w:t>
            </w:r>
            <w:r w:rsidRPr="00C86B22">
              <w:rPr>
                <w:rFonts w:eastAsia="Calibri"/>
              </w:rPr>
              <w:t>. Percent of Population in Urban Areas by Region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62</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27</w:t>
            </w:r>
            <w:r w:rsidRPr="00C86B22">
              <w:rPr>
                <w:rFonts w:eastAsia="Calibri"/>
              </w:rPr>
              <w:t>. Physical Integrity Rights Worldwide Average</w:t>
            </w:r>
          </w:p>
        </w:tc>
        <w:tc>
          <w:tcPr>
            <w:tcW w:w="751" w:type="dxa"/>
          </w:tcPr>
          <w:p w:rsidR="00295E9C" w:rsidRPr="00C86B22" w:rsidRDefault="00CE1779" w:rsidP="006F0D5D">
            <w:pPr>
              <w:tabs>
                <w:tab w:val="left" w:pos="7920"/>
              </w:tabs>
              <w:spacing w:after="160" w:line="480" w:lineRule="auto"/>
              <w:contextualSpacing/>
              <w:jc w:val="right"/>
              <w:rPr>
                <w:rFonts w:eastAsia="Calibri"/>
              </w:rPr>
            </w:pPr>
            <w:r>
              <w:rPr>
                <w:rFonts w:eastAsia="Calibri"/>
              </w:rPr>
              <w:t>6</w:t>
            </w:r>
            <w:r w:rsidR="006F0D5D">
              <w:rPr>
                <w:rFonts w:eastAsia="Calibri"/>
              </w:rPr>
              <w:t>3</w:t>
            </w:r>
          </w:p>
        </w:tc>
      </w:tr>
      <w:tr w:rsidR="00295E9C" w:rsidRPr="00C86B22" w:rsidTr="0037420D">
        <w:tc>
          <w:tcPr>
            <w:tcW w:w="7735" w:type="dxa"/>
          </w:tcPr>
          <w:p w:rsidR="00295E9C" w:rsidRPr="00C86B22" w:rsidRDefault="00295E9C" w:rsidP="00295E9C">
            <w:pPr>
              <w:tabs>
                <w:tab w:val="left" w:pos="7920"/>
              </w:tabs>
              <w:spacing w:after="160" w:line="480" w:lineRule="auto"/>
              <w:contextualSpacing/>
              <w:rPr>
                <w:rFonts w:eastAsia="Calibri"/>
              </w:rPr>
            </w:pPr>
            <w:r>
              <w:rPr>
                <w:rFonts w:eastAsia="Calibri"/>
              </w:rPr>
              <w:t>Figure 28</w:t>
            </w:r>
            <w:r w:rsidRPr="00C86B22">
              <w:rPr>
                <w:rFonts w:eastAsia="Calibri"/>
              </w:rPr>
              <w:t>. Physical Integrity Rights Regional Averages</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64</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29</w:t>
            </w:r>
            <w:r w:rsidRPr="00C86B22">
              <w:rPr>
                <w:rFonts w:eastAsia="Calibri"/>
              </w:rPr>
              <w:t>. Percent of the Population Completing Secondary Education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65</w:t>
            </w:r>
          </w:p>
        </w:tc>
      </w:tr>
      <w:tr w:rsidR="00295E9C" w:rsidRPr="00C86B22" w:rsidTr="0037420D">
        <w:tc>
          <w:tcPr>
            <w:tcW w:w="7735" w:type="dxa"/>
          </w:tcPr>
          <w:p w:rsidR="00295E9C" w:rsidRPr="00C86B22" w:rsidRDefault="00295E9C" w:rsidP="00295E9C">
            <w:pPr>
              <w:tabs>
                <w:tab w:val="left" w:pos="7920"/>
              </w:tabs>
              <w:spacing w:after="160" w:line="480" w:lineRule="auto"/>
              <w:contextualSpacing/>
              <w:rPr>
                <w:rFonts w:eastAsia="Calibri"/>
              </w:rPr>
            </w:pPr>
            <w:r w:rsidRPr="00C86B22">
              <w:rPr>
                <w:rFonts w:eastAsia="Calibri"/>
              </w:rPr>
              <w:t>Figure 3</w:t>
            </w:r>
            <w:r>
              <w:rPr>
                <w:rFonts w:eastAsia="Calibri"/>
              </w:rPr>
              <w:t>0</w:t>
            </w:r>
            <w:r w:rsidRPr="00C86B22">
              <w:rPr>
                <w:rFonts w:eastAsia="Calibri"/>
              </w:rPr>
              <w:t>. Percent Completing Secondary Education by Region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66</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31</w:t>
            </w:r>
            <w:r w:rsidRPr="00C86B22">
              <w:rPr>
                <w:rFonts w:eastAsia="Calibri"/>
              </w:rPr>
              <w:t>. Worldwide Averages for Homicide Rates</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66</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32</w:t>
            </w:r>
            <w:r w:rsidRPr="00C86B22">
              <w:rPr>
                <w:rFonts w:eastAsia="Calibri"/>
              </w:rPr>
              <w:t>. Regional Averages for Homicide Rates</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67</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3</w:t>
            </w:r>
            <w:r w:rsidRPr="00C86B22">
              <w:rPr>
                <w:rFonts w:eastAsia="Calibri"/>
              </w:rPr>
              <w:t>3. Average Drug Offense Rates</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68</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3</w:t>
            </w:r>
            <w:r w:rsidRPr="00C86B22">
              <w:rPr>
                <w:rFonts w:eastAsia="Calibri"/>
              </w:rPr>
              <w:t>4. Drug Offense Rates by Region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69</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3</w:t>
            </w:r>
            <w:r w:rsidRPr="00C86B22">
              <w:rPr>
                <w:rFonts w:eastAsia="Calibri"/>
              </w:rPr>
              <w:t>5. Inequality by World Systems Position</w:t>
            </w:r>
          </w:p>
        </w:tc>
        <w:tc>
          <w:tcPr>
            <w:tcW w:w="751" w:type="dxa"/>
          </w:tcPr>
          <w:p w:rsidR="00295E9C" w:rsidRPr="00C86B22" w:rsidRDefault="00CE1779" w:rsidP="006F0D5D">
            <w:pPr>
              <w:tabs>
                <w:tab w:val="left" w:pos="7920"/>
              </w:tabs>
              <w:spacing w:after="160" w:line="480" w:lineRule="auto"/>
              <w:contextualSpacing/>
              <w:jc w:val="right"/>
              <w:rPr>
                <w:rFonts w:eastAsia="Calibri"/>
              </w:rPr>
            </w:pPr>
            <w:r>
              <w:rPr>
                <w:rFonts w:eastAsia="Calibri"/>
              </w:rPr>
              <w:t>7</w:t>
            </w:r>
            <w:r w:rsidR="006F0D5D">
              <w:rPr>
                <w:rFonts w:eastAsia="Calibri"/>
              </w:rPr>
              <w:t>4</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3</w:t>
            </w:r>
            <w:r w:rsidRPr="00C86B22">
              <w:rPr>
                <w:rFonts w:eastAsia="Calibri"/>
              </w:rPr>
              <w:t>6. GDPPC by World Systems Position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75</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3</w:t>
            </w:r>
            <w:r w:rsidRPr="00C86B22">
              <w:rPr>
                <w:rFonts w:eastAsia="Calibri"/>
              </w:rPr>
              <w:t>7. Democracy by World Systems Position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76</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3</w:t>
            </w:r>
            <w:r w:rsidRPr="00C86B22">
              <w:rPr>
                <w:rFonts w:eastAsia="Calibri"/>
              </w:rPr>
              <w:t>8. Average Percentage of Population Between 15 and 64 by WSP</w:t>
            </w:r>
          </w:p>
        </w:tc>
        <w:tc>
          <w:tcPr>
            <w:tcW w:w="751" w:type="dxa"/>
          </w:tcPr>
          <w:p w:rsidR="00295E9C" w:rsidRPr="00C86B22" w:rsidRDefault="00295E9C" w:rsidP="00CE1779">
            <w:pPr>
              <w:tabs>
                <w:tab w:val="left" w:pos="7920"/>
              </w:tabs>
              <w:spacing w:after="160" w:line="480" w:lineRule="auto"/>
              <w:contextualSpacing/>
              <w:jc w:val="right"/>
              <w:rPr>
                <w:rFonts w:eastAsia="Calibri"/>
              </w:rPr>
            </w:pPr>
            <w:r>
              <w:rPr>
                <w:rFonts w:eastAsia="Calibri"/>
              </w:rPr>
              <w:t>7</w:t>
            </w:r>
            <w:r w:rsidR="006F0D5D">
              <w:rPr>
                <w:rFonts w:eastAsia="Calibri"/>
              </w:rPr>
              <w:t>6</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3</w:t>
            </w:r>
            <w:r w:rsidRPr="00C86B22">
              <w:rPr>
                <w:rFonts w:eastAsia="Calibri"/>
              </w:rPr>
              <w:t xml:space="preserve">9. </w:t>
            </w:r>
            <w:r w:rsidRPr="00295E9C">
              <w:rPr>
                <w:rFonts w:eastAsia="Calibri"/>
              </w:rPr>
              <w:t xml:space="preserve">Urbanization by </w:t>
            </w:r>
            <w:r>
              <w:rPr>
                <w:rFonts w:eastAsia="Calibri"/>
              </w:rPr>
              <w:t>World-Systems Position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77</w:t>
            </w:r>
          </w:p>
        </w:tc>
      </w:tr>
      <w:tr w:rsidR="00295E9C" w:rsidRPr="00C86B22" w:rsidTr="0037420D">
        <w:tc>
          <w:tcPr>
            <w:tcW w:w="7735" w:type="dxa"/>
          </w:tcPr>
          <w:p w:rsidR="00295E9C" w:rsidRPr="00C86B22" w:rsidRDefault="00295E9C" w:rsidP="00C86B22">
            <w:pPr>
              <w:tabs>
                <w:tab w:val="left" w:pos="7920"/>
              </w:tabs>
              <w:spacing w:after="160" w:line="480" w:lineRule="auto"/>
              <w:contextualSpacing/>
              <w:rPr>
                <w:rFonts w:eastAsia="Calibri"/>
              </w:rPr>
            </w:pPr>
            <w:r>
              <w:rPr>
                <w:rFonts w:eastAsia="Calibri"/>
              </w:rPr>
              <w:t>Figure 4</w:t>
            </w:r>
            <w:r w:rsidRPr="00C86B22">
              <w:rPr>
                <w:rFonts w:eastAsia="Calibri"/>
              </w:rPr>
              <w:t xml:space="preserve">0. </w:t>
            </w:r>
            <w:r w:rsidRPr="00295E9C">
              <w:rPr>
                <w:rFonts w:eastAsia="Calibri"/>
              </w:rPr>
              <w:t>Homicide Rates by World-Systems Position</w:t>
            </w:r>
          </w:p>
        </w:tc>
        <w:tc>
          <w:tcPr>
            <w:tcW w:w="751" w:type="dxa"/>
          </w:tcPr>
          <w:p w:rsidR="00295E9C" w:rsidRPr="00C86B22" w:rsidRDefault="006F0D5D" w:rsidP="0037420D">
            <w:pPr>
              <w:tabs>
                <w:tab w:val="left" w:pos="7920"/>
              </w:tabs>
              <w:spacing w:after="160" w:line="480" w:lineRule="auto"/>
              <w:contextualSpacing/>
              <w:jc w:val="right"/>
              <w:rPr>
                <w:rFonts w:eastAsia="Calibri"/>
              </w:rPr>
            </w:pPr>
            <w:r>
              <w:rPr>
                <w:rFonts w:eastAsia="Calibri"/>
              </w:rPr>
              <w:t>78</w:t>
            </w:r>
          </w:p>
        </w:tc>
      </w:tr>
    </w:tbl>
    <w:p w:rsidR="00790BD2" w:rsidRDefault="00790BD2" w:rsidP="00B8055E">
      <w:pPr>
        <w:tabs>
          <w:tab w:val="left" w:pos="7920"/>
        </w:tabs>
        <w:spacing w:line="480" w:lineRule="auto"/>
        <w:contextualSpacing/>
        <w:rPr>
          <w:rFonts w:eastAsia="Calibri"/>
        </w:rPr>
      </w:pPr>
      <w:r>
        <w:rPr>
          <w:rFonts w:eastAsia="Calibri"/>
        </w:rPr>
        <w:br w:type="page"/>
      </w:r>
    </w:p>
    <w:p w:rsidR="00C1222C" w:rsidRPr="00C1222C" w:rsidRDefault="00C1222C" w:rsidP="00C1222C">
      <w:pPr>
        <w:spacing w:line="480" w:lineRule="auto"/>
        <w:contextualSpacing/>
      </w:pPr>
      <w:r w:rsidRPr="00C1222C">
        <w:lastRenderedPageBreak/>
        <w:t>Abstract</w:t>
      </w:r>
    </w:p>
    <w:p w:rsidR="00C1222C" w:rsidRPr="00C1222C" w:rsidRDefault="00C1222C" w:rsidP="00C1222C">
      <w:pPr>
        <w:spacing w:line="480" w:lineRule="auto"/>
        <w:contextualSpacing/>
      </w:pPr>
      <w:r w:rsidRPr="00C1222C">
        <w:t xml:space="preserve">Numerous studies find a positive relationship between income inequality and incarceration rates within countries. Other scholars note inequality, as an explanatory variable for differences in incarceration rates, lacks statistical significance. </w:t>
      </w:r>
      <w:r w:rsidRPr="008C30A2">
        <w:rPr>
          <w:noProof/>
        </w:rPr>
        <w:t>I</w:t>
      </w:r>
      <w:r w:rsidRPr="00C1222C">
        <w:t xml:space="preserve"> confirm the positive relationship between increased inequality and increased incarceration rates in initial analyses, but find when tested with additional explanatory variables, income inequality loses its significance as a predictor of incarceration rates. In this study, </w:t>
      </w:r>
      <w:r w:rsidRPr="008C30A2">
        <w:rPr>
          <w:noProof/>
        </w:rPr>
        <w:t>I</w:t>
      </w:r>
      <w:r w:rsidRPr="00C1222C">
        <w:t xml:space="preserve"> examine this relationship to provide additional context for the circumstances under which inequality influences incarceration rates, and when other factors attenuate the effect of inequality. Not only do </w:t>
      </w:r>
      <w:r w:rsidRPr="008C30A2">
        <w:rPr>
          <w:noProof/>
        </w:rPr>
        <w:t>I</w:t>
      </w:r>
      <w:r w:rsidRPr="00C1222C">
        <w:t xml:space="preserve"> control for crime rates, using homicide rates, but include a control for drug offense rates not noted in earlier studies. Given the paucity of research regarding world-systems theory and criminological outcomes, </w:t>
      </w:r>
      <w:r w:rsidRPr="008C30A2">
        <w:rPr>
          <w:noProof/>
        </w:rPr>
        <w:t>I</w:t>
      </w:r>
      <w:r w:rsidRPr="00C1222C">
        <w:t xml:space="preserve"> examine the role of position in the world-system on incarceration rates and other cogent variables. Results indicate no direct relationship between world systems position (WSP) and incarceration rates but indicate strong relationships between WSP and homicide rates and drug offense rates. This cross-national study examines correlates of rates of incarceration for 77 countries from 1994 through 2008. I provide a description of trends in incarceration rates, inequality, wealth, democracy, urbanization, homicide rates, drug offense rates, and other societal measures over the past 15 years. Global trends are broken down comparatively by region. </w:t>
      </w:r>
    </w:p>
    <w:p w:rsidR="00F83555" w:rsidRDefault="00F83555" w:rsidP="00F83555">
      <w:pPr>
        <w:spacing w:line="480" w:lineRule="auto"/>
        <w:contextualSpacing/>
        <w:rPr>
          <w:rFonts w:eastAsia="Calibri"/>
        </w:rPr>
      </w:pPr>
    </w:p>
    <w:p w:rsidR="00F83555" w:rsidRDefault="00F83555" w:rsidP="00F83555">
      <w:pPr>
        <w:spacing w:line="480" w:lineRule="auto"/>
        <w:contextualSpacing/>
        <w:rPr>
          <w:rFonts w:eastAsia="Calibri"/>
        </w:rPr>
        <w:sectPr w:rsidR="00F83555" w:rsidSect="00F83555">
          <w:footerReference w:type="default" r:id="rId13"/>
          <w:pgSz w:w="12240" w:h="15840"/>
          <w:pgMar w:top="1440" w:right="1440" w:bottom="1440" w:left="2304" w:header="720" w:footer="720" w:gutter="0"/>
          <w:pgNumType w:fmt="lowerRoman" w:start="4"/>
          <w:cols w:space="720"/>
          <w:docGrid w:linePitch="360"/>
        </w:sectPr>
      </w:pPr>
    </w:p>
    <w:p w:rsidR="007F2FCC" w:rsidRDefault="008D6BD4" w:rsidP="00BB5750">
      <w:pPr>
        <w:spacing w:after="200" w:line="480" w:lineRule="auto"/>
        <w:contextualSpacing/>
        <w:rPr>
          <w:rFonts w:eastAsia="Calibri"/>
        </w:rPr>
      </w:pPr>
      <w:r>
        <w:rPr>
          <w:rFonts w:eastAsia="Calibri"/>
        </w:rPr>
        <w:lastRenderedPageBreak/>
        <w:t xml:space="preserve">CHAPTER 1. </w:t>
      </w:r>
      <w:r w:rsidR="007F2FCC">
        <w:rPr>
          <w:rFonts w:eastAsia="Calibri"/>
        </w:rPr>
        <w:t>INTRODUCTION</w:t>
      </w:r>
    </w:p>
    <w:p w:rsidR="00AB2F17" w:rsidRDefault="00AB2F17" w:rsidP="003B7C61">
      <w:pPr>
        <w:spacing w:after="200" w:line="480" w:lineRule="auto"/>
        <w:contextualSpacing/>
        <w:rPr>
          <w:noProof/>
        </w:rPr>
      </w:pPr>
      <w:r>
        <w:rPr>
          <w:noProof/>
        </w:rPr>
        <w:t>Although many scholars find a positive relationship between income inequality and incarceration rates, others</w:t>
      </w:r>
      <w:r w:rsidR="00CE1779">
        <w:rPr>
          <w:noProof/>
        </w:rPr>
        <w:t>,</w:t>
      </w:r>
      <w:r>
        <w:rPr>
          <w:noProof/>
        </w:rPr>
        <w:t xml:space="preserve"> often using </w:t>
      </w:r>
      <w:r w:rsidRPr="00CE1779">
        <w:rPr>
          <w:noProof/>
        </w:rPr>
        <w:t>inequality</w:t>
      </w:r>
      <w:r>
        <w:rPr>
          <w:noProof/>
        </w:rPr>
        <w:t xml:space="preserve"> as a control variable</w:t>
      </w:r>
      <w:r w:rsidR="00CE1779">
        <w:rPr>
          <w:noProof/>
        </w:rPr>
        <w:t>,</w:t>
      </w:r>
      <w:r>
        <w:rPr>
          <w:noProof/>
        </w:rPr>
        <w:t xml:space="preserve"> find a lack of significance in their respective findings.</w:t>
      </w:r>
      <w:r w:rsidR="00A63DE0">
        <w:rPr>
          <w:noProof/>
        </w:rPr>
        <w:t xml:space="preserve"> Is inequality an effective predictor of incarceration rates? </w:t>
      </w:r>
      <w:r>
        <w:rPr>
          <w:noProof/>
        </w:rPr>
        <w:t>Using panel data for inca</w:t>
      </w:r>
      <w:r w:rsidR="00CE1779">
        <w:rPr>
          <w:noProof/>
        </w:rPr>
        <w:t>rcer</w:t>
      </w:r>
      <w:r w:rsidR="00C1222C">
        <w:rPr>
          <w:noProof/>
        </w:rPr>
        <w:t>ation rates for 77 countries from 1994 through 2008</w:t>
      </w:r>
      <w:r>
        <w:rPr>
          <w:noProof/>
        </w:rPr>
        <w:t xml:space="preserve">, </w:t>
      </w:r>
      <w:r w:rsidRPr="008C30A2">
        <w:rPr>
          <w:noProof/>
        </w:rPr>
        <w:t>I</w:t>
      </w:r>
      <w:r>
        <w:rPr>
          <w:noProof/>
        </w:rPr>
        <w:t xml:space="preserve"> evaluate the relationship between income inequality and incarceration rates</w:t>
      </w:r>
      <w:r w:rsidR="00525FCF">
        <w:rPr>
          <w:noProof/>
        </w:rPr>
        <w:t xml:space="preserve"> within countries</w:t>
      </w:r>
      <w:r>
        <w:rPr>
          <w:noProof/>
        </w:rPr>
        <w:t xml:space="preserve">, while controlling for country wealth and other factors </w:t>
      </w:r>
      <w:r w:rsidRPr="00525FCF">
        <w:rPr>
          <w:noProof/>
        </w:rPr>
        <w:t>to</w:t>
      </w:r>
      <w:r>
        <w:rPr>
          <w:noProof/>
        </w:rPr>
        <w:t xml:space="preserve"> provide additional context for the influence of </w:t>
      </w:r>
      <w:r w:rsidRPr="00CE1779">
        <w:rPr>
          <w:noProof/>
        </w:rPr>
        <w:t>inequality</w:t>
      </w:r>
      <w:r>
        <w:rPr>
          <w:noProof/>
        </w:rPr>
        <w:t xml:space="preserve">. </w:t>
      </w:r>
      <w:r w:rsidRPr="00611A9D">
        <w:rPr>
          <w:noProof/>
        </w:rPr>
        <w:t>I</w:t>
      </w:r>
      <w:r>
        <w:rPr>
          <w:noProof/>
        </w:rPr>
        <w:t xml:space="preserve"> also provide a graphic description of trends for many of the variables used in this study. Additionally, </w:t>
      </w:r>
      <w:r w:rsidRPr="008C30A2">
        <w:rPr>
          <w:noProof/>
        </w:rPr>
        <w:t>I</w:t>
      </w:r>
      <w:r>
        <w:rPr>
          <w:noProof/>
        </w:rPr>
        <w:t xml:space="preserve"> </w:t>
      </w:r>
      <w:r w:rsidR="00C1222C">
        <w:rPr>
          <w:noProof/>
        </w:rPr>
        <w:t>examine the relationship of</w:t>
      </w:r>
      <w:r>
        <w:rPr>
          <w:noProof/>
        </w:rPr>
        <w:t xml:space="preserve"> world-systems position </w:t>
      </w:r>
      <w:r w:rsidR="00CE1779">
        <w:rPr>
          <w:noProof/>
        </w:rPr>
        <w:t xml:space="preserve">(WSP) </w:t>
      </w:r>
      <w:r>
        <w:rPr>
          <w:noProof/>
        </w:rPr>
        <w:t>and</w:t>
      </w:r>
      <w:r w:rsidR="00525FCF">
        <w:rPr>
          <w:noProof/>
        </w:rPr>
        <w:t xml:space="preserve"> </w:t>
      </w:r>
      <w:r w:rsidR="00525FCF" w:rsidRPr="00CE1779">
        <w:rPr>
          <w:noProof/>
        </w:rPr>
        <w:t>incarceration</w:t>
      </w:r>
      <w:r w:rsidR="00525FCF">
        <w:rPr>
          <w:noProof/>
        </w:rPr>
        <w:t>, inequality, wealth, and other</w:t>
      </w:r>
      <w:r>
        <w:rPr>
          <w:noProof/>
        </w:rPr>
        <w:t xml:space="preserve"> explanatory variables</w:t>
      </w:r>
      <w:r w:rsidR="00C1222C">
        <w:rPr>
          <w:noProof/>
        </w:rPr>
        <w:t xml:space="preserve"> between countries</w:t>
      </w:r>
      <w:r>
        <w:rPr>
          <w:noProof/>
        </w:rPr>
        <w:t xml:space="preserve">. </w:t>
      </w:r>
    </w:p>
    <w:p w:rsidR="00611A9D" w:rsidRDefault="00611A9D" w:rsidP="003B7C61">
      <w:pPr>
        <w:spacing w:after="200" w:line="480" w:lineRule="auto"/>
        <w:contextualSpacing/>
        <w:rPr>
          <w:noProof/>
        </w:rPr>
      </w:pPr>
      <w:r>
        <w:rPr>
          <w:noProof/>
        </w:rPr>
        <w:tab/>
        <w:t xml:space="preserve">Income inequality is a measure used in numerous studies to examine negative social outcomes based on the uneven distribution of wealth and </w:t>
      </w:r>
      <w:r w:rsidRPr="008C30A2">
        <w:rPr>
          <w:noProof/>
        </w:rPr>
        <w:t>income</w:t>
      </w:r>
      <w:r>
        <w:rPr>
          <w:noProof/>
        </w:rPr>
        <w:t xml:space="preserve"> within societies. Studies find increased inequality associated with lower rates of educational attainment for women (Buchman 1996), lack of maternal care (Shandra, Shandra, and London 2010), reduced food security (Jenkins and Scanlan 2001), and greater human rights violations (Abouharb and Cringranelli 2006), among others. It </w:t>
      </w:r>
      <w:r w:rsidRPr="008C30A2">
        <w:rPr>
          <w:noProof/>
        </w:rPr>
        <w:t>is often used</w:t>
      </w:r>
      <w:r>
        <w:rPr>
          <w:noProof/>
        </w:rPr>
        <w:t xml:space="preserve"> as a proxy for power and control within countries, or as noted in this alternative version of the Golden Rule, he who has the gold makes the rules. In this case, those with the greatest power define behaviors deemed deviant, define which deviant behaviors are </w:t>
      </w:r>
      <w:r w:rsidRPr="008C30A2">
        <w:rPr>
          <w:noProof/>
        </w:rPr>
        <w:t>deemed</w:t>
      </w:r>
      <w:r>
        <w:rPr>
          <w:noProof/>
        </w:rPr>
        <w:t xml:space="preserve"> criminal, and the define the appropriate punishments for those </w:t>
      </w:r>
      <w:r w:rsidRPr="008C30A2">
        <w:rPr>
          <w:noProof/>
        </w:rPr>
        <w:t>criminal acts</w:t>
      </w:r>
      <w:r>
        <w:rPr>
          <w:noProof/>
        </w:rPr>
        <w:t xml:space="preserve"> within those countries. </w:t>
      </w:r>
    </w:p>
    <w:p w:rsidR="00C1222C" w:rsidRDefault="00C1222C" w:rsidP="003B7C61">
      <w:pPr>
        <w:spacing w:after="200" w:line="480" w:lineRule="auto"/>
        <w:contextualSpacing/>
        <w:rPr>
          <w:noProof/>
        </w:rPr>
      </w:pPr>
      <w:r>
        <w:rPr>
          <w:noProof/>
        </w:rPr>
        <w:lastRenderedPageBreak/>
        <w:tab/>
        <w:t xml:space="preserve">Scholars note the impact of world-systems position on various social outcomes. </w:t>
      </w:r>
      <w:r w:rsidR="00A63DE0">
        <w:rPr>
          <w:noProof/>
        </w:rPr>
        <w:t xml:space="preserve">Is position in the world system related to incarceration rates, and if so, how? </w:t>
      </w:r>
      <w:r w:rsidRPr="008C30A2">
        <w:rPr>
          <w:noProof/>
        </w:rPr>
        <w:t>I</w:t>
      </w:r>
      <w:r>
        <w:rPr>
          <w:noProof/>
        </w:rPr>
        <w:t xml:space="preserve"> evaluate the impact of WSP on incarceration rates and note no significant relationship. However, when </w:t>
      </w:r>
      <w:r w:rsidRPr="008C30A2">
        <w:rPr>
          <w:noProof/>
        </w:rPr>
        <w:t>I</w:t>
      </w:r>
      <w:r>
        <w:rPr>
          <w:noProof/>
        </w:rPr>
        <w:t xml:space="preserve"> evaluate the effect of WSP on homicide rates and drug offense rates, </w:t>
      </w:r>
      <w:r w:rsidRPr="008C30A2">
        <w:rPr>
          <w:noProof/>
        </w:rPr>
        <w:t>I</w:t>
      </w:r>
      <w:r>
        <w:rPr>
          <w:noProof/>
        </w:rPr>
        <w:t xml:space="preserve"> find significant differences. Specifically, core countries have the lowest homicide rates and the highest drug offense rates than do semiperiphery and periphery countries. </w:t>
      </w:r>
    </w:p>
    <w:p w:rsidR="003B7C61" w:rsidRPr="003B7C61" w:rsidRDefault="003B7C61" w:rsidP="00AB2F17">
      <w:pPr>
        <w:spacing w:after="200" w:line="480" w:lineRule="auto"/>
        <w:ind w:firstLine="720"/>
        <w:contextualSpacing/>
      </w:pPr>
      <w:r w:rsidRPr="00BB04E8">
        <w:rPr>
          <w:noProof/>
        </w:rPr>
        <w:t xml:space="preserve">Durkheim (1966) notes that crime and deviance are present in all </w:t>
      </w:r>
      <w:r w:rsidR="00BB04E8">
        <w:rPr>
          <w:noProof/>
        </w:rPr>
        <w:t>societies at all time;</w:t>
      </w:r>
      <w:r w:rsidRPr="00BB04E8">
        <w:rPr>
          <w:noProof/>
        </w:rPr>
        <w:t xml:space="preserve"> they function to affi</w:t>
      </w:r>
      <w:r w:rsidR="00BB04E8">
        <w:rPr>
          <w:noProof/>
        </w:rPr>
        <w:t>rm cultural values and norms, they</w:t>
      </w:r>
      <w:r w:rsidRPr="00BB04E8">
        <w:rPr>
          <w:noProof/>
        </w:rPr>
        <w:t xml:space="preserve"> establish boundarie</w:t>
      </w:r>
      <w:r w:rsidR="00BB04E8">
        <w:rPr>
          <w:noProof/>
        </w:rPr>
        <w:t xml:space="preserve">s of acceptable </w:t>
      </w:r>
      <w:r w:rsidR="00BB04E8" w:rsidRPr="00346791">
        <w:rPr>
          <w:noProof/>
        </w:rPr>
        <w:t>behavior</w:t>
      </w:r>
      <w:r w:rsidR="00BB04E8">
        <w:rPr>
          <w:noProof/>
        </w:rPr>
        <w:t xml:space="preserve"> and</w:t>
      </w:r>
      <w:r w:rsidRPr="00BB04E8">
        <w:rPr>
          <w:noProof/>
        </w:rPr>
        <w:t xml:space="preserve"> promote social unity.</w:t>
      </w:r>
      <w:r w:rsidRPr="003B7C61">
        <w:t xml:space="preserve"> Deviant behavior is defined differently in different times, different cultures, and </w:t>
      </w:r>
      <w:r w:rsidRPr="00CE1779">
        <w:rPr>
          <w:noProof/>
        </w:rPr>
        <w:t>different</w:t>
      </w:r>
      <w:r w:rsidRPr="003B7C61">
        <w:t xml:space="preserve"> levels of society. </w:t>
      </w:r>
      <w:r w:rsidRPr="00CE1779">
        <w:rPr>
          <w:noProof/>
        </w:rPr>
        <w:t>Behaviors</w:t>
      </w:r>
      <w:r w:rsidRPr="003B7C61">
        <w:t xml:space="preserve"> deemed deviant w</w:t>
      </w:r>
      <w:r w:rsidR="00346791">
        <w:t>ithin families may not be considered</w:t>
      </w:r>
      <w:r w:rsidRPr="003B7C61">
        <w:t xml:space="preserve"> deviant within the larger community, and what </w:t>
      </w:r>
      <w:r w:rsidRPr="00F83555">
        <w:rPr>
          <w:noProof/>
        </w:rPr>
        <w:t xml:space="preserve">is </w:t>
      </w:r>
      <w:r w:rsidRPr="00CE1779">
        <w:rPr>
          <w:noProof/>
        </w:rPr>
        <w:t>deemed</w:t>
      </w:r>
      <w:r w:rsidRPr="003B7C61">
        <w:t xml:space="preserve"> deviant within a particular culture may not be </w:t>
      </w:r>
      <w:r w:rsidR="00346791">
        <w:rPr>
          <w:noProof/>
        </w:rPr>
        <w:t>consider</w:t>
      </w:r>
      <w:r w:rsidRPr="00346791">
        <w:rPr>
          <w:noProof/>
        </w:rPr>
        <w:t>ed</w:t>
      </w:r>
      <w:r w:rsidRPr="003B7C61">
        <w:t xml:space="preserve"> deviant in other cultures. Crime offends the collective sentiment. As stated by Durkheim (1966):</w:t>
      </w:r>
    </w:p>
    <w:p w:rsidR="003B7C61" w:rsidRPr="003B7C61" w:rsidRDefault="003B7C61" w:rsidP="003B7C61">
      <w:pPr>
        <w:spacing w:after="200" w:line="480" w:lineRule="auto"/>
        <w:ind w:left="720" w:right="720"/>
        <w:contextualSpacing/>
        <w:mirrorIndents/>
      </w:pPr>
      <w:r w:rsidRPr="00525FCF">
        <w:rPr>
          <w:noProof/>
        </w:rPr>
        <w:t xml:space="preserve">Imagine a society of saints, a perfect cloister of exemplary individuals. Crimes, properly so called, will there be unknown, but faults which appear venial to the layman will create there the same scandal that the ordinary offense does in ordinary consciousness. If, then, this society has the power to judge and punish, it will define these acts as criminal and will treat them as such. For the same reason, the perfect and upright man </w:t>
      </w:r>
      <w:r w:rsidRPr="00CE1779">
        <w:rPr>
          <w:noProof/>
        </w:rPr>
        <w:t>judges</w:t>
      </w:r>
      <w:r w:rsidRPr="00525FCF">
        <w:rPr>
          <w:noProof/>
        </w:rPr>
        <w:t xml:space="preserve"> his smaller failings with a severity that the majority reserve for acts more </w:t>
      </w:r>
      <w:r w:rsidRPr="00CE1779">
        <w:rPr>
          <w:noProof/>
        </w:rPr>
        <w:t>truly</w:t>
      </w:r>
      <w:r w:rsidRPr="00525FCF">
        <w:rPr>
          <w:noProof/>
        </w:rPr>
        <w:t xml:space="preserve"> in the nature of an offense. Formerly, acts of violence against persons were more frequent than they are today, because respect for individual dignity was less </w:t>
      </w:r>
      <w:r w:rsidRPr="00CE1779">
        <w:rPr>
          <w:noProof/>
        </w:rPr>
        <w:t>strong</w:t>
      </w:r>
      <w:r w:rsidRPr="00525FCF">
        <w:rPr>
          <w:noProof/>
        </w:rPr>
        <w:t xml:space="preserve">. As this has increased, these crimes </w:t>
      </w:r>
      <w:r w:rsidRPr="00525FCF">
        <w:rPr>
          <w:noProof/>
        </w:rPr>
        <w:lastRenderedPageBreak/>
        <w:t xml:space="preserve">have become </w:t>
      </w:r>
      <w:r w:rsidRPr="00CE1779">
        <w:rPr>
          <w:noProof/>
        </w:rPr>
        <w:t>more rare</w:t>
      </w:r>
      <w:r w:rsidRPr="00525FCF">
        <w:rPr>
          <w:noProof/>
        </w:rPr>
        <w:t>; and also, many acts violating this sentiment have been introduced into the penal law which were not included there in primitive times</w:t>
      </w:r>
      <w:r w:rsidRPr="008352A3">
        <w:rPr>
          <w:noProof/>
        </w:rPr>
        <w:t xml:space="preserve"> (</w:t>
      </w:r>
      <w:r w:rsidR="008D6BD4">
        <w:rPr>
          <w:noProof/>
        </w:rPr>
        <w:t>P</w:t>
      </w:r>
      <w:r w:rsidRPr="008352A3">
        <w:rPr>
          <w:noProof/>
        </w:rPr>
        <w:t>p. 68-69).</w:t>
      </w:r>
    </w:p>
    <w:p w:rsidR="003B7C61" w:rsidRPr="003B7C61" w:rsidRDefault="003B7C61" w:rsidP="003B7C61">
      <w:pPr>
        <w:spacing w:after="200" w:line="480" w:lineRule="auto"/>
        <w:contextualSpacing/>
      </w:pPr>
      <w:r w:rsidRPr="003B7C61">
        <w:t xml:space="preserve">As crime offends the collective sentiment, punishment confirms for societies the boundaries of acceptable behavior. </w:t>
      </w:r>
      <w:r w:rsidRPr="003B7C61">
        <w:tab/>
      </w:r>
    </w:p>
    <w:p w:rsidR="003B7C61" w:rsidRDefault="003B7C61" w:rsidP="003B7C61">
      <w:pPr>
        <w:spacing w:after="200" w:line="480" w:lineRule="auto"/>
        <w:contextualSpacing/>
      </w:pPr>
      <w:r w:rsidRPr="003B7C61">
        <w:tab/>
      </w:r>
      <w:r w:rsidR="00E13EC7">
        <w:t>Different cultures define deviant and c</w:t>
      </w:r>
      <w:r w:rsidR="00C3184B">
        <w:t>riminal behavior using various</w:t>
      </w:r>
      <w:r w:rsidR="00E13EC7">
        <w:t xml:space="preserve"> standards. They also have </w:t>
      </w:r>
      <w:r w:rsidR="00C3184B" w:rsidRPr="00611A9D">
        <w:rPr>
          <w:noProof/>
        </w:rPr>
        <w:t>diverse</w:t>
      </w:r>
      <w:r w:rsidR="00E13EC7">
        <w:t xml:space="preserve"> </w:t>
      </w:r>
      <w:r w:rsidR="00E13EC7" w:rsidRPr="00CE1779">
        <w:rPr>
          <w:noProof/>
        </w:rPr>
        <w:t>standards</w:t>
      </w:r>
      <w:r w:rsidR="00E13EC7">
        <w:t xml:space="preserve"> for determining the type and d</w:t>
      </w:r>
      <w:r w:rsidR="00346791">
        <w:t xml:space="preserve">egree of </w:t>
      </w:r>
      <w:r w:rsidR="00346791" w:rsidRPr="00D11D0D">
        <w:rPr>
          <w:noProof/>
        </w:rPr>
        <w:t xml:space="preserve">punishment </w:t>
      </w:r>
      <w:r w:rsidR="00E13EC7" w:rsidRPr="00D11D0D">
        <w:rPr>
          <w:noProof/>
        </w:rPr>
        <w:t>imposed</w:t>
      </w:r>
      <w:r w:rsidR="00E13EC7">
        <w:t xml:space="preserve"> for criminal </w:t>
      </w:r>
      <w:r w:rsidR="00E13EC7" w:rsidRPr="00CE1779">
        <w:rPr>
          <w:noProof/>
        </w:rPr>
        <w:t>behavior</w:t>
      </w:r>
      <w:r w:rsidR="00E13EC7">
        <w:t>.</w:t>
      </w:r>
      <w:r w:rsidRPr="003B7C61">
        <w:t xml:space="preserve"> Due to historical, cultural, and political differences, countries vary in their levels of incarceration. This study examines some of the societal </w:t>
      </w:r>
      <w:r w:rsidRPr="00611A9D">
        <w:rPr>
          <w:noProof/>
        </w:rPr>
        <w:t>differences</w:t>
      </w:r>
      <w:r w:rsidRPr="003B7C61">
        <w:t xml:space="preserve"> </w:t>
      </w:r>
      <w:r w:rsidR="0011582A">
        <w:t xml:space="preserve">over the past two decades and how they have changed over that time; how position in the world system impacts </w:t>
      </w:r>
      <w:r w:rsidR="00CE1779">
        <w:t xml:space="preserve">incarceration, </w:t>
      </w:r>
      <w:r w:rsidR="0011582A">
        <w:t>measures of wealth, democracy, and other variables; and how inequality impacts incarceration rates.</w:t>
      </w:r>
      <w:r w:rsidRPr="003B7C61">
        <w:t xml:space="preserve"> </w:t>
      </w:r>
    </w:p>
    <w:p w:rsidR="0011582A" w:rsidRDefault="00563480" w:rsidP="003B6046">
      <w:pPr>
        <w:spacing w:line="480" w:lineRule="auto"/>
        <w:ind w:firstLine="720"/>
        <w:contextualSpacing/>
      </w:pPr>
      <w:r>
        <w:t>T</w:t>
      </w:r>
      <w:r w:rsidR="0011582A">
        <w:t xml:space="preserve">raditional societies </w:t>
      </w:r>
      <w:r>
        <w:t xml:space="preserve">tend to </w:t>
      </w:r>
      <w:r w:rsidR="0011582A">
        <w:t xml:space="preserve">transition to modern societies through a series of steps or stages. Traditional </w:t>
      </w:r>
      <w:r w:rsidR="0011582A" w:rsidRPr="00CE1779">
        <w:rPr>
          <w:noProof/>
        </w:rPr>
        <w:t>societies</w:t>
      </w:r>
      <w:r w:rsidR="0011582A">
        <w:t xml:space="preserve"> have agricultural-based economies while modern societies’ economies are industrial-based. As societies modernize, they move from smaller, close-knit communities to larger, diverse communities with complex divisions of labor. Informal social controls, </w:t>
      </w:r>
      <w:r w:rsidR="0011582A" w:rsidRPr="00CE1779">
        <w:rPr>
          <w:noProof/>
        </w:rPr>
        <w:t>effective</w:t>
      </w:r>
      <w:r w:rsidR="0011582A">
        <w:t xml:space="preserve"> in traditional societies, are replaced by formal controls. Community sanctions move from personal to institutional. </w:t>
      </w:r>
    </w:p>
    <w:p w:rsidR="0011582A" w:rsidRDefault="00563480" w:rsidP="0011582A">
      <w:pPr>
        <w:spacing w:line="480" w:lineRule="auto"/>
        <w:ind w:firstLine="720"/>
        <w:contextualSpacing/>
      </w:pPr>
      <w:r>
        <w:t xml:space="preserve"> Some posit</w:t>
      </w:r>
      <w:r w:rsidR="0011582A">
        <w:t xml:space="preserve"> </w:t>
      </w:r>
      <w:r w:rsidR="0011582A" w:rsidRPr="00611A9D">
        <w:rPr>
          <w:noProof/>
        </w:rPr>
        <w:t>that countries</w:t>
      </w:r>
      <w:r w:rsidR="0011582A">
        <w:t xml:space="preserve"> travel through similar trajectories in the modernization process. According to Rostow (1990), there are five stages common to economic growth, beginning with the traditional society and ending with societies of mass-consumption. The five stages are assumed to be sequential and </w:t>
      </w:r>
      <w:r w:rsidR="0011582A" w:rsidRPr="00473924">
        <w:rPr>
          <w:noProof/>
        </w:rPr>
        <w:t>unidirectional</w:t>
      </w:r>
      <w:r w:rsidR="0011582A">
        <w:rPr>
          <w:noProof/>
        </w:rPr>
        <w:t>;</w:t>
      </w:r>
      <w:r w:rsidR="0011582A">
        <w:t xml:space="preserve"> all </w:t>
      </w:r>
      <w:r w:rsidR="0011582A">
        <w:lastRenderedPageBreak/>
        <w:t>countries move toward modernization, not in the reverse. Modernization is a lengthy process by which societies tend to resemble their Western models (So 1990).</w:t>
      </w:r>
    </w:p>
    <w:p w:rsidR="0011582A" w:rsidRDefault="0011582A" w:rsidP="0011582A">
      <w:pPr>
        <w:spacing w:line="480" w:lineRule="auto"/>
        <w:ind w:firstLine="720"/>
        <w:contextualSpacing/>
      </w:pPr>
      <w:r>
        <w:t xml:space="preserve">Another perspective on modernization is that </w:t>
      </w:r>
      <w:r w:rsidRPr="00CE1779">
        <w:rPr>
          <w:noProof/>
        </w:rPr>
        <w:t>societies</w:t>
      </w:r>
      <w:r>
        <w:t xml:space="preserve"> undergo </w:t>
      </w:r>
      <w:r w:rsidRPr="00525FCF">
        <w:rPr>
          <w:noProof/>
        </w:rPr>
        <w:t>change</w:t>
      </w:r>
      <w:r w:rsidR="00525FCF" w:rsidRPr="00525FCF">
        <w:rPr>
          <w:noProof/>
        </w:rPr>
        <w:t>,</w:t>
      </w:r>
      <w:r>
        <w:t xml:space="preserve"> and that change results in differences in levels of cohesion. Smaller, close-knit societies are held together by a collective </w:t>
      </w:r>
      <w:r w:rsidRPr="00473924">
        <w:rPr>
          <w:noProof/>
        </w:rPr>
        <w:t>conscience</w:t>
      </w:r>
      <w:r>
        <w:t xml:space="preserve"> or mechanical solidarity. As societies modernize, they differentiate and become more </w:t>
      </w:r>
      <w:r w:rsidRPr="00CE1779">
        <w:rPr>
          <w:noProof/>
        </w:rPr>
        <w:t>complex</w:t>
      </w:r>
      <w:r>
        <w:t xml:space="preserve"> through specialization and the division of labor (Durkheim [1933]1960). With increased specialization, the bonds of social cohesion weaken, and societies develop an interdependence of societal members held together by organic solidarity. Unlike Rostow’s proposition that change occurs incrementally over </w:t>
      </w:r>
      <w:r w:rsidR="00E92FD2">
        <w:t>an</w:t>
      </w:r>
      <w:r>
        <w:t xml:space="preserve"> </w:t>
      </w:r>
      <w:r w:rsidR="00A618EE">
        <w:rPr>
          <w:noProof/>
        </w:rPr>
        <w:t>extended</w:t>
      </w:r>
      <w:r>
        <w:t xml:space="preserve"> period, Durkheim acknowledges that change may be more abrupt. Durkheim (1979) posits that when societies undergo rapid change, there is a loss of shared </w:t>
      </w:r>
      <w:r w:rsidRPr="00611A9D">
        <w:rPr>
          <w:noProof/>
        </w:rPr>
        <w:t>norms,</w:t>
      </w:r>
      <w:r>
        <w:t xml:space="preserve"> or anomie. As social control diminishes, crime tends to increase. </w:t>
      </w:r>
    </w:p>
    <w:p w:rsidR="0011582A" w:rsidRDefault="0011582A" w:rsidP="003B6046">
      <w:pPr>
        <w:spacing w:line="480" w:lineRule="auto"/>
        <w:ind w:firstLine="720"/>
        <w:contextualSpacing/>
      </w:pPr>
      <w:r>
        <w:t xml:space="preserve">As societies modernize and move from mechanical to organic </w:t>
      </w:r>
      <w:r w:rsidRPr="00473924">
        <w:rPr>
          <w:noProof/>
        </w:rPr>
        <w:t>solidarity</w:t>
      </w:r>
      <w:r>
        <w:t xml:space="preserve">, punishment moves from repressive to restitutive (Durkheim [1933]1960:398). According to Durkheim, as societies </w:t>
      </w:r>
      <w:r w:rsidRPr="00611A9D">
        <w:rPr>
          <w:noProof/>
        </w:rPr>
        <w:t>progress</w:t>
      </w:r>
      <w:r>
        <w:t xml:space="preserve"> there are both qualitative and quantitative changes </w:t>
      </w:r>
      <w:r>
        <w:rPr>
          <w:noProof/>
        </w:rPr>
        <w:t>in</w:t>
      </w:r>
      <w:r>
        <w:t xml:space="preserve"> punishment. Noting the law of quantitative change, Durkheim ([1900]1973) states “[t]he </w:t>
      </w:r>
      <w:r w:rsidRPr="00611A9D">
        <w:rPr>
          <w:noProof/>
        </w:rPr>
        <w:t>intensity of punishment is the greater the more closely societies approximate to a less developed type .</w:t>
      </w:r>
      <w:r>
        <w:t xml:space="preserve"> . .” (p. 285). </w:t>
      </w:r>
      <w:r w:rsidRPr="00611A9D">
        <w:rPr>
          <w:noProof/>
        </w:rPr>
        <w:t>In addition</w:t>
      </w:r>
      <w:r>
        <w:t>, less severe forms of punishment, like incarceration, would become the “</w:t>
      </w:r>
      <w:r w:rsidRPr="00525FCF">
        <w:rPr>
          <w:noProof/>
        </w:rPr>
        <w:t>normal</w:t>
      </w:r>
      <w:r>
        <w:t xml:space="preserve"> means of social control” (Durkheim [1900]1973:294). He also noted the effect of government as an intervening agent in social change, maintaining levels of punishment when we would otherwise expect to see them decline (Durkheim [1900]1973:289). </w:t>
      </w:r>
      <w:r w:rsidR="003B6046">
        <w:rPr>
          <w:noProof/>
        </w:rPr>
        <w:t xml:space="preserve">Punishment </w:t>
      </w:r>
      <w:r w:rsidRPr="00473924">
        <w:rPr>
          <w:noProof/>
        </w:rPr>
        <w:t>transition</w:t>
      </w:r>
      <w:r w:rsidR="003B6046">
        <w:rPr>
          <w:noProof/>
        </w:rPr>
        <w:t>s</w:t>
      </w:r>
      <w:r w:rsidRPr="00473924">
        <w:rPr>
          <w:noProof/>
        </w:rPr>
        <w:t xml:space="preserve"> from </w:t>
      </w:r>
      <w:r w:rsidRPr="00611A9D">
        <w:rPr>
          <w:noProof/>
        </w:rPr>
        <w:t>informal</w:t>
      </w:r>
      <w:r w:rsidRPr="00473924">
        <w:rPr>
          <w:noProof/>
        </w:rPr>
        <w:t xml:space="preserve"> community-based control to </w:t>
      </w:r>
      <w:r w:rsidRPr="00611A9D">
        <w:rPr>
          <w:noProof/>
        </w:rPr>
        <w:t>formal</w:t>
      </w:r>
      <w:r w:rsidRPr="00473924">
        <w:rPr>
          <w:noProof/>
        </w:rPr>
        <w:t xml:space="preserve"> societ</w:t>
      </w:r>
      <w:r>
        <w:rPr>
          <w:noProof/>
        </w:rPr>
        <w:t xml:space="preserve">y-based control (Tönnies </w:t>
      </w:r>
      <w:r>
        <w:rPr>
          <w:noProof/>
        </w:rPr>
        <w:lastRenderedPageBreak/>
        <w:t>[1957]</w:t>
      </w:r>
      <w:r w:rsidRPr="00473924">
        <w:rPr>
          <w:noProof/>
        </w:rPr>
        <w:t>1963).</w:t>
      </w:r>
      <w:r>
        <w:rPr>
          <w:noProof/>
        </w:rPr>
        <w:t xml:space="preserve"> </w:t>
      </w:r>
      <w:r w:rsidRPr="00611A9D">
        <w:rPr>
          <w:noProof/>
        </w:rPr>
        <w:t>A commensurate</w:t>
      </w:r>
      <w:r w:rsidRPr="00473924">
        <w:rPr>
          <w:noProof/>
        </w:rPr>
        <w:t xml:space="preserve"> </w:t>
      </w:r>
      <w:r>
        <w:rPr>
          <w:noProof/>
        </w:rPr>
        <w:t>change is a</w:t>
      </w:r>
      <w:r w:rsidRPr="00473924">
        <w:rPr>
          <w:noProof/>
        </w:rPr>
        <w:t xml:space="preserve"> transition</w:t>
      </w:r>
      <w:r>
        <w:rPr>
          <w:noProof/>
        </w:rPr>
        <w:t xml:space="preserve"> </w:t>
      </w:r>
      <w:r w:rsidRPr="00473924">
        <w:rPr>
          <w:noProof/>
        </w:rPr>
        <w:t xml:space="preserve">from the </w:t>
      </w:r>
      <w:r w:rsidRPr="00611A9D">
        <w:rPr>
          <w:noProof/>
        </w:rPr>
        <w:t>punishment</w:t>
      </w:r>
      <w:r w:rsidRPr="00473924">
        <w:rPr>
          <w:noProof/>
        </w:rPr>
        <w:t xml:space="preserve"> of the body to the punishment of the mind (Foucault [1977]1995).</w:t>
      </w:r>
    </w:p>
    <w:p w:rsidR="0011582A" w:rsidRDefault="0011582A" w:rsidP="0011582A">
      <w:pPr>
        <w:spacing w:line="480" w:lineRule="auto"/>
        <w:contextualSpacing/>
      </w:pPr>
      <w:r>
        <w:tab/>
        <w:t xml:space="preserve">Testing Durkheim’s qualitative and quantitative laws, Killias (1986) compresses the two hypotheses into one: that modernization will result in less punishment. </w:t>
      </w:r>
      <w:r w:rsidRPr="00473924">
        <w:rPr>
          <w:noProof/>
        </w:rPr>
        <w:t>On the other hand, Spitzer (1975</w:t>
      </w:r>
      <w:r w:rsidR="00563480">
        <w:rPr>
          <w:noProof/>
        </w:rPr>
        <w:t>a</w:t>
      </w:r>
      <w:r w:rsidRPr="00473924">
        <w:rPr>
          <w:noProof/>
        </w:rPr>
        <w:t xml:space="preserve">) takes exception to the perspective that modernization results in less severe punishment. He notes that “greater punitiveness </w:t>
      </w:r>
      <w:r w:rsidRPr="00611A9D">
        <w:rPr>
          <w:noProof/>
        </w:rPr>
        <w:t>is associated</w:t>
      </w:r>
      <w:r w:rsidRPr="00473924">
        <w:rPr>
          <w:noProof/>
        </w:rPr>
        <w:t xml:space="preserve"> with higher levels of structural differentiation” (Spitzer 1975</w:t>
      </w:r>
      <w:r w:rsidR="00563480">
        <w:rPr>
          <w:noProof/>
        </w:rPr>
        <w:t>a</w:t>
      </w:r>
      <w:r w:rsidRPr="00473924">
        <w:rPr>
          <w:noProof/>
        </w:rPr>
        <w:t>:631).</w:t>
      </w:r>
      <w:r>
        <w:t xml:space="preserve"> </w:t>
      </w:r>
    </w:p>
    <w:p w:rsidR="0011582A" w:rsidRDefault="0011582A" w:rsidP="0011582A">
      <w:pPr>
        <w:spacing w:line="480" w:lineRule="auto"/>
        <w:contextualSpacing/>
      </w:pPr>
      <w:r>
        <w:tab/>
        <w:t xml:space="preserve">Examining contemporary ideas regarding modernization and its influence on crime, Shahidullah (2014) notes both internal and external influences on societies as they transform. Within countries, “modernizing elites” (Shahidullah 2014:58) provide leadership during the transitional process. Externally, modernizing countries often employ institutional isomorphism as they seek to emulate more modern countries, which increases legitimacy, resources, stability, and survival prospects (Meyer and Rowan 1977:340). Modernization should result in criminal justice organizations that possess “higher level(s) of legitimacy, adaptability, competence, and performance” (Shahidullah 2014:59). </w:t>
      </w:r>
      <w:r w:rsidRPr="00D11D0D">
        <w:rPr>
          <w:noProof/>
        </w:rPr>
        <w:t>Additionally</w:t>
      </w:r>
      <w:r w:rsidR="00D11D0D">
        <w:rPr>
          <w:noProof/>
        </w:rPr>
        <w:t>,</w:t>
      </w:r>
      <w:r>
        <w:t xml:space="preserve"> modernization may lead to more democratic forms of government with increasingly transparent criminal justice institutions and reductions in crime (Prillaman 2003). </w:t>
      </w:r>
    </w:p>
    <w:p w:rsidR="0011582A" w:rsidRDefault="0011582A" w:rsidP="0011582A">
      <w:pPr>
        <w:spacing w:line="480" w:lineRule="auto"/>
        <w:contextualSpacing/>
      </w:pPr>
      <w:r>
        <w:tab/>
        <w:t>The impact of democratization is not necessarily clear-cut, as noted by Jordan and</w:t>
      </w:r>
      <w:r>
        <w:rPr>
          <w:noProof/>
        </w:rPr>
        <w:t xml:space="preserve"> Arnold (1995). One type of democracy is</w:t>
      </w:r>
      <w:r>
        <w:t xml:space="preserve"> </w:t>
      </w:r>
      <w:r w:rsidRPr="00CE42E6">
        <w:rPr>
          <w:noProof/>
        </w:rPr>
        <w:t>participatory</w:t>
      </w:r>
      <w:r>
        <w:t xml:space="preserve"> </w:t>
      </w:r>
      <w:r w:rsidRPr="00CE42E6">
        <w:rPr>
          <w:noProof/>
        </w:rPr>
        <w:t>pluralist</w:t>
      </w:r>
      <w:r>
        <w:rPr>
          <w:noProof/>
        </w:rPr>
        <w:t>ic</w:t>
      </w:r>
      <w:r>
        <w:t xml:space="preserve">, which protects the rights of minorities with a “capsule of civil and political rights” (Jordan and Arnold 1995:171). </w:t>
      </w:r>
      <w:r>
        <w:rPr>
          <w:noProof/>
        </w:rPr>
        <w:t>Alternatively, democracies</w:t>
      </w:r>
      <w:r>
        <w:t xml:space="preserve"> may be characterized as populist, or those that fail to provide the protective c</w:t>
      </w:r>
      <w:r w:rsidR="00CE1779">
        <w:t>apsule noted above and mobilize</w:t>
      </w:r>
      <w:r>
        <w:t xml:space="preserve"> “a coalition of interests </w:t>
      </w:r>
      <w:r>
        <w:lastRenderedPageBreak/>
        <w:t xml:space="preserve">against minorities” (Jordan and Arnold 1995:171). The greater impact populist policies have on criminal justice </w:t>
      </w:r>
      <w:r w:rsidRPr="00525FCF">
        <w:rPr>
          <w:noProof/>
        </w:rPr>
        <w:t>policies</w:t>
      </w:r>
      <w:r>
        <w:t xml:space="preserve">, the greater the degree of enforcement and punishment. Expanding on this idea, </w:t>
      </w:r>
      <w:r w:rsidRPr="00611A9D">
        <w:rPr>
          <w:noProof/>
        </w:rPr>
        <w:t>Jacobs</w:t>
      </w:r>
      <w:r>
        <w:t xml:space="preserve"> and Kleban (2003) note that when electorates have more direct influence on laws impacting the level of punitiveness, more severe penalties are imposed. </w:t>
      </w:r>
    </w:p>
    <w:p w:rsidR="0011582A" w:rsidRDefault="0011582A" w:rsidP="0011582A">
      <w:pPr>
        <w:spacing w:line="480" w:lineRule="auto"/>
        <w:contextualSpacing/>
      </w:pPr>
      <w:r>
        <w:tab/>
        <w:t xml:space="preserve">Modernization is a function of socioeconomic development and is characterized by increased urbanization and industrialization, with modernizing countries </w:t>
      </w:r>
      <w:r w:rsidR="001B0FF1">
        <w:t>e</w:t>
      </w:r>
      <w:r>
        <w:t xml:space="preserve">xperiencing similar trajectories (Shelley 1981). Increased complexity in the division of labor results in weakening of societal bonds and control and </w:t>
      </w:r>
      <w:r>
        <w:rPr>
          <w:noProof/>
        </w:rPr>
        <w:t>higher</w:t>
      </w:r>
      <w:r>
        <w:t xml:space="preserve"> crime rates. Larger urban populations bring together greater numbers of strangers in places lacking social control (Felson and Boba 2010). Modernization tends to increase violent behavior, as </w:t>
      </w:r>
      <w:r w:rsidRPr="00611A9D">
        <w:rPr>
          <w:noProof/>
        </w:rPr>
        <w:t>rural</w:t>
      </w:r>
      <w:r>
        <w:t xml:space="preserve"> youth having the “tradition of settling disputes violently” (Neapolitan 1997:69) are brought together in urban areas. </w:t>
      </w:r>
    </w:p>
    <w:p w:rsidR="0011582A" w:rsidRDefault="0011582A" w:rsidP="0011582A">
      <w:pPr>
        <w:spacing w:line="480" w:lineRule="auto"/>
        <w:ind w:firstLine="720"/>
        <w:contextualSpacing/>
      </w:pPr>
      <w:r>
        <w:rPr>
          <w:noProof/>
        </w:rPr>
        <w:t xml:space="preserve">While not addressing directly levels of punitiveness, Shelley (1986) provides insight into the relationship between modernization and crime, and ultimately, punishment. </w:t>
      </w:r>
      <w:r w:rsidRPr="00E13EC7">
        <w:rPr>
          <w:noProof/>
        </w:rPr>
        <w:t xml:space="preserve">Countries experiencing modernization have similar trajectories with increasing crime rates, noting that “[o]nly political, religious, and economic controls exercised by the society over its members appear sufficiently </w:t>
      </w:r>
      <w:r w:rsidRPr="00525FCF">
        <w:rPr>
          <w:noProof/>
        </w:rPr>
        <w:t>strong</w:t>
      </w:r>
      <w:r w:rsidRPr="00E13EC7">
        <w:rPr>
          <w:noProof/>
        </w:rPr>
        <w:t xml:space="preserve"> to avert the consequences of modernization” (Shelley 1981:142).</w:t>
      </w:r>
      <w:r>
        <w:rPr>
          <w:noProof/>
        </w:rPr>
        <w:t xml:space="preserve"> However, upon reexamination of the relationship between modernization and crime, Shelley (1986) a</w:t>
      </w:r>
      <w:r w:rsidRPr="00473924">
        <w:rPr>
          <w:noProof/>
        </w:rPr>
        <w:t>c</w:t>
      </w:r>
      <w:r>
        <w:rPr>
          <w:noProof/>
        </w:rPr>
        <w:t>knowledges</w:t>
      </w:r>
      <w:r w:rsidRPr="00473924">
        <w:rPr>
          <w:noProof/>
        </w:rPr>
        <w:t xml:space="preserve"> differences </w:t>
      </w:r>
      <w:r>
        <w:rPr>
          <w:noProof/>
        </w:rPr>
        <w:t xml:space="preserve">in trajectories. Shelley </w:t>
      </w:r>
      <w:r w:rsidRPr="00473924">
        <w:rPr>
          <w:noProof/>
        </w:rPr>
        <w:t>notes that the relationship between modernization and crime is “</w:t>
      </w:r>
      <w:r w:rsidRPr="00525FCF">
        <w:rPr>
          <w:noProof/>
        </w:rPr>
        <w:t>complex</w:t>
      </w:r>
      <w:r w:rsidRPr="00473924">
        <w:rPr>
          <w:noProof/>
        </w:rPr>
        <w:t xml:space="preserve">,” and is impacted by “historical, cultural </w:t>
      </w:r>
      <w:r>
        <w:rPr>
          <w:noProof/>
        </w:rPr>
        <w:t xml:space="preserve">and political traditions” (p. </w:t>
      </w:r>
      <w:r w:rsidRPr="00473924">
        <w:rPr>
          <w:noProof/>
        </w:rPr>
        <w:t>7) within countries.</w:t>
      </w:r>
      <w:r w:rsidRPr="00F81395">
        <w:t xml:space="preserve"> </w:t>
      </w:r>
      <w:r>
        <w:t xml:space="preserve">Regarding the assumption of </w:t>
      </w:r>
      <w:r w:rsidRPr="00525FCF">
        <w:rPr>
          <w:noProof/>
        </w:rPr>
        <w:t>common</w:t>
      </w:r>
      <w:r>
        <w:t xml:space="preserve"> trajectories for </w:t>
      </w:r>
      <w:r>
        <w:lastRenderedPageBreak/>
        <w:t>modernizing countrie</w:t>
      </w:r>
      <w:r w:rsidR="00CE1779">
        <w:t xml:space="preserve">s, Neapolitan (1997) notes </w:t>
      </w:r>
      <w:r>
        <w:t xml:space="preserve">rates of change and level of development influence crime rates (p. 69). </w:t>
      </w:r>
      <w:r w:rsidRPr="00F525B9">
        <w:t>Noting that punishment is society’s response to criminal behavior, Shelley (1986) calls it a “collective act that reflects the historical, cultural and religious</w:t>
      </w:r>
      <w:r>
        <w:t xml:space="preserve"> traditions of </w:t>
      </w:r>
      <w:r w:rsidRPr="00611A9D">
        <w:rPr>
          <w:noProof/>
        </w:rPr>
        <w:t>a society”</w:t>
      </w:r>
      <w:r>
        <w:t xml:space="preserve"> (p. </w:t>
      </w:r>
      <w:r w:rsidRPr="00F525B9">
        <w:t>17).</w:t>
      </w:r>
    </w:p>
    <w:p w:rsidR="0011582A" w:rsidRPr="000B44F9" w:rsidRDefault="0011582A" w:rsidP="0011582A">
      <w:pPr>
        <w:spacing w:after="200" w:line="480" w:lineRule="auto"/>
        <w:contextualSpacing/>
        <w:rPr>
          <w:rFonts w:eastAsia="Calibri"/>
        </w:rPr>
      </w:pPr>
      <w:r>
        <w:rPr>
          <w:rFonts w:eastAsia="Calibri"/>
          <w:i/>
        </w:rPr>
        <w:t>World-systems</w:t>
      </w:r>
    </w:p>
    <w:p w:rsidR="0011582A" w:rsidRDefault="0011582A" w:rsidP="0011582A">
      <w:pPr>
        <w:spacing w:line="480" w:lineRule="auto"/>
        <w:contextualSpacing/>
      </w:pPr>
      <w:r>
        <w:t xml:space="preserve">Wallerstein (1974; 1976) characterizes the world-system as </w:t>
      </w:r>
      <w:r w:rsidRPr="00A618EE">
        <w:rPr>
          <w:noProof/>
        </w:rPr>
        <w:t>a cyclical</w:t>
      </w:r>
      <w:r>
        <w:t xml:space="preserve">, three-tiered capitalistic economic structure, based on a system of unequal exchange. The system consists of “all of the economic, political, social, and cultural relations </w:t>
      </w:r>
      <w:r w:rsidRPr="00A618EE">
        <w:rPr>
          <w:noProof/>
        </w:rPr>
        <w:t>among</w:t>
      </w:r>
      <w:r>
        <w:t xml:space="preserve"> the people of the earth” (Chase-Dunn and Grimes 1995:389). An international division of labor exists both between and within these tiers. The dominant position in this tier system </w:t>
      </w:r>
      <w:r w:rsidR="003B6046">
        <w:rPr>
          <w:noProof/>
        </w:rPr>
        <w:t xml:space="preserve">is the </w:t>
      </w:r>
      <w:r>
        <w:t>core</w:t>
      </w:r>
      <w:r w:rsidR="003B6046">
        <w:t>,</w:t>
      </w:r>
      <w:r>
        <w:t xml:space="preserve"> </w:t>
      </w:r>
      <w:r w:rsidR="003B6046">
        <w:t xml:space="preserve">consisting of </w:t>
      </w:r>
      <w:r>
        <w:t>countries exhibit</w:t>
      </w:r>
      <w:r w:rsidR="003B6046">
        <w:t>ing</w:t>
      </w:r>
      <w:r>
        <w:t xml:space="preserve"> capital-intensive industrial activities, using skilled and highly-paid labor (Chase-Dunn 1998:346). </w:t>
      </w:r>
      <w:r w:rsidRPr="00525FCF">
        <w:rPr>
          <w:noProof/>
        </w:rPr>
        <w:t>At the other end of the spectrum are</w:t>
      </w:r>
      <w:r w:rsidRPr="000F722C">
        <w:rPr>
          <w:noProof/>
        </w:rPr>
        <w:t xml:space="preserve"> peripheral </w:t>
      </w:r>
      <w:r>
        <w:rPr>
          <w:noProof/>
        </w:rPr>
        <w:t>countries, characterized by</w:t>
      </w:r>
      <w:r w:rsidRPr="000F722C">
        <w:rPr>
          <w:noProof/>
        </w:rPr>
        <w:t xml:space="preserve"> poorly-paid, labor-intensive activities, often in agricultural areas (Chase-Dunn 1998:347).</w:t>
      </w:r>
      <w:r>
        <w:t xml:space="preserve"> Semiperiphery countries, countries between the core and periphery, exhibit both core and periphery characteristics (Chase-Dunn 1998:347). </w:t>
      </w:r>
    </w:p>
    <w:p w:rsidR="0011582A" w:rsidRDefault="0011582A" w:rsidP="0011582A">
      <w:pPr>
        <w:spacing w:line="480" w:lineRule="auto"/>
        <w:contextualSpacing/>
      </w:pPr>
      <w:r>
        <w:tab/>
        <w:t xml:space="preserve">Core states enjoy greater economic, political, and military strength. They have greater diversity in trade options with each other, and with </w:t>
      </w:r>
      <w:r w:rsidRPr="000F722C">
        <w:rPr>
          <w:noProof/>
        </w:rPr>
        <w:t>semiperiphery</w:t>
      </w:r>
      <w:r>
        <w:t xml:space="preserve"> and periphery countries. In that regard, core countries use raw materials from countries </w:t>
      </w:r>
      <w:r w:rsidRPr="00346791">
        <w:rPr>
          <w:noProof/>
        </w:rPr>
        <w:t>in</w:t>
      </w:r>
      <w:r>
        <w:t xml:space="preserve"> the periphery, and more labor-intensive goods and services from the semiperiphery. Those in the semiperiphery are </w:t>
      </w:r>
      <w:r w:rsidRPr="00346791">
        <w:rPr>
          <w:noProof/>
        </w:rPr>
        <w:t>exploited</w:t>
      </w:r>
      <w:r>
        <w:t xml:space="preserve"> by the core and are exploiters of the periphery. The semiperiphery position acts as a buffer between the core and the periphery. Periphery countries tend to have limited resources to export and find their trade options </w:t>
      </w:r>
      <w:r>
        <w:rPr>
          <w:noProof/>
        </w:rPr>
        <w:t>restric</w:t>
      </w:r>
      <w:r w:rsidRPr="000F722C">
        <w:rPr>
          <w:noProof/>
        </w:rPr>
        <w:t>ted</w:t>
      </w:r>
      <w:r>
        <w:t xml:space="preserve"> </w:t>
      </w:r>
      <w:r>
        <w:lastRenderedPageBreak/>
        <w:t>to the needs of the core and semiperiphery (Wallerstein 1974; Wallerstein 1976). Additionally, periphery countries must rely on core countries for capital investment and manufactured goods (Clark and Beckfield 2009:6).</w:t>
      </w:r>
    </w:p>
    <w:p w:rsidR="0011582A" w:rsidRDefault="0011582A" w:rsidP="0011582A">
      <w:pPr>
        <w:spacing w:line="480" w:lineRule="auto"/>
        <w:contextualSpacing/>
      </w:pPr>
      <w:r>
        <w:tab/>
        <w:t xml:space="preserve">Over the past several decades, research has validated the existence of a relatively stable, three-tiered world-system. </w:t>
      </w:r>
      <w:r w:rsidRPr="00346791">
        <w:rPr>
          <w:noProof/>
        </w:rPr>
        <w:t xml:space="preserve">Snyder and Kick (1979) examine network relations; Babones (2005) examines country-level income structures; and Clark and Beckfield (2009), and Clark (2012) </w:t>
      </w:r>
      <w:r w:rsidRPr="00525FCF">
        <w:rPr>
          <w:noProof/>
        </w:rPr>
        <w:t>examine</w:t>
      </w:r>
      <w:r w:rsidRPr="00346791">
        <w:rPr>
          <w:noProof/>
        </w:rPr>
        <w:t xml:space="preserve"> </w:t>
      </w:r>
      <w:r w:rsidR="00611A9D">
        <w:rPr>
          <w:noProof/>
        </w:rPr>
        <w:t>glob</w:t>
      </w:r>
      <w:r w:rsidRPr="00611A9D">
        <w:rPr>
          <w:noProof/>
        </w:rPr>
        <w:t>al</w:t>
      </w:r>
      <w:r w:rsidRPr="00346791">
        <w:rPr>
          <w:noProof/>
        </w:rPr>
        <w:t xml:space="preserve"> trade network densities, in confirming the existence of three tiers.</w:t>
      </w:r>
      <w:r>
        <w:t xml:space="preserve">  Snyder and Kick’s study examines network connections between nations regarding </w:t>
      </w:r>
      <w:r w:rsidRPr="00525FCF">
        <w:rPr>
          <w:noProof/>
        </w:rPr>
        <w:t>trade</w:t>
      </w:r>
      <w:r>
        <w:t xml:space="preserve">, military interventions, diplomatic connections, and conjoint partnerships in treaties. Their analysis provided strong support for a three-tiered structure for 118 countries in 1965 (Snyder and Kick 1979:1123). </w:t>
      </w:r>
      <w:r w:rsidRPr="00E13EC7">
        <w:rPr>
          <w:noProof/>
        </w:rPr>
        <w:t>Babones</w:t>
      </w:r>
      <w:r>
        <w:t xml:space="preserve"> (2005) provides graphic evidence of three areas of concentration for national income levels at 5-year intervals from 1975-2000 for 103 countries (pp. 46-48). Clark and Beckfield’s (2009) analysis </w:t>
      </w:r>
      <w:r w:rsidRPr="00831AF6">
        <w:rPr>
          <w:noProof/>
        </w:rPr>
        <w:t>confirms</w:t>
      </w:r>
      <w:r>
        <w:t xml:space="preserve"> and updates Snyder and Kick’s </w:t>
      </w:r>
      <w:r w:rsidRPr="00611A9D">
        <w:rPr>
          <w:noProof/>
        </w:rPr>
        <w:t>orthodox</w:t>
      </w:r>
      <w:r>
        <w:t xml:space="preserve"> measure</w:t>
      </w:r>
      <w:r w:rsidR="003B6046">
        <w:t xml:space="preserve">. Clark’s (2012) </w:t>
      </w:r>
      <w:r w:rsidR="003B6046" w:rsidRPr="00525FCF">
        <w:rPr>
          <w:noProof/>
        </w:rPr>
        <w:t>measure</w:t>
      </w:r>
      <w:r w:rsidR="003B6046">
        <w:t xml:space="preserve"> presents WSP for countries as recently as the 1990s</w:t>
      </w:r>
      <w:r>
        <w:t xml:space="preserve">. Others have noted some variation on the above. In their study, York and Ergas use a ten-block, or ten-tiered, system from research conducted by Kick and others (2011, cited in York and Ergas 2011). </w:t>
      </w:r>
    </w:p>
    <w:p w:rsidR="0011582A" w:rsidRDefault="0011582A" w:rsidP="0011582A">
      <w:pPr>
        <w:spacing w:line="480" w:lineRule="auto"/>
        <w:ind w:firstLine="720"/>
        <w:contextualSpacing/>
      </w:pPr>
      <w:r>
        <w:t xml:space="preserve">Chase-Dunn (1998) posits that between the poles of the core and periphery, the semiperiphery exists in a continuum of development, rather than an easily identifiable third category (p. 13). Chase-Dunn notes “periods of concentration and dispersion of power and wealth, to experience uneven development” (p. 202), as the core exploits the periphery. Given the differences in position in the international division of labor, it may </w:t>
      </w:r>
      <w:r>
        <w:lastRenderedPageBreak/>
        <w:t xml:space="preserve">well be that there are differences in social dynamics demonstrated at the various levels (Burns et al. 1994). </w:t>
      </w:r>
    </w:p>
    <w:p w:rsidR="0011582A" w:rsidRDefault="0011582A" w:rsidP="0011582A">
      <w:pPr>
        <w:spacing w:line="480" w:lineRule="auto"/>
        <w:ind w:firstLine="720"/>
        <w:contextualSpacing/>
      </w:pPr>
      <w:r w:rsidRPr="00611A9D">
        <w:rPr>
          <w:noProof/>
        </w:rPr>
        <w:t>Viewed from this macro level</w:t>
      </w:r>
      <w:r>
        <w:t xml:space="preserve">, there </w:t>
      </w:r>
      <w:r w:rsidRPr="00611A9D">
        <w:rPr>
          <w:noProof/>
        </w:rPr>
        <w:t>is</w:t>
      </w:r>
      <w:r>
        <w:t xml:space="preserve"> an interrelationship and interdependence w</w:t>
      </w:r>
      <w:r w:rsidR="00CE1779">
        <w:t>ithin all three tiers of WSP</w:t>
      </w:r>
      <w:r>
        <w:t xml:space="preserve">. Inequality is exacerbated in Third World countries, generally those countries in the periphery, by foreign capital penetration from transnational corporations, as noted by Crenshaw (1992). </w:t>
      </w:r>
      <w:r w:rsidRPr="00346791">
        <w:rPr>
          <w:noProof/>
        </w:rPr>
        <w:t xml:space="preserve">The exploitation of the periphery results in “social disorganization, anomie, urban poverty, income inequality, discrimination, and deprivation – the factors that </w:t>
      </w:r>
      <w:r w:rsidRPr="00611A9D">
        <w:rPr>
          <w:noProof/>
        </w:rPr>
        <w:t>are strongly correlated</w:t>
      </w:r>
      <w:r w:rsidRPr="00346791">
        <w:rPr>
          <w:noProof/>
        </w:rPr>
        <w:t xml:space="preserve"> with high levels of crime and violence” (Shahidullah 2014:70).</w:t>
      </w:r>
      <w:r>
        <w:t xml:space="preserve"> Research by </w:t>
      </w:r>
      <w:r w:rsidRPr="00E13EC7">
        <w:rPr>
          <w:noProof/>
        </w:rPr>
        <w:t>Mahutga</w:t>
      </w:r>
      <w:r>
        <w:t>, Kwon, and Grainger (2011) also indicates that position in the world-system impacts the level of withi</w:t>
      </w:r>
      <w:r w:rsidR="00525FCF">
        <w:t>n-country inequality (p. 281). This function occurs when “alliances [</w:t>
      </w:r>
      <w:r w:rsidR="00525FCF" w:rsidRPr="008C30A2">
        <w:rPr>
          <w:noProof/>
        </w:rPr>
        <w:t>are formed</w:t>
      </w:r>
      <w:r w:rsidR="00525FCF">
        <w:t xml:space="preserve">] between ruling classes in </w:t>
      </w:r>
      <w:r w:rsidR="00525FCF" w:rsidRPr="008C30A2">
        <w:rPr>
          <w:noProof/>
        </w:rPr>
        <w:t>core</w:t>
      </w:r>
      <w:r w:rsidR="00525FCF">
        <w:t xml:space="preserve"> and non-core countries” (Mahutga et al. 2011:283). These relationships and the presence of “[d]irect economic penetration and control over the production activities . . . </w:t>
      </w:r>
      <w:r w:rsidR="00525FCF" w:rsidRPr="008C30A2">
        <w:rPr>
          <w:noProof/>
        </w:rPr>
        <w:t>at</w:t>
      </w:r>
      <w:r w:rsidR="00525FCF">
        <w:t xml:space="preserve"> an artificially low </w:t>
      </w:r>
      <w:r w:rsidR="00525FCF" w:rsidRPr="008C30A2">
        <w:rPr>
          <w:noProof/>
        </w:rPr>
        <w:t>[price</w:t>
      </w:r>
      <w:r w:rsidR="00525FCF">
        <w:t>]</w:t>
      </w:r>
      <w:r w:rsidR="00611A9D">
        <w:t>”</w:t>
      </w:r>
      <w:r w:rsidR="00525FCF">
        <w:t xml:space="preserve"> (Rubinson 1976:642)</w:t>
      </w:r>
      <w:r w:rsidR="00CE1779">
        <w:t xml:space="preserve"> are mechanisms of core exploitation</w:t>
      </w:r>
      <w:r w:rsidR="00525FCF">
        <w:t>. Non-core countries also tend to lack effective mechanisms to protect “the capital and organization” present when the demand for raw materials are no longer needed (Rubinson 1976:642)</w:t>
      </w:r>
      <w:r w:rsidR="00CE1779">
        <w:t>.</w:t>
      </w:r>
    </w:p>
    <w:p w:rsidR="0011582A" w:rsidRDefault="0011582A" w:rsidP="0011582A">
      <w:pPr>
        <w:spacing w:line="480" w:lineRule="auto"/>
        <w:ind w:firstLine="720"/>
        <w:contextualSpacing/>
      </w:pPr>
      <w:r w:rsidRPr="00563480">
        <w:t xml:space="preserve">Scholars find that position in the world-systems hierarchy </w:t>
      </w:r>
      <w:r w:rsidRPr="00525FCF">
        <w:rPr>
          <w:noProof/>
        </w:rPr>
        <w:t>impacts</w:t>
      </w:r>
      <w:r w:rsidRPr="00563480">
        <w:t xml:space="preserve"> </w:t>
      </w:r>
      <w:r w:rsidR="00563480" w:rsidRPr="00563480">
        <w:t xml:space="preserve">a variety of ecological and </w:t>
      </w:r>
      <w:r w:rsidRPr="00563480">
        <w:t xml:space="preserve">social outcomes. Burns et al. (1994) examine the relationship of world-systems position and deforestation as an environmental </w:t>
      </w:r>
      <w:r w:rsidRPr="00525FCF">
        <w:rPr>
          <w:noProof/>
        </w:rPr>
        <w:t>outcome</w:t>
      </w:r>
      <w:r w:rsidRPr="00563480">
        <w:t xml:space="preserve">. Dyches and Rushing (1996) evaluate world-systems position and its influence on women’s health. Burns, </w:t>
      </w:r>
      <w:r w:rsidRPr="006F0D5D">
        <w:rPr>
          <w:noProof/>
        </w:rPr>
        <w:t>Davis,</w:t>
      </w:r>
      <w:r w:rsidRPr="00563480">
        <w:t xml:space="preserve"> and Kick (1997) examine the relationship of world-systems position and greenhouse gas emissions. York and Ergas (2011) evaluate the link of world-systems </w:t>
      </w:r>
      <w:r w:rsidRPr="00563480">
        <w:lastRenderedPageBreak/>
        <w:t>position on gender inequality. Ergas and York (2012) control for world-systems position in their analysis of women’s status and carbon dioxide emissions.</w:t>
      </w:r>
      <w:r w:rsidRPr="00C5664F">
        <w:t xml:space="preserve"> </w:t>
      </w:r>
    </w:p>
    <w:p w:rsidR="0011582A" w:rsidRDefault="0011582A" w:rsidP="0011582A">
      <w:pPr>
        <w:spacing w:line="480" w:lineRule="auto"/>
        <w:ind w:firstLine="720"/>
        <w:contextualSpacing/>
      </w:pPr>
      <w:r>
        <w:t xml:space="preserve">Although not addressing incarceration rates, crime rates grew for almost 30 years, as the world economy grew, according to Shahidullah (2014).  Various regions were impacted differently, in part, due to </w:t>
      </w:r>
      <w:r w:rsidRPr="006F0D5D">
        <w:rPr>
          <w:noProof/>
        </w:rPr>
        <w:t>position</w:t>
      </w:r>
      <w:r w:rsidRPr="000F722C">
        <w:rPr>
          <w:noProof/>
        </w:rPr>
        <w:t xml:space="preserve"> in the </w:t>
      </w:r>
      <w:r>
        <w:rPr>
          <w:noProof/>
        </w:rPr>
        <w:t>global</w:t>
      </w:r>
      <w:r w:rsidRPr="000F722C">
        <w:rPr>
          <w:noProof/>
        </w:rPr>
        <w:t xml:space="preserve"> economy</w:t>
      </w:r>
      <w:r>
        <w:t xml:space="preserve"> (p. 71). Statistics from the United Nations indicate that “[t]he </w:t>
      </w:r>
      <w:r w:rsidRPr="006F0D5D">
        <w:rPr>
          <w:noProof/>
        </w:rPr>
        <w:t>total</w:t>
      </w:r>
      <w:r>
        <w:t xml:space="preserve"> reported crime rate . . . </w:t>
      </w:r>
      <w:r w:rsidRPr="006F0D5D">
        <w:rPr>
          <w:noProof/>
        </w:rPr>
        <w:t>increased</w:t>
      </w:r>
      <w:r>
        <w:t xml:space="preserve"> in the peripheral </w:t>
      </w:r>
      <w:r w:rsidRPr="00346791">
        <w:rPr>
          <w:noProof/>
        </w:rPr>
        <w:t>economies . . .</w:t>
      </w:r>
      <w:r>
        <w:t xml:space="preserve"> </w:t>
      </w:r>
      <w:r w:rsidRPr="006F0D5D">
        <w:rPr>
          <w:noProof/>
        </w:rPr>
        <w:t>although</w:t>
      </w:r>
      <w:r>
        <w:t xml:space="preserve"> it declined in the core countries” (Shahidullah 2014:71). There is no observation </w:t>
      </w:r>
      <w:r>
        <w:rPr>
          <w:noProof/>
        </w:rPr>
        <w:t>about</w:t>
      </w:r>
      <w:r>
        <w:t xml:space="preserve"> the impact within semiperiphery countries.  </w:t>
      </w:r>
    </w:p>
    <w:p w:rsidR="0011582A" w:rsidRDefault="0011582A" w:rsidP="0011582A">
      <w:pPr>
        <w:spacing w:line="480" w:lineRule="auto"/>
        <w:ind w:firstLine="720"/>
        <w:contextualSpacing/>
      </w:pPr>
      <w:r>
        <w:t xml:space="preserve">While </w:t>
      </w:r>
      <w:r w:rsidRPr="006F0D5D">
        <w:rPr>
          <w:noProof/>
        </w:rPr>
        <w:t>other</w:t>
      </w:r>
      <w:r>
        <w:t xml:space="preserve"> research is extant regarding the influence of WSP on various social outcomes, </w:t>
      </w:r>
      <w:r>
        <w:rPr>
          <w:noProof/>
        </w:rPr>
        <w:t>this study examines the effect of position in the world-system on</w:t>
      </w:r>
      <w:r w:rsidR="00611A9D">
        <w:rPr>
          <w:noProof/>
        </w:rPr>
        <w:t xml:space="preserve"> differences between countries regarding</w:t>
      </w:r>
      <w:r>
        <w:rPr>
          <w:noProof/>
        </w:rPr>
        <w:t xml:space="preserve"> </w:t>
      </w:r>
      <w:r w:rsidR="00525FCF">
        <w:rPr>
          <w:noProof/>
        </w:rPr>
        <w:t xml:space="preserve">incarceration rates, </w:t>
      </w:r>
      <w:r>
        <w:rPr>
          <w:noProof/>
        </w:rPr>
        <w:t>inequality, wealth, democracy, urbanization, and other variables over the past two decades.</w:t>
      </w:r>
      <w:r w:rsidR="00611A9D">
        <w:rPr>
          <w:noProof/>
        </w:rPr>
        <w:t xml:space="preserve"> </w:t>
      </w:r>
      <w:r>
        <w:rPr>
          <w:noProof/>
        </w:rPr>
        <w:t xml:space="preserve"> </w:t>
      </w:r>
      <w:r>
        <w:t xml:space="preserve">  </w:t>
      </w:r>
    </w:p>
    <w:p w:rsidR="0011582A" w:rsidRDefault="0011582A" w:rsidP="0011582A">
      <w:pPr>
        <w:spacing w:line="480" w:lineRule="auto"/>
        <w:ind w:firstLine="720"/>
        <w:contextualSpacing/>
      </w:pPr>
      <w:r w:rsidRPr="00525FCF">
        <w:rPr>
          <w:noProof/>
        </w:rPr>
        <w:t xml:space="preserve">For purposes of this study, </w:t>
      </w:r>
      <w:r w:rsidRPr="00611A9D">
        <w:rPr>
          <w:noProof/>
        </w:rPr>
        <w:t>I</w:t>
      </w:r>
      <w:r w:rsidRPr="00525FCF">
        <w:rPr>
          <w:noProof/>
        </w:rPr>
        <w:t xml:space="preserve"> use the</w:t>
      </w:r>
      <w:r>
        <w:t xml:space="preserve"> distinct three-tier system postulated by Wallerstein and subsequently confirmed by others as noted above. Specifically, </w:t>
      </w:r>
      <w:r w:rsidRPr="00611A9D">
        <w:rPr>
          <w:noProof/>
        </w:rPr>
        <w:t>I</w:t>
      </w:r>
      <w:r>
        <w:t xml:space="preserve"> use the most current assessment of world-systems position provide by Clark (2012). </w:t>
      </w:r>
    </w:p>
    <w:p w:rsidR="0011582A" w:rsidRDefault="00563480" w:rsidP="003B6046">
      <w:pPr>
        <w:spacing w:line="480" w:lineRule="auto"/>
        <w:contextualSpacing/>
        <w:rPr>
          <w:rFonts w:eastAsia="Calibri"/>
          <w:i/>
        </w:rPr>
      </w:pPr>
      <w:r>
        <w:rPr>
          <w:b/>
        </w:rPr>
        <w:t>Hypothesis One</w:t>
      </w:r>
      <w:r w:rsidR="0011582A" w:rsidRPr="0011582A">
        <w:rPr>
          <w:b/>
        </w:rPr>
        <w:t>:</w:t>
      </w:r>
      <w:r w:rsidR="0011582A" w:rsidRPr="0011582A">
        <w:t xml:space="preserve"> </w:t>
      </w:r>
      <w:r w:rsidR="00A63DE0">
        <w:t xml:space="preserve">Position in the world-system is associated with positive and negative social outcomes. </w:t>
      </w:r>
      <w:r w:rsidR="003B6046">
        <w:t>Cou</w:t>
      </w:r>
      <w:r w:rsidR="00D35EA4">
        <w:t xml:space="preserve">ntries in the core have greater </w:t>
      </w:r>
      <w:r w:rsidR="003B6046">
        <w:t xml:space="preserve">wealth, democracy, urbanization, </w:t>
      </w:r>
      <w:r w:rsidR="00D35EA4">
        <w:t xml:space="preserve">and </w:t>
      </w:r>
      <w:r w:rsidR="003B6046">
        <w:t xml:space="preserve">educational attainment than semiperipheral and peripheral countries. </w:t>
      </w:r>
      <w:r w:rsidR="00BC59A1">
        <w:rPr>
          <w:noProof/>
        </w:rPr>
        <w:t xml:space="preserve">However, </w:t>
      </w:r>
      <w:r w:rsidR="00D35EA4" w:rsidRPr="00BC59A1">
        <w:rPr>
          <w:noProof/>
        </w:rPr>
        <w:t>countries</w:t>
      </w:r>
      <w:r w:rsidR="00BC59A1">
        <w:t xml:space="preserve"> in the periphery</w:t>
      </w:r>
      <w:r w:rsidR="00D35EA4">
        <w:t xml:space="preserve"> will have </w:t>
      </w:r>
      <w:r w:rsidR="00D35EA4" w:rsidRPr="00525FCF">
        <w:rPr>
          <w:noProof/>
        </w:rPr>
        <w:t>greater</w:t>
      </w:r>
      <w:r w:rsidR="00D35EA4">
        <w:t xml:space="preserve"> incarceration rates, inequality, homicide rates, and drug offense rates. </w:t>
      </w:r>
    </w:p>
    <w:p w:rsidR="006F0D5D" w:rsidRDefault="006F0D5D" w:rsidP="00BB5750">
      <w:pPr>
        <w:spacing w:after="200" w:line="480" w:lineRule="auto"/>
        <w:contextualSpacing/>
        <w:rPr>
          <w:rFonts w:eastAsia="Calibri"/>
          <w:i/>
        </w:rPr>
      </w:pPr>
    </w:p>
    <w:p w:rsidR="006F0D5D" w:rsidRDefault="006F0D5D" w:rsidP="00BB5750">
      <w:pPr>
        <w:spacing w:after="200" w:line="480" w:lineRule="auto"/>
        <w:contextualSpacing/>
        <w:rPr>
          <w:rFonts w:eastAsia="Calibri"/>
          <w:i/>
        </w:rPr>
      </w:pPr>
    </w:p>
    <w:p w:rsidR="007F2FCC" w:rsidRDefault="000B44F9" w:rsidP="00BB5750">
      <w:pPr>
        <w:spacing w:after="200" w:line="480" w:lineRule="auto"/>
        <w:contextualSpacing/>
        <w:rPr>
          <w:rFonts w:eastAsia="Calibri"/>
        </w:rPr>
      </w:pPr>
      <w:r>
        <w:rPr>
          <w:rFonts w:eastAsia="Calibri"/>
          <w:i/>
        </w:rPr>
        <w:lastRenderedPageBreak/>
        <w:t>I</w:t>
      </w:r>
      <w:r w:rsidR="00790BD2">
        <w:rPr>
          <w:rFonts w:eastAsia="Calibri"/>
          <w:i/>
        </w:rPr>
        <w:t>n</w:t>
      </w:r>
      <w:r w:rsidR="0098368E">
        <w:rPr>
          <w:rFonts w:eastAsia="Calibri"/>
          <w:i/>
        </w:rPr>
        <w:t>equality</w:t>
      </w:r>
    </w:p>
    <w:p w:rsidR="00EA2D8F" w:rsidRDefault="00EA2D8F" w:rsidP="00EA2D8F">
      <w:pPr>
        <w:spacing w:line="480" w:lineRule="auto"/>
        <w:contextualSpacing/>
      </w:pPr>
      <w:r w:rsidRPr="00525FCF">
        <w:rPr>
          <w:noProof/>
        </w:rPr>
        <w:t>Inequality</w:t>
      </w:r>
      <w:r>
        <w:t xml:space="preserve"> exists in many forms across the world. </w:t>
      </w:r>
      <w:r w:rsidR="00E13EC7" w:rsidRPr="00834858">
        <w:rPr>
          <w:noProof/>
        </w:rPr>
        <w:t>Inequality is the unequal distribution of valued resources.</w:t>
      </w:r>
      <w:r w:rsidR="00E13EC7">
        <w:t xml:space="preserve"> </w:t>
      </w:r>
      <w:r w:rsidRPr="00611A9D">
        <w:rPr>
          <w:noProof/>
        </w:rPr>
        <w:t>The concentration of wealth and income</w:t>
      </w:r>
      <w:r w:rsidR="00E13EC7" w:rsidRPr="00611A9D">
        <w:rPr>
          <w:noProof/>
        </w:rPr>
        <w:t xml:space="preserve"> in the</w:t>
      </w:r>
      <w:r w:rsidR="00E13EC7">
        <w:t xml:space="preserve"> hands of a few indicates</w:t>
      </w:r>
      <w:r>
        <w:t xml:space="preserve"> </w:t>
      </w:r>
      <w:r w:rsidRPr="00525FCF">
        <w:rPr>
          <w:noProof/>
        </w:rPr>
        <w:t>inequalit</w:t>
      </w:r>
      <w:r w:rsidR="004137BD" w:rsidRPr="00525FCF">
        <w:rPr>
          <w:noProof/>
        </w:rPr>
        <w:t>y</w:t>
      </w:r>
      <w:r w:rsidR="004137BD">
        <w:t xml:space="preserve">. Often income inequality </w:t>
      </w:r>
      <w:r>
        <w:t xml:space="preserve">results in a concentration of power </w:t>
      </w:r>
      <w:r>
        <w:rPr>
          <w:noProof/>
        </w:rPr>
        <w:t>in</w:t>
      </w:r>
      <w:r>
        <w:t xml:space="preserve"> those same societies. Examining inequality in the distribution of </w:t>
      </w:r>
      <w:r w:rsidRPr="00611A9D">
        <w:rPr>
          <w:noProof/>
        </w:rPr>
        <w:t>income</w:t>
      </w:r>
      <w:r>
        <w:t xml:space="preserve"> within nat</w:t>
      </w:r>
      <w:r w:rsidR="008D6BD4">
        <w:t xml:space="preserve">ions, Kuznets (1955) </w:t>
      </w:r>
      <w:r w:rsidR="00834858">
        <w:t>posits</w:t>
      </w:r>
      <w:r w:rsidR="008D6BD4">
        <w:t xml:space="preserve"> </w:t>
      </w:r>
      <w:r>
        <w:t xml:space="preserve">inequality increases as traditional societies transition from markets based on agriculture to those based on industrial </w:t>
      </w:r>
      <w:r>
        <w:rPr>
          <w:noProof/>
        </w:rPr>
        <w:t>output</w:t>
      </w:r>
      <w:r>
        <w:t xml:space="preserve">. Industrial economies tend to generate higher incomes than agricultural economies. </w:t>
      </w:r>
      <w:r w:rsidR="00834858">
        <w:t xml:space="preserve">As workers in the agricultural sector move from rural to </w:t>
      </w:r>
      <w:r w:rsidR="00834858" w:rsidRPr="00834858">
        <w:rPr>
          <w:noProof/>
        </w:rPr>
        <w:t>urban</w:t>
      </w:r>
      <w:r w:rsidR="00834858">
        <w:t xml:space="preserve"> setting</w:t>
      </w:r>
      <w:r w:rsidR="00CE1779">
        <w:t>s</w:t>
      </w:r>
      <w:r w:rsidR="00834858">
        <w:t xml:space="preserve"> </w:t>
      </w:r>
      <w:r w:rsidR="00834858" w:rsidRPr="00834858">
        <w:rPr>
          <w:noProof/>
        </w:rPr>
        <w:t>to</w:t>
      </w:r>
      <w:r w:rsidR="00834858">
        <w:t xml:space="preserve"> secure higher paying jobs in nonagricultural jobs, inequality within the country increases. Additionally, income inequality is greater </w:t>
      </w:r>
      <w:r w:rsidR="00834858" w:rsidRPr="00611A9D">
        <w:rPr>
          <w:noProof/>
        </w:rPr>
        <w:t>within</w:t>
      </w:r>
      <w:r w:rsidR="00834858">
        <w:t xml:space="preserve"> this urban, industrial economy, as those moving into the sector tend to fill lower-income groups within the urban population (Kuznets 1955:17). I</w:t>
      </w:r>
      <w:r>
        <w:t>ncome tends to concentrate when industrialization and urbanization increase. For the three countries included in his study, Kuznets (1955) finds a pattern of increasing inequality as countr</w:t>
      </w:r>
      <w:r w:rsidR="00834858">
        <w:t xml:space="preserve">ies </w:t>
      </w:r>
      <w:r w:rsidR="00834858" w:rsidRPr="00834858">
        <w:rPr>
          <w:noProof/>
        </w:rPr>
        <w:t>move in</w:t>
      </w:r>
      <w:r w:rsidR="00834858">
        <w:rPr>
          <w:noProof/>
        </w:rPr>
        <w:t xml:space="preserve">to </w:t>
      </w:r>
      <w:r w:rsidR="00834858" w:rsidRPr="00525FCF">
        <w:rPr>
          <w:noProof/>
        </w:rPr>
        <w:t>industrialization</w:t>
      </w:r>
      <w:r w:rsidR="00834858">
        <w:rPr>
          <w:noProof/>
        </w:rPr>
        <w:t xml:space="preserve">. As the proportion of native-born urbanites increases, </w:t>
      </w:r>
      <w:r>
        <w:t>inequality tends to decrease</w:t>
      </w:r>
      <w:r w:rsidR="00834858">
        <w:t xml:space="preserve"> as they are better able to navigate the economic landscape of urban settings (Kuznets 1955:17)</w:t>
      </w:r>
      <w:r>
        <w:t xml:space="preserve">. The question of Kuznets’ assertion of this curvilinear relationship is not a part of the current </w:t>
      </w:r>
      <w:r w:rsidRPr="00611A9D">
        <w:rPr>
          <w:noProof/>
        </w:rPr>
        <w:t>study</w:t>
      </w:r>
      <w:r w:rsidR="008D6BD4" w:rsidRPr="00611A9D">
        <w:rPr>
          <w:noProof/>
        </w:rPr>
        <w:t>,</w:t>
      </w:r>
      <w:r>
        <w:t xml:space="preserve"> but provides us with a base from which others have studied the phenomenon. </w:t>
      </w:r>
    </w:p>
    <w:p w:rsidR="00EA2D8F" w:rsidRDefault="00EA2D8F" w:rsidP="00EA2D8F">
      <w:pPr>
        <w:spacing w:line="480" w:lineRule="auto"/>
        <w:contextualSpacing/>
      </w:pPr>
      <w:r>
        <w:tab/>
        <w:t xml:space="preserve">Scholars have examined the impact of inequality on </w:t>
      </w:r>
      <w:r w:rsidRPr="00611A9D">
        <w:rPr>
          <w:noProof/>
        </w:rPr>
        <w:t>numerous</w:t>
      </w:r>
      <w:r>
        <w:t xml:space="preserve"> social outcomes. In many cases as inequality </w:t>
      </w:r>
      <w:r>
        <w:rPr>
          <w:noProof/>
        </w:rPr>
        <w:t>increases,</w:t>
      </w:r>
      <w:r>
        <w:t xml:space="preserve"> various social </w:t>
      </w:r>
      <w:r w:rsidR="00525FCF">
        <w:rPr>
          <w:noProof/>
        </w:rPr>
        <w:t>issu</w:t>
      </w:r>
      <w:r w:rsidRPr="00525FCF">
        <w:rPr>
          <w:noProof/>
        </w:rPr>
        <w:t>es</w:t>
      </w:r>
      <w:r>
        <w:t xml:space="preserve"> are negatively </w:t>
      </w:r>
      <w:r w:rsidR="00525FCF">
        <w:rPr>
          <w:noProof/>
        </w:rPr>
        <w:t>affe</w:t>
      </w:r>
      <w:r w:rsidRPr="00525FCF">
        <w:rPr>
          <w:noProof/>
        </w:rPr>
        <w:t>cted</w:t>
      </w:r>
      <w:r>
        <w:t xml:space="preserve">. There is a lack of maternal medical care associated with increased inequality (Shandra, Shandra, and London 2010). Educational opportunities for women decrease as </w:t>
      </w:r>
      <w:r>
        <w:lastRenderedPageBreak/>
        <w:t xml:space="preserve">inequality grows (Buchman 1996). Food security </w:t>
      </w:r>
      <w:r w:rsidRPr="00611A9D">
        <w:rPr>
          <w:noProof/>
        </w:rPr>
        <w:t>is reduced</w:t>
      </w:r>
      <w:r>
        <w:t xml:space="preserve"> when there is greater inequality (Jenkins and Scanlan 2001). Human rights violations </w:t>
      </w:r>
      <w:r w:rsidRPr="00525FCF">
        <w:rPr>
          <w:noProof/>
        </w:rPr>
        <w:t xml:space="preserve">are </w:t>
      </w:r>
      <w:r w:rsidR="00525FCF">
        <w:rPr>
          <w:noProof/>
        </w:rPr>
        <w:t>high</w:t>
      </w:r>
      <w:r w:rsidRPr="00525FCF">
        <w:rPr>
          <w:noProof/>
        </w:rPr>
        <w:t>er</w:t>
      </w:r>
      <w:r>
        <w:t xml:space="preserve"> with increased inequality (Abouharb and Cingranelli 2006).  Wilkinson and Pickett (2007) note that </w:t>
      </w:r>
      <w:r w:rsidRPr="00611A9D">
        <w:rPr>
          <w:noProof/>
        </w:rPr>
        <w:t>in</w:t>
      </w:r>
      <w:r w:rsidR="004137BD" w:rsidRPr="00611A9D">
        <w:rPr>
          <w:noProof/>
        </w:rPr>
        <w:t xml:space="preserve"> </w:t>
      </w:r>
      <w:r w:rsidR="003B454F" w:rsidRPr="00611A9D">
        <w:rPr>
          <w:noProof/>
        </w:rPr>
        <w:t xml:space="preserve">24 of </w:t>
      </w:r>
      <w:r w:rsidRPr="00611A9D">
        <w:rPr>
          <w:noProof/>
        </w:rPr>
        <w:t>the world’s richest countries</w:t>
      </w:r>
      <w:r>
        <w:t xml:space="preserve"> overall educational outcomes decreased</w:t>
      </w:r>
      <w:r w:rsidR="008D6BD4">
        <w:t xml:space="preserve"> with greater inequality. Furthermore, </w:t>
      </w:r>
      <w:r>
        <w:t xml:space="preserve">Babones (2008) finds that increased inequality in developed and developing countries </w:t>
      </w:r>
      <w:r w:rsidRPr="00611A9D">
        <w:rPr>
          <w:noProof/>
        </w:rPr>
        <w:t>is</w:t>
      </w:r>
      <w:r w:rsidRPr="00346791">
        <w:rPr>
          <w:noProof/>
        </w:rPr>
        <w:t xml:space="preserve"> assoc</w:t>
      </w:r>
      <w:r w:rsidR="00BB5750" w:rsidRPr="00346791">
        <w:rPr>
          <w:noProof/>
        </w:rPr>
        <w:t>i</w:t>
      </w:r>
      <w:r w:rsidRPr="00346791">
        <w:rPr>
          <w:noProof/>
        </w:rPr>
        <w:t>ated</w:t>
      </w:r>
      <w:r>
        <w:t xml:space="preserve"> </w:t>
      </w:r>
      <w:r w:rsidR="009C28D5">
        <w:t xml:space="preserve">with </w:t>
      </w:r>
      <w:r>
        <w:t xml:space="preserve">a reduction in life expectancy and an increase in infant mortality. </w:t>
      </w:r>
    </w:p>
    <w:p w:rsidR="00EA2D8F" w:rsidRDefault="00EA2D8F" w:rsidP="00EA2D8F">
      <w:pPr>
        <w:spacing w:line="480" w:lineRule="auto"/>
        <w:contextualSpacing/>
      </w:pPr>
      <w:r>
        <w:tab/>
        <w:t xml:space="preserve">Inequality is an indicator of the concentration of power. That power </w:t>
      </w:r>
      <w:r w:rsidR="004137BD" w:rsidRPr="004137BD">
        <w:rPr>
          <w:noProof/>
        </w:rPr>
        <w:t>ma</w:t>
      </w:r>
      <w:r w:rsidR="004137BD">
        <w:rPr>
          <w:noProof/>
        </w:rPr>
        <w:t xml:space="preserve">nifests itself </w:t>
      </w:r>
      <w:r>
        <w:t xml:space="preserve">through social, political, and economic forces, which in turn, influence the definitions of crime and the punishments imposed (Quinney 1969). As Quinney </w:t>
      </w:r>
      <w:r w:rsidR="003B7C61">
        <w:t xml:space="preserve">(1969) </w:t>
      </w:r>
      <w:r>
        <w:t>describes a sociological theory of interests, he notes that society is “characterized by diversity, confli</w:t>
      </w:r>
      <w:r w:rsidR="003B7C61">
        <w:t xml:space="preserve">ct, coercion, and change” (p. </w:t>
      </w:r>
      <w:r>
        <w:t xml:space="preserve">25). Discussing the differences in power, Quinney </w:t>
      </w:r>
      <w:r w:rsidR="003B7C61">
        <w:t xml:space="preserve">(1975) </w:t>
      </w:r>
      <w:r>
        <w:t>asserts that the definitions of crime are “created by agents of the domi</w:t>
      </w:r>
      <w:r w:rsidR="003B7C61">
        <w:t xml:space="preserve">nant class” (p. </w:t>
      </w:r>
      <w:r>
        <w:t xml:space="preserve">37). </w:t>
      </w:r>
      <w:r w:rsidRPr="00525FCF">
        <w:rPr>
          <w:noProof/>
        </w:rPr>
        <w:t>Agents</w:t>
      </w:r>
      <w:r>
        <w:t xml:space="preserve"> enact </w:t>
      </w:r>
      <w:r w:rsidRPr="004137BD">
        <w:rPr>
          <w:noProof/>
        </w:rPr>
        <w:t>laws</w:t>
      </w:r>
      <w:r w:rsidR="004137BD">
        <w:rPr>
          <w:noProof/>
        </w:rPr>
        <w:t>,</w:t>
      </w:r>
      <w:r>
        <w:t xml:space="preserve"> and the criminal justice system enforces </w:t>
      </w:r>
      <w:r w:rsidRPr="00611A9D">
        <w:rPr>
          <w:noProof/>
        </w:rPr>
        <w:t>laws</w:t>
      </w:r>
      <w:r>
        <w:t xml:space="preserve"> that protect the interests of the dominant class. </w:t>
      </w:r>
      <w:r w:rsidRPr="00525FCF">
        <w:rPr>
          <w:noProof/>
        </w:rPr>
        <w:t>The “coercive force of the state, embodied in law and legal repression, is the traditional means of maintaining the social and economic order</w:t>
      </w:r>
      <w:r>
        <w:t xml:space="preserve">” (Quinney 1980:52). </w:t>
      </w:r>
      <w:r w:rsidRPr="00346791">
        <w:rPr>
          <w:noProof/>
        </w:rPr>
        <w:t>In his examination of the history of vagrancy laws, Chambliss</w:t>
      </w:r>
      <w:r w:rsidR="003B7C61" w:rsidRPr="00346791">
        <w:rPr>
          <w:noProof/>
        </w:rPr>
        <w:t xml:space="preserve"> (1964)</w:t>
      </w:r>
      <w:r w:rsidRPr="00346791">
        <w:rPr>
          <w:noProof/>
        </w:rPr>
        <w:t xml:space="preserve"> notes that laws “control the undesirable, the crimina</w:t>
      </w:r>
      <w:r w:rsidR="003B7C61" w:rsidRPr="00346791">
        <w:rPr>
          <w:noProof/>
        </w:rPr>
        <w:t xml:space="preserve">l and the ‘nuisance’” (p. </w:t>
      </w:r>
      <w:r w:rsidR="00E13EC7" w:rsidRPr="00346791">
        <w:rPr>
          <w:noProof/>
        </w:rPr>
        <w:t xml:space="preserve">76); </w:t>
      </w:r>
      <w:r w:rsidR="00E13EC7" w:rsidRPr="00611A9D">
        <w:rPr>
          <w:noProof/>
        </w:rPr>
        <w:t>g</w:t>
      </w:r>
      <w:r w:rsidRPr="00611A9D">
        <w:rPr>
          <w:noProof/>
        </w:rPr>
        <w:t>enerally</w:t>
      </w:r>
      <w:r w:rsidRPr="00346791">
        <w:rPr>
          <w:noProof/>
        </w:rPr>
        <w:t xml:space="preserve"> those lacking social, political, or economic power.</w:t>
      </w:r>
    </w:p>
    <w:p w:rsidR="00EA2D8F" w:rsidRDefault="00EA2D8F" w:rsidP="00EA2D8F">
      <w:pPr>
        <w:spacing w:line="480" w:lineRule="auto"/>
        <w:contextualSpacing/>
      </w:pPr>
      <w:r>
        <w:tab/>
        <w:t>Others note the control exerted by the criminal justice system on some members of soc</w:t>
      </w:r>
      <w:r w:rsidR="00563480">
        <w:t>iety. Spitzer (1975b</w:t>
      </w:r>
      <w:r w:rsidR="008D6BD4">
        <w:t>) notes</w:t>
      </w:r>
      <w:r>
        <w:t xml:space="preserve"> culture produces those who exist at its margins and are not productive members of society. </w:t>
      </w:r>
      <w:r w:rsidR="004137BD">
        <w:rPr>
          <w:noProof/>
        </w:rPr>
        <w:t xml:space="preserve">Spitzer </w:t>
      </w:r>
      <w:r w:rsidRPr="004137BD">
        <w:rPr>
          <w:noProof/>
        </w:rPr>
        <w:t>differentiates two categories of marginalized citizens</w:t>
      </w:r>
      <w:r w:rsidR="004137BD">
        <w:rPr>
          <w:noProof/>
        </w:rPr>
        <w:t>.</w:t>
      </w:r>
      <w:r w:rsidRPr="004137BD">
        <w:rPr>
          <w:noProof/>
        </w:rPr>
        <w:t xml:space="preserve"> </w:t>
      </w:r>
      <w:r w:rsidR="004137BD" w:rsidRPr="00525FCF">
        <w:rPr>
          <w:noProof/>
        </w:rPr>
        <w:t>One</w:t>
      </w:r>
      <w:r w:rsidR="008D6BD4">
        <w:rPr>
          <w:noProof/>
        </w:rPr>
        <w:t xml:space="preserve"> referred to as social junk,</w:t>
      </w:r>
      <w:r w:rsidR="004137BD">
        <w:rPr>
          <w:noProof/>
        </w:rPr>
        <w:t xml:space="preserve"> poses</w:t>
      </w:r>
      <w:r w:rsidRPr="004137BD">
        <w:rPr>
          <w:noProof/>
        </w:rPr>
        <w:t xml:space="preserve"> little threat to the social order, </w:t>
      </w:r>
      <w:r w:rsidR="004137BD">
        <w:rPr>
          <w:noProof/>
        </w:rPr>
        <w:t xml:space="preserve">like the </w:t>
      </w:r>
      <w:r w:rsidR="004137BD">
        <w:rPr>
          <w:noProof/>
        </w:rPr>
        <w:lastRenderedPageBreak/>
        <w:t>elde</w:t>
      </w:r>
      <w:r w:rsidR="00E13EC7">
        <w:rPr>
          <w:noProof/>
        </w:rPr>
        <w:t xml:space="preserve">rly and infirm. </w:t>
      </w:r>
      <w:r w:rsidR="00E13EC7" w:rsidRPr="00611A9D">
        <w:rPr>
          <w:noProof/>
        </w:rPr>
        <w:t>The other group consists of those who are</w:t>
      </w:r>
      <w:r w:rsidR="00E13EC7">
        <w:rPr>
          <w:noProof/>
        </w:rPr>
        <w:t xml:space="preserve"> younger and alienated, who</w:t>
      </w:r>
      <w:r w:rsidRPr="004137BD">
        <w:rPr>
          <w:noProof/>
        </w:rPr>
        <w:t xml:space="preserve"> have greater volatility and may pose a greater threat.</w:t>
      </w:r>
      <w:r>
        <w:t xml:space="preserve"> The latter category Spitzer </w:t>
      </w:r>
      <w:r w:rsidR="00563480">
        <w:t>(1975b</w:t>
      </w:r>
      <w:r w:rsidR="003B7C61">
        <w:t xml:space="preserve">) </w:t>
      </w:r>
      <w:r>
        <w:t>refers to as social dynamite, a group more apt to encounter the formal legal proce</w:t>
      </w:r>
      <w:r w:rsidR="003B7C61">
        <w:t xml:space="preserve">ss and face </w:t>
      </w:r>
      <w:r w:rsidR="003B7C61" w:rsidRPr="00611A9D">
        <w:rPr>
          <w:noProof/>
        </w:rPr>
        <w:t>imprisonment</w:t>
      </w:r>
      <w:r w:rsidR="003B7C61">
        <w:t xml:space="preserve"> (p. </w:t>
      </w:r>
      <w:r>
        <w:t>643-44).</w:t>
      </w:r>
    </w:p>
    <w:p w:rsidR="003B7C61" w:rsidRDefault="00EA2D8F" w:rsidP="003B7C61">
      <w:pPr>
        <w:spacing w:line="480" w:lineRule="auto"/>
        <w:contextualSpacing/>
      </w:pPr>
      <w:r>
        <w:tab/>
        <w:t xml:space="preserve">Inequality </w:t>
      </w:r>
      <w:r w:rsidR="003B7C61">
        <w:t>also impacts the ability of portions of populations</w:t>
      </w:r>
      <w:r>
        <w:t xml:space="preserve"> to access val</w:t>
      </w:r>
      <w:r w:rsidR="003A38B0">
        <w:t xml:space="preserve">ued resources within societies. Strain theorists have long held </w:t>
      </w:r>
      <w:r w:rsidR="003A38B0" w:rsidRPr="00BE2779">
        <w:rPr>
          <w:noProof/>
        </w:rPr>
        <w:t>that the inability</w:t>
      </w:r>
      <w:r w:rsidR="003A38B0">
        <w:t xml:space="preserve"> to achieve societally accepted goals result in negative responses, including criminal responses (Merton 1938; Agnew 1992). </w:t>
      </w:r>
      <w:r w:rsidRPr="00BE2779">
        <w:rPr>
          <w:noProof/>
        </w:rPr>
        <w:t>Researchers examining differences in crime between immigrants and native-born people in Sweden note that much of the variation in crime is due to the lack of access to resources for immigrants (Hällsten, Szulkin, and Sarnecki 2013:472).</w:t>
      </w:r>
      <w:r>
        <w:t xml:space="preserve"> </w:t>
      </w:r>
      <w:r w:rsidRPr="00525FCF">
        <w:rPr>
          <w:noProof/>
        </w:rPr>
        <w:t>In the United States</w:t>
      </w:r>
      <w:r w:rsidR="003B7C61" w:rsidRPr="00525FCF">
        <w:rPr>
          <w:noProof/>
        </w:rPr>
        <w:t>, researchers note that the</w:t>
      </w:r>
      <w:r w:rsidR="003B7C61">
        <w:t xml:space="preserve"> increase in </w:t>
      </w:r>
      <w:r>
        <w:t>the incidence of violent cr</w:t>
      </w:r>
      <w:r w:rsidR="003B7C61">
        <w:t xml:space="preserve">imes </w:t>
      </w:r>
      <w:r w:rsidR="003B7C61" w:rsidRPr="00611A9D">
        <w:rPr>
          <w:noProof/>
        </w:rPr>
        <w:t>is</w:t>
      </w:r>
      <w:r w:rsidRPr="00611A9D">
        <w:rPr>
          <w:noProof/>
        </w:rPr>
        <w:t xml:space="preserve"> associated</w:t>
      </w:r>
      <w:r>
        <w:t xml:space="preserve"> with income inequality (Kawachi, Kennedy, and Wilkinson 1999). </w:t>
      </w:r>
      <w:r w:rsidR="003B7C61">
        <w:t xml:space="preserve">Inequality also impacts the level of punishment imposed. </w:t>
      </w:r>
    </w:p>
    <w:p w:rsidR="00226B08" w:rsidRDefault="00226B08" w:rsidP="00226B08">
      <w:pPr>
        <w:spacing w:line="480" w:lineRule="auto"/>
        <w:ind w:firstLine="720"/>
        <w:contextualSpacing/>
      </w:pPr>
      <w:r>
        <w:t xml:space="preserve">The following provides an overview </w:t>
      </w:r>
      <w:r>
        <w:rPr>
          <w:noProof/>
        </w:rPr>
        <w:t>of</w:t>
      </w:r>
      <w:r>
        <w:t xml:space="preserve"> research conducted that examines the influence of </w:t>
      </w:r>
      <w:r w:rsidRPr="00525FCF">
        <w:rPr>
          <w:noProof/>
        </w:rPr>
        <w:t>inequality</w:t>
      </w:r>
      <w:r>
        <w:t xml:space="preserve"> on incarceration rates </w:t>
      </w:r>
      <w:r>
        <w:rPr>
          <w:noProof/>
        </w:rPr>
        <w:t>among</w:t>
      </w:r>
      <w:r>
        <w:t xml:space="preserve"> nations. </w:t>
      </w:r>
      <w:r w:rsidRPr="00611A9D">
        <w:rPr>
          <w:noProof/>
        </w:rPr>
        <w:t>Many of these scholars find statistically significant relationships between inequality and incarceration rates with greater inequality associated with higher incarceration rates</w:t>
      </w:r>
      <w:r w:rsidR="00A24723" w:rsidRPr="00611A9D">
        <w:rPr>
          <w:noProof/>
        </w:rPr>
        <w:t xml:space="preserve"> (Killias 1986; Wilkins and Pease 1987; Krus and Hoehl 1994; Wilkinson and Pickett 2007; Lappi-Seppälä 2008; DeMichele 2010; Lappi-Seppälä 2010; Miller 2011; Healy, Mulcahy, and O’Donnell 2013).</w:t>
      </w:r>
      <w:r w:rsidR="00A24723">
        <w:t xml:space="preserve"> On the other hand, the influence of inequality on incarceration rates is not significant in studies by other scholars (Neapolitan 2001; Jacobs and Kleban 2003; Ruddell 2005). </w:t>
      </w:r>
    </w:p>
    <w:p w:rsidR="000C1BD6" w:rsidRDefault="00BC59A1" w:rsidP="000C1BD6">
      <w:pPr>
        <w:spacing w:line="480" w:lineRule="auto"/>
        <w:ind w:firstLine="720"/>
        <w:contextualSpacing/>
      </w:pPr>
      <w:r w:rsidRPr="00525FCF">
        <w:rPr>
          <w:noProof/>
        </w:rPr>
        <w:lastRenderedPageBreak/>
        <w:t>Scholars</w:t>
      </w:r>
      <w:r>
        <w:t xml:space="preserve"> finding a positive relationship between inequality and incarceration rates examine a variety of countries, often from the same region of the world. </w:t>
      </w:r>
      <w:r w:rsidR="000C1BD6">
        <w:t xml:space="preserve">Among those, Killias (1986) uses the Gini index as a measure of power concentration in his study of 55 countries in 1972. In their study of six countries during the mid-1980s, Wilkins and Pease (1987) find a positive correlation between income differential and the length of sentence imposed. Using the ratio of </w:t>
      </w:r>
      <w:r w:rsidR="000C1BD6" w:rsidRPr="00525FCF">
        <w:rPr>
          <w:noProof/>
        </w:rPr>
        <w:t>income</w:t>
      </w:r>
      <w:r w:rsidR="000C1BD6">
        <w:t xml:space="preserve"> received by the top 10 percent to that received by the bottom 20 percent of households as a measure of inequality, Krus and Hoehl (1994) conduct regression analysis with a sample of 30 countries from 1989-1991. </w:t>
      </w:r>
      <w:r w:rsidR="00CE1779">
        <w:t xml:space="preserve">Examining 24 of the world’s 50 wealthiest countries, </w:t>
      </w:r>
      <w:r w:rsidR="00CE1779" w:rsidRPr="00525FCF">
        <w:rPr>
          <w:noProof/>
        </w:rPr>
        <w:t>Wilkinson</w:t>
      </w:r>
      <w:r w:rsidR="00CE1779">
        <w:t xml:space="preserve"> and Pickett (2007) find</w:t>
      </w:r>
      <w:r w:rsidR="000C1BD6">
        <w:t xml:space="preserve"> a strong positive correlation between inequality, measured as the ratio of income received by </w:t>
      </w:r>
      <w:r w:rsidR="000C1BD6" w:rsidRPr="00AF54A6">
        <w:rPr>
          <w:noProof/>
        </w:rPr>
        <w:t>the richest 20 percent to that received by the poorest 20 percent,</w:t>
      </w:r>
      <w:r w:rsidR="000C1BD6">
        <w:t xml:space="preserve"> and incarceration rates</w:t>
      </w:r>
      <w:r w:rsidR="00CE1779">
        <w:t>.</w:t>
      </w:r>
      <w:r w:rsidR="000C1BD6">
        <w:t xml:space="preserve"> I</w:t>
      </w:r>
      <w:r w:rsidR="00CE1779">
        <w:t xml:space="preserve">n his 2008 study, Lappi-Seppälä does two things: he </w:t>
      </w:r>
      <w:r w:rsidR="000C1BD6">
        <w:t>examines 25 countries from 1980-2005 and conducts a cross-sectional analysis of 99 countries in 2005</w:t>
      </w:r>
      <w:r w:rsidR="00CE1779">
        <w:t>. Findings indicate</w:t>
      </w:r>
      <w:r w:rsidR="000C1BD6">
        <w:t xml:space="preserve"> a </w:t>
      </w:r>
      <w:r w:rsidR="00CE1779">
        <w:t xml:space="preserve">positive </w:t>
      </w:r>
      <w:r w:rsidR="000C1BD6">
        <w:t xml:space="preserve">correlation between inequality and incarceration rates, and </w:t>
      </w:r>
      <w:r w:rsidR="00CE1779">
        <w:t xml:space="preserve">he </w:t>
      </w:r>
      <w:r w:rsidR="000C1BD6">
        <w:t xml:space="preserve">notes the strength of the </w:t>
      </w:r>
      <w:r w:rsidR="000C1BD6" w:rsidRPr="00525FCF">
        <w:rPr>
          <w:noProof/>
        </w:rPr>
        <w:t>correlation</w:t>
      </w:r>
      <w:r w:rsidR="000C1BD6">
        <w:t xml:space="preserve"> increased from 1987 to 2000. Lappi-Seppälä (2008) </w:t>
      </w:r>
      <w:r w:rsidR="00CE1779">
        <w:t xml:space="preserve">also </w:t>
      </w:r>
      <w:r w:rsidR="00525FCF">
        <w:rPr>
          <w:noProof/>
        </w:rPr>
        <w:t>indica</w:t>
      </w:r>
      <w:r w:rsidR="000C1BD6" w:rsidRPr="00525FCF">
        <w:rPr>
          <w:noProof/>
        </w:rPr>
        <w:t>tes</w:t>
      </w:r>
      <w:r w:rsidR="000C1BD6">
        <w:t xml:space="preserve"> </w:t>
      </w:r>
      <w:r w:rsidR="000C1BD6" w:rsidRPr="00525FCF">
        <w:rPr>
          <w:noProof/>
        </w:rPr>
        <w:t>the impact of inequality is influenced by country-specific differences</w:t>
      </w:r>
      <w:r w:rsidR="000C1BD6">
        <w:t>. In a study using a larger sample,</w:t>
      </w:r>
      <w:r w:rsidR="000C1BD6" w:rsidRPr="00AF54A6">
        <w:t xml:space="preserve"> </w:t>
      </w:r>
      <w:r w:rsidR="000C1BD6">
        <w:t xml:space="preserve">Lappi-Seppälä (2010) notes a positive relationship between inequality and </w:t>
      </w:r>
      <w:r w:rsidR="000C1BD6" w:rsidRPr="00525FCF">
        <w:rPr>
          <w:noProof/>
        </w:rPr>
        <w:t>imprisonment</w:t>
      </w:r>
      <w:r w:rsidR="000C1BD6">
        <w:t xml:space="preserve"> rates for EU members, but results were not significant when examining non-EU and non-OECD countries. Finding a strong correlation between economic inequality and levels of punitiveness, Van Kesteren (2009) uses 23 </w:t>
      </w:r>
      <w:r w:rsidR="000C1BD6" w:rsidRPr="00525FCF">
        <w:rPr>
          <w:noProof/>
        </w:rPr>
        <w:t>Western countries</w:t>
      </w:r>
      <w:r w:rsidR="000C1BD6">
        <w:t xml:space="preserve"> from 1980 to 2000. Van Kesteren (2009) expands his research to 56 countries in four regions and confirms the positive relationship between levels of inequality and the public’s support for </w:t>
      </w:r>
      <w:r w:rsidR="000C1BD6">
        <w:lastRenderedPageBreak/>
        <w:t xml:space="preserve">increased punishment. Miller (2011) uses Gini coefficients as a measure of marginalization. She finds a </w:t>
      </w:r>
      <w:r w:rsidR="000C1BD6" w:rsidRPr="00893ACF">
        <w:rPr>
          <w:noProof/>
        </w:rPr>
        <w:t>strong positive</w:t>
      </w:r>
      <w:r w:rsidR="00CE1779">
        <w:t xml:space="preserve"> relationship between </w:t>
      </w:r>
      <w:r w:rsidR="000C1BD6">
        <w:t xml:space="preserve">marginalization and incarceration rates. Another study finding a positive correlation between inequality and incarceration is presented </w:t>
      </w:r>
      <w:r w:rsidR="00563480">
        <w:t>by Healy et al.</w:t>
      </w:r>
      <w:r w:rsidR="000C1BD6">
        <w:t xml:space="preserve"> (2013). </w:t>
      </w:r>
    </w:p>
    <w:p w:rsidR="00CE1779" w:rsidRDefault="000C1BD6" w:rsidP="000C1BD6">
      <w:pPr>
        <w:spacing w:line="480" w:lineRule="auto"/>
        <w:ind w:firstLine="720"/>
        <w:contextualSpacing/>
      </w:pPr>
      <w:r>
        <w:t>Others find limited su</w:t>
      </w:r>
      <w:r w:rsidR="00BC59A1">
        <w:t>pport for the positive relationship between</w:t>
      </w:r>
      <w:r>
        <w:t xml:space="preserve"> </w:t>
      </w:r>
      <w:r w:rsidRPr="00BC59A1">
        <w:rPr>
          <w:noProof/>
        </w:rPr>
        <w:t>inequality</w:t>
      </w:r>
      <w:r w:rsidR="00BC59A1">
        <w:t xml:space="preserve"> and</w:t>
      </w:r>
      <w:r>
        <w:t xml:space="preserve"> incarceration.  Neapolitan (2001) </w:t>
      </w:r>
      <w:r w:rsidR="00CE1779" w:rsidRPr="00CE1779">
        <w:t xml:space="preserve">uses single observations for incarceration rates for 148 countries from Walmsley’s 1999 </w:t>
      </w:r>
      <w:r w:rsidR="00CE1779" w:rsidRPr="00CE1779">
        <w:rPr>
          <w:i/>
        </w:rPr>
        <w:t>World Prison Population Lists</w:t>
      </w:r>
      <w:r w:rsidR="00CE1779" w:rsidRPr="00CE1779">
        <w:t xml:space="preserve"> for years 1994-1998</w:t>
      </w:r>
      <w:r w:rsidR="00CE1779">
        <w:t xml:space="preserve">, and </w:t>
      </w:r>
      <w:r>
        <w:t xml:space="preserve">uses the Gini index for 125 countries from 1986-1996, and finds while inequality produces a positive coefficient, it was not statistically significant. </w:t>
      </w:r>
      <w:r w:rsidR="00CE1779" w:rsidRPr="00CE1779">
        <w:t>His evaluation finds a positive relationship between homicide rates and incarceration rates</w:t>
      </w:r>
      <w:r w:rsidR="00CE1779">
        <w:t>.</w:t>
      </w:r>
      <w:r w:rsidR="00CE1779" w:rsidRPr="00CE1779">
        <w:t xml:space="preserve"> </w:t>
      </w:r>
      <w:r w:rsidR="00D35EA4">
        <w:t xml:space="preserve">Neapolitan </w:t>
      </w:r>
      <w:r w:rsidR="00CE1779">
        <w:t xml:space="preserve">(2001) </w:t>
      </w:r>
      <w:r w:rsidR="00D35EA4">
        <w:t xml:space="preserve">limits the number of countries in his study due to the limited coverage for his explanatory variables. </w:t>
      </w:r>
    </w:p>
    <w:p w:rsidR="000C1BD6" w:rsidRDefault="000C1BD6" w:rsidP="000C1BD6">
      <w:pPr>
        <w:spacing w:line="480" w:lineRule="auto"/>
        <w:ind w:firstLine="720"/>
        <w:contextualSpacing/>
      </w:pPr>
      <w:r>
        <w:t xml:space="preserve">Examining the impact of corporatist and federalist policies within progressive democracies, Jacobs and Kleban (2003) use a sample of 13 countries from 1970-1995. In their analysis, Jacobs and Kleban (2003) note inequality does not produce a significant result. Another study in which </w:t>
      </w:r>
      <w:r w:rsidRPr="00525FCF">
        <w:rPr>
          <w:noProof/>
        </w:rPr>
        <w:t>inequality</w:t>
      </w:r>
      <w:r>
        <w:t xml:space="preserve"> fails to produce a significant result is Ruddell (2005), in which he examines 100 wealthy countries in the early 2000s.  </w:t>
      </w:r>
    </w:p>
    <w:p w:rsidR="000A5C05" w:rsidRDefault="000C1BD6" w:rsidP="000A5C05">
      <w:pPr>
        <w:spacing w:line="480" w:lineRule="auto"/>
        <w:ind w:firstLine="720"/>
        <w:contextualSpacing/>
      </w:pPr>
      <w:r>
        <w:t xml:space="preserve">Many of the above studies use smaller sample sizes due to the availability, or lack thereof, of sufficient data with which to run analyses (Killias 1986; Krus and Hoehl 1994). </w:t>
      </w:r>
      <w:r w:rsidRPr="00525FCF">
        <w:rPr>
          <w:noProof/>
        </w:rPr>
        <w:t xml:space="preserve">Alternatively, some researchers examine developed countries (Jacobs and Kleban 2003; Wilkinson and Pickett 2007; Lappi-Seppälä 2008; Van Kesteren 2009; Miller 2011),  </w:t>
      </w:r>
      <w:r w:rsidR="00951ABC" w:rsidRPr="00525FCF">
        <w:rPr>
          <w:noProof/>
        </w:rPr>
        <w:t xml:space="preserve">and </w:t>
      </w:r>
      <w:r w:rsidRPr="00525FCF">
        <w:rPr>
          <w:noProof/>
        </w:rPr>
        <w:t xml:space="preserve">regional neighbors (Wilkins and Pease 1987; DeMichele 2013 ) for evaluation, while a few studies use more extensive samples (Neapolitan 2001; Ruddell </w:t>
      </w:r>
      <w:r w:rsidRPr="00525FCF">
        <w:rPr>
          <w:noProof/>
        </w:rPr>
        <w:lastRenderedPageBreak/>
        <w:t>2005; Lappi-Seppälä 2008; Lappi-Seppälä 2010).</w:t>
      </w:r>
      <w:r w:rsidR="00AB2F17">
        <w:t xml:space="preserve"> In these </w:t>
      </w:r>
      <w:r w:rsidR="00525FCF">
        <w:rPr>
          <w:noProof/>
        </w:rPr>
        <w:t>larger</w:t>
      </w:r>
      <w:r w:rsidR="00AB2F17">
        <w:t xml:space="preserve"> </w:t>
      </w:r>
      <w:r w:rsidR="00AB2F17" w:rsidRPr="00525FCF">
        <w:rPr>
          <w:noProof/>
        </w:rPr>
        <w:t>samples</w:t>
      </w:r>
      <w:r w:rsidR="00AB2F17">
        <w:t xml:space="preserve">, inequality </w:t>
      </w:r>
      <w:r w:rsidR="00AB2F17" w:rsidRPr="00525FCF">
        <w:rPr>
          <w:noProof/>
        </w:rPr>
        <w:t>generally</w:t>
      </w:r>
      <w:r w:rsidR="00AB2F17">
        <w:t xml:space="preserve"> fails to attain significance. </w:t>
      </w:r>
    </w:p>
    <w:p w:rsidR="00D35EA4" w:rsidRDefault="00CE1779" w:rsidP="00D35EA4">
      <w:pPr>
        <w:spacing w:line="480" w:lineRule="auto"/>
        <w:ind w:firstLine="720"/>
        <w:contextualSpacing/>
      </w:pPr>
      <w:r>
        <w:t>The current</w:t>
      </w:r>
      <w:r w:rsidR="000A5C05">
        <w:t xml:space="preserve"> study tests the relationship between income inequality and incarceration rates, </w:t>
      </w:r>
      <w:r>
        <w:t xml:space="preserve">and controls for </w:t>
      </w:r>
      <w:r w:rsidR="000A5C05">
        <w:t>homicide rates</w:t>
      </w:r>
      <w:r>
        <w:t xml:space="preserve"> and </w:t>
      </w:r>
      <w:r w:rsidR="000A5C05">
        <w:t xml:space="preserve">drug offense rates for 77 countries from 1994-2008, net of other variables. </w:t>
      </w:r>
      <w:r w:rsidR="00525FCF">
        <w:t xml:space="preserve">Controlling for drug offense rates, while reducing the sample size, provides insight into the importance of the allocation of resources for less serious offenses. </w:t>
      </w:r>
      <w:r w:rsidR="00D35EA4">
        <w:t xml:space="preserve">Additionally, I examine the influence of world-systems position on incarceration rates </w:t>
      </w:r>
      <w:r w:rsidR="00D35EA4" w:rsidRPr="00BC59A1">
        <w:rPr>
          <w:noProof/>
        </w:rPr>
        <w:t>and</w:t>
      </w:r>
      <w:r w:rsidR="00D35EA4">
        <w:t xml:space="preserve"> the other variables listed as predictor and control variables. </w:t>
      </w:r>
    </w:p>
    <w:p w:rsidR="00D35EA4" w:rsidRDefault="00D35EA4" w:rsidP="00D35EA4">
      <w:pPr>
        <w:spacing w:line="480" w:lineRule="auto"/>
        <w:ind w:firstLine="720"/>
        <w:contextualSpacing/>
      </w:pPr>
      <w:r>
        <w:t xml:space="preserve">As Neapolitan (2001) notes, the addition of variables in international studies limits the number of countries available for analysis due to the lack of full coverage for all countries of interest for all variables of interest. Specifically, when I add my drug offense variable, I lose many countries for which I have other variables. </w:t>
      </w:r>
      <w:r w:rsidR="00BC59A1">
        <w:rPr>
          <w:noProof/>
        </w:rPr>
        <w:t>However,</w:t>
      </w:r>
      <w:r w:rsidRPr="00BC59A1">
        <w:rPr>
          <w:noProof/>
        </w:rPr>
        <w:t xml:space="preserve"> examining</w:t>
      </w:r>
      <w:r>
        <w:t xml:space="preserve"> the influence of drug offense rates on incarceration rates provides insight into countries’ discretionary prosecutorial patterns. </w:t>
      </w:r>
    </w:p>
    <w:p w:rsidR="00D35EA4" w:rsidRPr="000A5C05" w:rsidRDefault="00D35EA4" w:rsidP="00D35EA4">
      <w:pPr>
        <w:spacing w:line="480" w:lineRule="auto"/>
        <w:ind w:firstLine="720"/>
        <w:contextualSpacing/>
      </w:pPr>
      <w:r>
        <w:t xml:space="preserve">My sample of 77 countries has at least </w:t>
      </w:r>
      <w:r w:rsidR="00525FCF" w:rsidRPr="00525FCF">
        <w:rPr>
          <w:noProof/>
        </w:rPr>
        <w:t>4</w:t>
      </w:r>
      <w:r>
        <w:t xml:space="preserve"> countries from each of the </w:t>
      </w:r>
      <w:r w:rsidRPr="00525FCF">
        <w:rPr>
          <w:noProof/>
        </w:rPr>
        <w:t>6</w:t>
      </w:r>
      <w:r>
        <w:t xml:space="preserve"> regions of the world. These 77 countries also consist of 18 countries from the periphery, 19 from the semiperiphery, and 40 from the core. </w:t>
      </w:r>
    </w:p>
    <w:p w:rsidR="00CE1779" w:rsidRDefault="003B6046" w:rsidP="00CE1779">
      <w:pPr>
        <w:spacing w:line="480" w:lineRule="auto"/>
        <w:contextualSpacing/>
      </w:pPr>
      <w:r>
        <w:tab/>
        <w:t>See Table 1</w:t>
      </w:r>
      <w:r w:rsidR="00226B08">
        <w:t xml:space="preserve"> below for a synopsis of the above-listed research with findings as they relate to the listed study. </w:t>
      </w:r>
    </w:p>
    <w:p w:rsidR="00CE1779" w:rsidRDefault="00CE1779">
      <w:r>
        <w:br w:type="page"/>
      </w:r>
    </w:p>
    <w:p w:rsidR="00264315" w:rsidRDefault="00951ABC" w:rsidP="00264315">
      <w:pPr>
        <w:spacing w:line="240" w:lineRule="auto"/>
        <w:contextualSpacing/>
      </w:pPr>
      <w:r>
        <w:lastRenderedPageBreak/>
        <w:t>T</w:t>
      </w:r>
      <w:r w:rsidR="003B6046">
        <w:t>able 1.</w:t>
      </w:r>
      <w:r w:rsidR="00264315">
        <w:t xml:space="preserve"> </w:t>
      </w:r>
      <w:r w:rsidR="00264315" w:rsidRPr="00264315">
        <w:t>Studies of Income Inequality and Incarceration.</w:t>
      </w:r>
    </w:p>
    <w:tbl>
      <w:tblPr>
        <w:tblStyle w:val="TableGrid"/>
        <w:tblW w:w="0" w:type="auto"/>
        <w:tblLook w:val="04A0" w:firstRow="1" w:lastRow="0" w:firstColumn="1" w:lastColumn="0" w:noHBand="0" w:noVBand="1"/>
      </w:tblPr>
      <w:tblGrid>
        <w:gridCol w:w="1525"/>
        <w:gridCol w:w="1260"/>
        <w:gridCol w:w="1170"/>
        <w:gridCol w:w="4531"/>
      </w:tblGrid>
      <w:tr w:rsidR="00264315" w:rsidTr="00A442A9">
        <w:tc>
          <w:tcPr>
            <w:tcW w:w="1525" w:type="dxa"/>
          </w:tcPr>
          <w:p w:rsidR="00264315" w:rsidRPr="00B4163B" w:rsidRDefault="00264315" w:rsidP="00A442A9">
            <w:pPr>
              <w:rPr>
                <w:sz w:val="18"/>
                <w:szCs w:val="18"/>
              </w:rPr>
            </w:pPr>
            <w:r w:rsidRPr="00B4163B">
              <w:rPr>
                <w:sz w:val="18"/>
                <w:szCs w:val="18"/>
              </w:rPr>
              <w:t>Author(s)</w:t>
            </w:r>
          </w:p>
        </w:tc>
        <w:tc>
          <w:tcPr>
            <w:tcW w:w="1260" w:type="dxa"/>
          </w:tcPr>
          <w:p w:rsidR="00264315" w:rsidRPr="00B4163B" w:rsidRDefault="00264315" w:rsidP="00A442A9">
            <w:pPr>
              <w:rPr>
                <w:sz w:val="18"/>
                <w:szCs w:val="18"/>
              </w:rPr>
            </w:pPr>
            <w:r w:rsidRPr="00B4163B">
              <w:rPr>
                <w:sz w:val="18"/>
                <w:szCs w:val="18"/>
              </w:rPr>
              <w:t>Sample</w:t>
            </w:r>
          </w:p>
        </w:tc>
        <w:tc>
          <w:tcPr>
            <w:tcW w:w="1170" w:type="dxa"/>
          </w:tcPr>
          <w:p w:rsidR="00264315" w:rsidRPr="00B4163B" w:rsidRDefault="00264315" w:rsidP="00A442A9">
            <w:pPr>
              <w:rPr>
                <w:sz w:val="18"/>
                <w:szCs w:val="18"/>
              </w:rPr>
            </w:pPr>
            <w:r w:rsidRPr="00B4163B">
              <w:rPr>
                <w:sz w:val="18"/>
                <w:szCs w:val="18"/>
              </w:rPr>
              <w:t>Period</w:t>
            </w:r>
          </w:p>
        </w:tc>
        <w:tc>
          <w:tcPr>
            <w:tcW w:w="4531" w:type="dxa"/>
          </w:tcPr>
          <w:p w:rsidR="00264315" w:rsidRPr="00B4163B" w:rsidRDefault="00264315" w:rsidP="00A442A9">
            <w:pPr>
              <w:rPr>
                <w:sz w:val="18"/>
                <w:szCs w:val="18"/>
              </w:rPr>
            </w:pPr>
            <w:r w:rsidRPr="00B4163B">
              <w:rPr>
                <w:sz w:val="18"/>
                <w:szCs w:val="18"/>
              </w:rPr>
              <w:t>Findings</w:t>
            </w:r>
          </w:p>
        </w:tc>
      </w:tr>
      <w:tr w:rsidR="00264315" w:rsidTr="00A442A9">
        <w:tc>
          <w:tcPr>
            <w:tcW w:w="1525" w:type="dxa"/>
          </w:tcPr>
          <w:p w:rsidR="00264315" w:rsidRPr="00B4163B" w:rsidRDefault="00264315" w:rsidP="00A442A9">
            <w:pPr>
              <w:rPr>
                <w:sz w:val="18"/>
                <w:szCs w:val="18"/>
              </w:rPr>
            </w:pPr>
            <w:r w:rsidRPr="00B4163B">
              <w:rPr>
                <w:sz w:val="18"/>
                <w:szCs w:val="18"/>
              </w:rPr>
              <w:t>Killias (1986)</w:t>
            </w:r>
          </w:p>
        </w:tc>
        <w:tc>
          <w:tcPr>
            <w:tcW w:w="1260" w:type="dxa"/>
          </w:tcPr>
          <w:p w:rsidR="00264315" w:rsidRPr="00B4163B" w:rsidRDefault="00264315" w:rsidP="00A442A9">
            <w:pPr>
              <w:rPr>
                <w:sz w:val="18"/>
                <w:szCs w:val="18"/>
              </w:rPr>
            </w:pPr>
            <w:r w:rsidRPr="00B4163B">
              <w:rPr>
                <w:sz w:val="18"/>
                <w:szCs w:val="18"/>
              </w:rPr>
              <w:t>55 countries</w:t>
            </w:r>
          </w:p>
        </w:tc>
        <w:tc>
          <w:tcPr>
            <w:tcW w:w="1170" w:type="dxa"/>
          </w:tcPr>
          <w:p w:rsidR="00264315" w:rsidRPr="00B4163B" w:rsidRDefault="00264315" w:rsidP="00A442A9">
            <w:pPr>
              <w:rPr>
                <w:sz w:val="18"/>
                <w:szCs w:val="18"/>
              </w:rPr>
            </w:pPr>
            <w:r w:rsidRPr="00B4163B">
              <w:rPr>
                <w:sz w:val="18"/>
                <w:szCs w:val="18"/>
              </w:rPr>
              <w:t>1972-1975</w:t>
            </w:r>
          </w:p>
        </w:tc>
        <w:tc>
          <w:tcPr>
            <w:tcW w:w="4531" w:type="dxa"/>
          </w:tcPr>
          <w:p w:rsidR="00264315" w:rsidRPr="00B4163B" w:rsidRDefault="00264315" w:rsidP="00A442A9">
            <w:pPr>
              <w:rPr>
                <w:sz w:val="18"/>
                <w:szCs w:val="18"/>
              </w:rPr>
            </w:pPr>
            <w:r w:rsidRPr="00B4163B">
              <w:rPr>
                <w:sz w:val="18"/>
                <w:szCs w:val="18"/>
              </w:rPr>
              <w:t xml:space="preserve">Unemployment rates and inequality explain a substantial amount of the variation in incarceration. Relationship with crime </w:t>
            </w:r>
            <w:r w:rsidRPr="00525FCF">
              <w:rPr>
                <w:noProof/>
                <w:sz w:val="18"/>
                <w:szCs w:val="18"/>
              </w:rPr>
              <w:t>rates</w:t>
            </w:r>
            <w:r w:rsidRPr="00B4163B">
              <w:rPr>
                <w:sz w:val="18"/>
                <w:szCs w:val="18"/>
              </w:rPr>
              <w:t xml:space="preserve"> tenuous.</w:t>
            </w:r>
          </w:p>
        </w:tc>
      </w:tr>
      <w:tr w:rsidR="00264315" w:rsidTr="00A442A9">
        <w:tc>
          <w:tcPr>
            <w:tcW w:w="1525" w:type="dxa"/>
            <w:shd w:val="clear" w:color="auto" w:fill="E7E6E6" w:themeFill="background2"/>
          </w:tcPr>
          <w:p w:rsidR="00264315" w:rsidRPr="00B4163B" w:rsidRDefault="00264315" w:rsidP="00A442A9">
            <w:pPr>
              <w:rPr>
                <w:sz w:val="18"/>
                <w:szCs w:val="18"/>
              </w:rPr>
            </w:pPr>
            <w:r w:rsidRPr="00B4163B">
              <w:rPr>
                <w:sz w:val="18"/>
                <w:szCs w:val="18"/>
              </w:rPr>
              <w:t>Wilkins &amp; Pease (1987)</w:t>
            </w:r>
          </w:p>
        </w:tc>
        <w:tc>
          <w:tcPr>
            <w:tcW w:w="1260" w:type="dxa"/>
            <w:shd w:val="clear" w:color="auto" w:fill="E7E6E6" w:themeFill="background2"/>
          </w:tcPr>
          <w:p w:rsidR="00264315" w:rsidRPr="00B4163B" w:rsidRDefault="00264315" w:rsidP="00A442A9">
            <w:pPr>
              <w:rPr>
                <w:sz w:val="18"/>
                <w:szCs w:val="18"/>
              </w:rPr>
            </w:pPr>
            <w:r w:rsidRPr="00B4163B">
              <w:rPr>
                <w:sz w:val="18"/>
                <w:szCs w:val="18"/>
              </w:rPr>
              <w:t>6 European countries</w:t>
            </w:r>
          </w:p>
        </w:tc>
        <w:tc>
          <w:tcPr>
            <w:tcW w:w="1170" w:type="dxa"/>
            <w:shd w:val="clear" w:color="auto" w:fill="E7E6E6" w:themeFill="background2"/>
          </w:tcPr>
          <w:p w:rsidR="00264315" w:rsidRPr="00B4163B" w:rsidRDefault="00264315" w:rsidP="00A442A9">
            <w:pPr>
              <w:rPr>
                <w:sz w:val="18"/>
                <w:szCs w:val="18"/>
              </w:rPr>
            </w:pPr>
            <w:r w:rsidRPr="00B4163B">
              <w:rPr>
                <w:sz w:val="18"/>
                <w:szCs w:val="18"/>
              </w:rPr>
              <w:t>1970s-1980s</w:t>
            </w:r>
          </w:p>
        </w:tc>
        <w:tc>
          <w:tcPr>
            <w:tcW w:w="4531" w:type="dxa"/>
            <w:shd w:val="clear" w:color="auto" w:fill="E7E6E6" w:themeFill="background2"/>
          </w:tcPr>
          <w:p w:rsidR="00264315" w:rsidRPr="00B4163B" w:rsidRDefault="00264315" w:rsidP="00A442A9">
            <w:pPr>
              <w:rPr>
                <w:sz w:val="18"/>
                <w:szCs w:val="18"/>
              </w:rPr>
            </w:pPr>
            <w:r w:rsidRPr="00B4163B">
              <w:rPr>
                <w:sz w:val="18"/>
                <w:szCs w:val="18"/>
              </w:rPr>
              <w:t>Relative extreme wealth associated with</w:t>
            </w:r>
            <w:r w:rsidR="00525FCF">
              <w:rPr>
                <w:sz w:val="18"/>
                <w:szCs w:val="18"/>
              </w:rPr>
              <w:t xml:space="preserve"> the</w:t>
            </w:r>
            <w:r w:rsidRPr="00B4163B">
              <w:rPr>
                <w:sz w:val="18"/>
                <w:szCs w:val="18"/>
              </w:rPr>
              <w:t xml:space="preserve"> </w:t>
            </w:r>
            <w:r w:rsidRPr="00525FCF">
              <w:rPr>
                <w:noProof/>
                <w:sz w:val="18"/>
                <w:szCs w:val="18"/>
              </w:rPr>
              <w:t>strongest</w:t>
            </w:r>
            <w:r w:rsidRPr="00B4163B">
              <w:rPr>
                <w:sz w:val="18"/>
                <w:szCs w:val="18"/>
              </w:rPr>
              <w:t xml:space="preserve"> correlation. Noted that in England and Wales reductions in crime did not result in lower incarceration.</w:t>
            </w:r>
          </w:p>
        </w:tc>
      </w:tr>
      <w:tr w:rsidR="00264315" w:rsidTr="00A442A9">
        <w:tc>
          <w:tcPr>
            <w:tcW w:w="1525" w:type="dxa"/>
          </w:tcPr>
          <w:p w:rsidR="00264315" w:rsidRPr="00B4163B" w:rsidRDefault="00264315" w:rsidP="00A442A9">
            <w:pPr>
              <w:rPr>
                <w:sz w:val="18"/>
                <w:szCs w:val="18"/>
              </w:rPr>
            </w:pPr>
            <w:r w:rsidRPr="00B4163B">
              <w:rPr>
                <w:sz w:val="18"/>
                <w:szCs w:val="18"/>
              </w:rPr>
              <w:t>Krus &amp; Hoehl (1994)</w:t>
            </w:r>
          </w:p>
        </w:tc>
        <w:tc>
          <w:tcPr>
            <w:tcW w:w="1260" w:type="dxa"/>
          </w:tcPr>
          <w:p w:rsidR="00264315" w:rsidRPr="00B4163B" w:rsidRDefault="00264315" w:rsidP="00A442A9">
            <w:pPr>
              <w:rPr>
                <w:sz w:val="18"/>
                <w:szCs w:val="18"/>
              </w:rPr>
            </w:pPr>
            <w:r w:rsidRPr="00B4163B">
              <w:rPr>
                <w:sz w:val="18"/>
                <w:szCs w:val="18"/>
              </w:rPr>
              <w:t>30 countries</w:t>
            </w:r>
          </w:p>
        </w:tc>
        <w:tc>
          <w:tcPr>
            <w:tcW w:w="1170" w:type="dxa"/>
          </w:tcPr>
          <w:p w:rsidR="00264315" w:rsidRPr="00B4163B" w:rsidRDefault="00264315" w:rsidP="00A442A9">
            <w:pPr>
              <w:rPr>
                <w:sz w:val="18"/>
                <w:szCs w:val="18"/>
              </w:rPr>
            </w:pPr>
            <w:r w:rsidRPr="00B4163B">
              <w:rPr>
                <w:sz w:val="18"/>
                <w:szCs w:val="18"/>
              </w:rPr>
              <w:t>1989-1991</w:t>
            </w:r>
          </w:p>
        </w:tc>
        <w:tc>
          <w:tcPr>
            <w:tcW w:w="4531" w:type="dxa"/>
          </w:tcPr>
          <w:p w:rsidR="00264315" w:rsidRPr="00B4163B" w:rsidRDefault="00264315" w:rsidP="00A442A9">
            <w:pPr>
              <w:rPr>
                <w:sz w:val="18"/>
                <w:szCs w:val="18"/>
              </w:rPr>
            </w:pPr>
            <w:r w:rsidRPr="00B4163B">
              <w:rPr>
                <w:sz w:val="18"/>
                <w:szCs w:val="18"/>
              </w:rPr>
              <w:t xml:space="preserve">Unequal distribution of wealth demonstrated the strongest correlation with incarceration rates. Family disintegration produced the next </w:t>
            </w:r>
            <w:r w:rsidRPr="00525FCF">
              <w:rPr>
                <w:noProof/>
                <w:sz w:val="18"/>
                <w:szCs w:val="18"/>
              </w:rPr>
              <w:t>strongest</w:t>
            </w:r>
            <w:r w:rsidRPr="00B4163B">
              <w:rPr>
                <w:sz w:val="18"/>
                <w:szCs w:val="18"/>
              </w:rPr>
              <w:t xml:space="preserve"> correlation.</w:t>
            </w:r>
          </w:p>
        </w:tc>
      </w:tr>
      <w:tr w:rsidR="00264315" w:rsidTr="00A442A9">
        <w:tc>
          <w:tcPr>
            <w:tcW w:w="1525" w:type="dxa"/>
            <w:shd w:val="clear" w:color="auto" w:fill="E7E6E6" w:themeFill="background2"/>
          </w:tcPr>
          <w:p w:rsidR="00264315" w:rsidRPr="00B4163B" w:rsidRDefault="00264315" w:rsidP="00A442A9">
            <w:pPr>
              <w:rPr>
                <w:sz w:val="18"/>
                <w:szCs w:val="18"/>
              </w:rPr>
            </w:pPr>
            <w:r w:rsidRPr="00B4163B">
              <w:rPr>
                <w:sz w:val="18"/>
                <w:szCs w:val="18"/>
              </w:rPr>
              <w:t>Neapolitan (2001)</w:t>
            </w:r>
          </w:p>
        </w:tc>
        <w:tc>
          <w:tcPr>
            <w:tcW w:w="1260" w:type="dxa"/>
            <w:shd w:val="clear" w:color="auto" w:fill="E7E6E6" w:themeFill="background2"/>
          </w:tcPr>
          <w:p w:rsidR="00264315" w:rsidRPr="00B4163B" w:rsidRDefault="00264315" w:rsidP="00A442A9">
            <w:pPr>
              <w:rPr>
                <w:sz w:val="18"/>
                <w:szCs w:val="18"/>
              </w:rPr>
            </w:pPr>
            <w:r w:rsidRPr="00B4163B">
              <w:rPr>
                <w:sz w:val="18"/>
                <w:szCs w:val="18"/>
              </w:rPr>
              <w:t>148 countries</w:t>
            </w:r>
          </w:p>
        </w:tc>
        <w:tc>
          <w:tcPr>
            <w:tcW w:w="1170" w:type="dxa"/>
            <w:shd w:val="clear" w:color="auto" w:fill="E7E6E6" w:themeFill="background2"/>
          </w:tcPr>
          <w:p w:rsidR="00264315" w:rsidRPr="00B4163B" w:rsidRDefault="00264315" w:rsidP="00A442A9">
            <w:pPr>
              <w:rPr>
                <w:sz w:val="18"/>
                <w:szCs w:val="18"/>
              </w:rPr>
            </w:pPr>
            <w:r w:rsidRPr="00B4163B">
              <w:rPr>
                <w:sz w:val="18"/>
                <w:szCs w:val="18"/>
              </w:rPr>
              <w:t>1994-1998</w:t>
            </w:r>
          </w:p>
        </w:tc>
        <w:tc>
          <w:tcPr>
            <w:tcW w:w="4531" w:type="dxa"/>
            <w:shd w:val="clear" w:color="auto" w:fill="E7E6E6" w:themeFill="background2"/>
          </w:tcPr>
          <w:p w:rsidR="00264315" w:rsidRPr="00B4163B" w:rsidRDefault="00264315" w:rsidP="00A442A9">
            <w:pPr>
              <w:rPr>
                <w:sz w:val="18"/>
                <w:szCs w:val="18"/>
              </w:rPr>
            </w:pPr>
            <w:r w:rsidRPr="00B4163B">
              <w:rPr>
                <w:sz w:val="18"/>
                <w:szCs w:val="18"/>
              </w:rPr>
              <w:t xml:space="preserve">Lack of significance for civilization, inequality, or unemployment as explanatory variables. Significance </w:t>
            </w:r>
            <w:r w:rsidRPr="00525FCF">
              <w:rPr>
                <w:noProof/>
                <w:sz w:val="18"/>
                <w:szCs w:val="18"/>
              </w:rPr>
              <w:t>was demonstrated</w:t>
            </w:r>
            <w:r w:rsidRPr="00B4163B">
              <w:rPr>
                <w:sz w:val="18"/>
                <w:szCs w:val="18"/>
              </w:rPr>
              <w:t xml:space="preserve"> for homicide rates and street enforcement with the addition of regional dummy variables.</w:t>
            </w:r>
          </w:p>
        </w:tc>
      </w:tr>
      <w:tr w:rsidR="00264315" w:rsidTr="00A442A9">
        <w:tc>
          <w:tcPr>
            <w:tcW w:w="1525" w:type="dxa"/>
          </w:tcPr>
          <w:p w:rsidR="00264315" w:rsidRPr="00B4163B" w:rsidRDefault="00264315" w:rsidP="00A442A9">
            <w:pPr>
              <w:rPr>
                <w:sz w:val="18"/>
                <w:szCs w:val="18"/>
              </w:rPr>
            </w:pPr>
            <w:r w:rsidRPr="00B4163B">
              <w:rPr>
                <w:sz w:val="18"/>
                <w:szCs w:val="18"/>
              </w:rPr>
              <w:t>Jacobs &amp; Kleban (2003)</w:t>
            </w:r>
          </w:p>
        </w:tc>
        <w:tc>
          <w:tcPr>
            <w:tcW w:w="1260" w:type="dxa"/>
          </w:tcPr>
          <w:p w:rsidR="00264315" w:rsidRPr="00B4163B" w:rsidRDefault="00264315" w:rsidP="00A442A9">
            <w:pPr>
              <w:rPr>
                <w:sz w:val="18"/>
                <w:szCs w:val="18"/>
              </w:rPr>
            </w:pPr>
            <w:r w:rsidRPr="00B4163B">
              <w:rPr>
                <w:sz w:val="18"/>
                <w:szCs w:val="18"/>
              </w:rPr>
              <w:t>13 countries</w:t>
            </w:r>
          </w:p>
          <w:p w:rsidR="00264315" w:rsidRPr="00B4163B" w:rsidRDefault="00264315" w:rsidP="00A442A9">
            <w:pPr>
              <w:rPr>
                <w:sz w:val="18"/>
                <w:szCs w:val="18"/>
              </w:rPr>
            </w:pPr>
            <w:r w:rsidRPr="00B4163B">
              <w:rPr>
                <w:sz w:val="18"/>
                <w:szCs w:val="18"/>
              </w:rPr>
              <w:t>(progressive democracies)</w:t>
            </w:r>
          </w:p>
        </w:tc>
        <w:tc>
          <w:tcPr>
            <w:tcW w:w="1170" w:type="dxa"/>
          </w:tcPr>
          <w:p w:rsidR="00264315" w:rsidRPr="00B4163B" w:rsidRDefault="00264315" w:rsidP="00A442A9">
            <w:pPr>
              <w:rPr>
                <w:sz w:val="18"/>
                <w:szCs w:val="18"/>
              </w:rPr>
            </w:pPr>
            <w:r w:rsidRPr="00B4163B">
              <w:rPr>
                <w:sz w:val="18"/>
                <w:szCs w:val="18"/>
              </w:rPr>
              <w:t>1970-1995</w:t>
            </w:r>
          </w:p>
        </w:tc>
        <w:tc>
          <w:tcPr>
            <w:tcW w:w="4531" w:type="dxa"/>
          </w:tcPr>
          <w:p w:rsidR="00264315" w:rsidRPr="00B4163B" w:rsidRDefault="00264315" w:rsidP="00A442A9">
            <w:pPr>
              <w:rPr>
                <w:sz w:val="18"/>
                <w:szCs w:val="18"/>
              </w:rPr>
            </w:pPr>
            <w:r w:rsidRPr="00B4163B">
              <w:rPr>
                <w:sz w:val="18"/>
                <w:szCs w:val="18"/>
              </w:rPr>
              <w:t xml:space="preserve">Differences in type of </w:t>
            </w:r>
            <w:r w:rsidRPr="00525FCF">
              <w:rPr>
                <w:noProof/>
                <w:sz w:val="18"/>
                <w:szCs w:val="18"/>
              </w:rPr>
              <w:t>democracy</w:t>
            </w:r>
            <w:r w:rsidRPr="00B4163B">
              <w:rPr>
                <w:sz w:val="18"/>
                <w:szCs w:val="18"/>
              </w:rPr>
              <w:t xml:space="preserve"> (corporatist v. federalist) and internal ethnic threat impact incarceration rates. Homicide rate and percent minority, GDPPC, and percent minority are significant control variables, while inequality is not.</w:t>
            </w:r>
          </w:p>
        </w:tc>
      </w:tr>
      <w:tr w:rsidR="00264315" w:rsidTr="00A442A9">
        <w:tc>
          <w:tcPr>
            <w:tcW w:w="1525" w:type="dxa"/>
            <w:shd w:val="clear" w:color="auto" w:fill="E7E6E6" w:themeFill="background2"/>
          </w:tcPr>
          <w:p w:rsidR="00264315" w:rsidRPr="00B4163B" w:rsidRDefault="00264315" w:rsidP="00A442A9">
            <w:pPr>
              <w:rPr>
                <w:sz w:val="18"/>
                <w:szCs w:val="18"/>
              </w:rPr>
            </w:pPr>
            <w:r w:rsidRPr="00B4163B">
              <w:rPr>
                <w:sz w:val="18"/>
                <w:szCs w:val="18"/>
              </w:rPr>
              <w:t>Ruddell (2005)</w:t>
            </w:r>
          </w:p>
        </w:tc>
        <w:tc>
          <w:tcPr>
            <w:tcW w:w="1260" w:type="dxa"/>
            <w:shd w:val="clear" w:color="auto" w:fill="E7E6E6" w:themeFill="background2"/>
          </w:tcPr>
          <w:p w:rsidR="00264315" w:rsidRPr="00B4163B" w:rsidRDefault="00264315" w:rsidP="00A442A9">
            <w:pPr>
              <w:rPr>
                <w:sz w:val="18"/>
                <w:szCs w:val="18"/>
              </w:rPr>
            </w:pPr>
            <w:r w:rsidRPr="00B4163B">
              <w:rPr>
                <w:sz w:val="18"/>
                <w:szCs w:val="18"/>
              </w:rPr>
              <w:t>100 countries</w:t>
            </w:r>
          </w:p>
        </w:tc>
        <w:tc>
          <w:tcPr>
            <w:tcW w:w="1170" w:type="dxa"/>
            <w:shd w:val="clear" w:color="auto" w:fill="E7E6E6" w:themeFill="background2"/>
          </w:tcPr>
          <w:p w:rsidR="00264315" w:rsidRPr="00B4163B" w:rsidRDefault="00264315" w:rsidP="00A442A9">
            <w:pPr>
              <w:rPr>
                <w:sz w:val="18"/>
                <w:szCs w:val="18"/>
              </w:rPr>
            </w:pPr>
            <w:r w:rsidRPr="00B4163B">
              <w:rPr>
                <w:sz w:val="18"/>
                <w:szCs w:val="18"/>
              </w:rPr>
              <w:t>2000-2001</w:t>
            </w:r>
          </w:p>
        </w:tc>
        <w:tc>
          <w:tcPr>
            <w:tcW w:w="4531" w:type="dxa"/>
            <w:shd w:val="clear" w:color="auto" w:fill="E7E6E6" w:themeFill="background2"/>
          </w:tcPr>
          <w:p w:rsidR="00264315" w:rsidRPr="00B4163B" w:rsidRDefault="00264315" w:rsidP="00A442A9">
            <w:pPr>
              <w:rPr>
                <w:sz w:val="18"/>
                <w:szCs w:val="18"/>
              </w:rPr>
            </w:pPr>
            <w:r w:rsidRPr="00B4163B">
              <w:rPr>
                <w:sz w:val="18"/>
                <w:szCs w:val="18"/>
              </w:rPr>
              <w:t xml:space="preserve">Higher incarceration rates </w:t>
            </w:r>
            <w:r w:rsidRPr="00525FCF">
              <w:rPr>
                <w:noProof/>
                <w:sz w:val="18"/>
                <w:szCs w:val="18"/>
              </w:rPr>
              <w:t>were associated</w:t>
            </w:r>
            <w:r w:rsidRPr="00B4163B">
              <w:rPr>
                <w:sz w:val="18"/>
                <w:szCs w:val="18"/>
              </w:rPr>
              <w:t xml:space="preserve"> with homicides, common law, retaining capital punishment, and independence.</w:t>
            </w:r>
          </w:p>
        </w:tc>
      </w:tr>
      <w:tr w:rsidR="00264315" w:rsidTr="00A442A9">
        <w:tc>
          <w:tcPr>
            <w:tcW w:w="1525" w:type="dxa"/>
          </w:tcPr>
          <w:p w:rsidR="00264315" w:rsidRPr="00B4163B" w:rsidRDefault="00264315" w:rsidP="00A442A9">
            <w:pPr>
              <w:rPr>
                <w:sz w:val="18"/>
                <w:szCs w:val="18"/>
              </w:rPr>
            </w:pPr>
            <w:r w:rsidRPr="00B4163B">
              <w:rPr>
                <w:sz w:val="18"/>
                <w:szCs w:val="18"/>
              </w:rPr>
              <w:t>Wilkinson &amp; Pickett (2007)</w:t>
            </w:r>
          </w:p>
        </w:tc>
        <w:tc>
          <w:tcPr>
            <w:tcW w:w="1260" w:type="dxa"/>
          </w:tcPr>
          <w:p w:rsidR="00264315" w:rsidRPr="00B4163B" w:rsidRDefault="00264315" w:rsidP="00A442A9">
            <w:pPr>
              <w:rPr>
                <w:sz w:val="18"/>
                <w:szCs w:val="18"/>
              </w:rPr>
            </w:pPr>
            <w:r w:rsidRPr="00B4163B">
              <w:rPr>
                <w:sz w:val="18"/>
                <w:szCs w:val="18"/>
              </w:rPr>
              <w:t>24 of the 50 richest countries</w:t>
            </w:r>
          </w:p>
        </w:tc>
        <w:tc>
          <w:tcPr>
            <w:tcW w:w="1170" w:type="dxa"/>
          </w:tcPr>
          <w:p w:rsidR="00264315" w:rsidRPr="00B4163B" w:rsidRDefault="00264315" w:rsidP="00A442A9">
            <w:pPr>
              <w:rPr>
                <w:sz w:val="18"/>
                <w:szCs w:val="18"/>
              </w:rPr>
            </w:pPr>
            <w:r w:rsidRPr="00B4163B">
              <w:rPr>
                <w:sz w:val="18"/>
                <w:szCs w:val="18"/>
              </w:rPr>
              <w:t>1992-2002</w:t>
            </w:r>
          </w:p>
        </w:tc>
        <w:tc>
          <w:tcPr>
            <w:tcW w:w="4531" w:type="dxa"/>
          </w:tcPr>
          <w:p w:rsidR="00264315" w:rsidRPr="00B4163B" w:rsidRDefault="00264315" w:rsidP="00A442A9">
            <w:pPr>
              <w:rPr>
                <w:sz w:val="18"/>
                <w:szCs w:val="18"/>
              </w:rPr>
            </w:pPr>
            <w:r w:rsidRPr="00B4163B">
              <w:rPr>
                <w:sz w:val="18"/>
                <w:szCs w:val="18"/>
              </w:rPr>
              <w:t>Correlation between income inequality and proportion of population incarcerated.</w:t>
            </w:r>
          </w:p>
        </w:tc>
      </w:tr>
      <w:tr w:rsidR="00264315" w:rsidTr="00A442A9">
        <w:tc>
          <w:tcPr>
            <w:tcW w:w="1525" w:type="dxa"/>
            <w:shd w:val="clear" w:color="auto" w:fill="E7E6E6" w:themeFill="background2"/>
          </w:tcPr>
          <w:p w:rsidR="00264315" w:rsidRPr="00F93714" w:rsidRDefault="00264315" w:rsidP="00A442A9">
            <w:pPr>
              <w:contextualSpacing/>
              <w:rPr>
                <w:sz w:val="18"/>
                <w:szCs w:val="18"/>
              </w:rPr>
            </w:pPr>
            <w:r w:rsidRPr="00F93714">
              <w:rPr>
                <w:sz w:val="18"/>
                <w:szCs w:val="18"/>
              </w:rPr>
              <w:t>Lappi-Seppälä (2008)</w:t>
            </w:r>
          </w:p>
        </w:tc>
        <w:tc>
          <w:tcPr>
            <w:tcW w:w="1260" w:type="dxa"/>
            <w:shd w:val="clear" w:color="auto" w:fill="E7E6E6" w:themeFill="background2"/>
          </w:tcPr>
          <w:p w:rsidR="00264315" w:rsidRPr="00F93714" w:rsidRDefault="00264315" w:rsidP="00A442A9">
            <w:pPr>
              <w:contextualSpacing/>
              <w:rPr>
                <w:sz w:val="18"/>
                <w:szCs w:val="18"/>
              </w:rPr>
            </w:pPr>
            <w:r w:rsidRPr="00F93714">
              <w:rPr>
                <w:sz w:val="18"/>
                <w:szCs w:val="18"/>
              </w:rPr>
              <w:t>25 countries</w:t>
            </w:r>
          </w:p>
          <w:p w:rsidR="00264315" w:rsidRPr="00F93714" w:rsidRDefault="00264315" w:rsidP="00A442A9">
            <w:pPr>
              <w:contextualSpacing/>
              <w:rPr>
                <w:sz w:val="18"/>
                <w:szCs w:val="18"/>
              </w:rPr>
            </w:pPr>
            <w:r w:rsidRPr="00F93714">
              <w:rPr>
                <w:sz w:val="18"/>
                <w:szCs w:val="18"/>
              </w:rPr>
              <w:t xml:space="preserve">99 countries  </w:t>
            </w:r>
          </w:p>
          <w:p w:rsidR="00264315" w:rsidRPr="00F93714" w:rsidRDefault="00264315" w:rsidP="00A442A9">
            <w:pPr>
              <w:contextualSpacing/>
              <w:rPr>
                <w:sz w:val="18"/>
                <w:szCs w:val="18"/>
              </w:rPr>
            </w:pPr>
          </w:p>
        </w:tc>
        <w:tc>
          <w:tcPr>
            <w:tcW w:w="1170" w:type="dxa"/>
            <w:shd w:val="clear" w:color="auto" w:fill="E7E6E6" w:themeFill="background2"/>
          </w:tcPr>
          <w:p w:rsidR="00264315" w:rsidRPr="00F93714" w:rsidRDefault="00264315" w:rsidP="00A442A9">
            <w:pPr>
              <w:contextualSpacing/>
              <w:rPr>
                <w:sz w:val="18"/>
                <w:szCs w:val="18"/>
              </w:rPr>
            </w:pPr>
            <w:r w:rsidRPr="00F93714">
              <w:rPr>
                <w:sz w:val="18"/>
                <w:szCs w:val="18"/>
              </w:rPr>
              <w:t>1980-05</w:t>
            </w:r>
          </w:p>
          <w:p w:rsidR="00264315" w:rsidRPr="00F93714" w:rsidRDefault="00264315" w:rsidP="00A442A9">
            <w:pPr>
              <w:contextualSpacing/>
              <w:rPr>
                <w:sz w:val="18"/>
                <w:szCs w:val="18"/>
              </w:rPr>
            </w:pPr>
            <w:r w:rsidRPr="00F93714">
              <w:rPr>
                <w:sz w:val="18"/>
                <w:szCs w:val="18"/>
              </w:rPr>
              <w:t>2005</w:t>
            </w:r>
          </w:p>
          <w:p w:rsidR="00264315" w:rsidRPr="00F93714" w:rsidRDefault="00264315" w:rsidP="00A442A9">
            <w:pPr>
              <w:contextualSpacing/>
              <w:rPr>
                <w:sz w:val="18"/>
                <w:szCs w:val="18"/>
              </w:rPr>
            </w:pPr>
          </w:p>
        </w:tc>
        <w:tc>
          <w:tcPr>
            <w:tcW w:w="4531" w:type="dxa"/>
            <w:shd w:val="clear" w:color="auto" w:fill="E7E6E6" w:themeFill="background2"/>
          </w:tcPr>
          <w:p w:rsidR="00264315" w:rsidRPr="00F93714" w:rsidRDefault="00264315" w:rsidP="00A442A9">
            <w:pPr>
              <w:contextualSpacing/>
              <w:rPr>
                <w:sz w:val="18"/>
                <w:szCs w:val="18"/>
              </w:rPr>
            </w:pPr>
            <w:r w:rsidRPr="00F93714">
              <w:rPr>
                <w:sz w:val="18"/>
                <w:szCs w:val="18"/>
              </w:rPr>
              <w:t>Increased income inequality produces greater incarceration, although the results are not significant in his global sample. Crime rates not strongly correlated with incarceration rates.</w:t>
            </w:r>
          </w:p>
        </w:tc>
      </w:tr>
      <w:tr w:rsidR="00264315" w:rsidTr="00A442A9">
        <w:tc>
          <w:tcPr>
            <w:tcW w:w="1525" w:type="dxa"/>
          </w:tcPr>
          <w:p w:rsidR="00264315" w:rsidRPr="00F93714" w:rsidRDefault="00264315" w:rsidP="00A442A9">
            <w:pPr>
              <w:contextualSpacing/>
              <w:rPr>
                <w:sz w:val="18"/>
                <w:szCs w:val="18"/>
              </w:rPr>
            </w:pPr>
            <w:r w:rsidRPr="00F93714">
              <w:rPr>
                <w:sz w:val="18"/>
                <w:szCs w:val="18"/>
              </w:rPr>
              <w:t>Van Kesteren (2009)</w:t>
            </w:r>
          </w:p>
        </w:tc>
        <w:tc>
          <w:tcPr>
            <w:tcW w:w="1260" w:type="dxa"/>
          </w:tcPr>
          <w:p w:rsidR="00264315" w:rsidRPr="00F93714" w:rsidRDefault="00264315" w:rsidP="00A442A9">
            <w:pPr>
              <w:contextualSpacing/>
              <w:rPr>
                <w:sz w:val="18"/>
                <w:szCs w:val="18"/>
              </w:rPr>
            </w:pPr>
            <w:r w:rsidRPr="00F93714">
              <w:rPr>
                <w:sz w:val="18"/>
                <w:szCs w:val="18"/>
              </w:rPr>
              <w:t>23 developed countries</w:t>
            </w:r>
          </w:p>
        </w:tc>
        <w:tc>
          <w:tcPr>
            <w:tcW w:w="1170" w:type="dxa"/>
          </w:tcPr>
          <w:p w:rsidR="00264315" w:rsidRPr="00F93714" w:rsidRDefault="00264315" w:rsidP="00A442A9">
            <w:pPr>
              <w:contextualSpacing/>
              <w:rPr>
                <w:sz w:val="18"/>
                <w:szCs w:val="18"/>
              </w:rPr>
            </w:pPr>
            <w:r w:rsidRPr="00F93714">
              <w:rPr>
                <w:sz w:val="18"/>
                <w:szCs w:val="18"/>
              </w:rPr>
              <w:t>1989-2000</w:t>
            </w:r>
          </w:p>
        </w:tc>
        <w:tc>
          <w:tcPr>
            <w:tcW w:w="4531" w:type="dxa"/>
          </w:tcPr>
          <w:p w:rsidR="00264315" w:rsidRPr="00F93714" w:rsidRDefault="00264315" w:rsidP="00A442A9">
            <w:pPr>
              <w:contextualSpacing/>
              <w:rPr>
                <w:sz w:val="18"/>
                <w:szCs w:val="18"/>
              </w:rPr>
            </w:pPr>
            <w:r w:rsidRPr="00F93714">
              <w:rPr>
                <w:sz w:val="18"/>
                <w:szCs w:val="18"/>
              </w:rPr>
              <w:t>Countries with the greatest inequality have the highest levels of punitiveness. GDPPC and educational attainment unrelated to</w:t>
            </w:r>
            <w:r w:rsidR="00525FCF">
              <w:rPr>
                <w:sz w:val="18"/>
                <w:szCs w:val="18"/>
              </w:rPr>
              <w:t xml:space="preserve"> the</w:t>
            </w:r>
            <w:r w:rsidRPr="00F93714">
              <w:rPr>
                <w:sz w:val="18"/>
                <w:szCs w:val="18"/>
              </w:rPr>
              <w:t xml:space="preserve"> </w:t>
            </w:r>
            <w:r w:rsidRPr="00525FCF">
              <w:rPr>
                <w:noProof/>
                <w:sz w:val="18"/>
                <w:szCs w:val="18"/>
              </w:rPr>
              <w:t>level</w:t>
            </w:r>
            <w:r w:rsidRPr="00F93714">
              <w:rPr>
                <w:sz w:val="18"/>
                <w:szCs w:val="18"/>
              </w:rPr>
              <w:t xml:space="preserve"> of punitiveness.</w:t>
            </w:r>
          </w:p>
        </w:tc>
      </w:tr>
      <w:tr w:rsidR="00264315" w:rsidTr="00A442A9">
        <w:tc>
          <w:tcPr>
            <w:tcW w:w="1525" w:type="dxa"/>
            <w:shd w:val="clear" w:color="auto" w:fill="E7E6E6" w:themeFill="background2"/>
          </w:tcPr>
          <w:p w:rsidR="00264315" w:rsidRPr="00F93714" w:rsidRDefault="00264315" w:rsidP="00A442A9">
            <w:pPr>
              <w:contextualSpacing/>
              <w:rPr>
                <w:sz w:val="18"/>
                <w:szCs w:val="18"/>
              </w:rPr>
            </w:pPr>
            <w:r w:rsidRPr="00F93714">
              <w:rPr>
                <w:sz w:val="18"/>
                <w:szCs w:val="18"/>
              </w:rPr>
              <w:t>DeMichele (2010)</w:t>
            </w:r>
          </w:p>
        </w:tc>
        <w:tc>
          <w:tcPr>
            <w:tcW w:w="1260" w:type="dxa"/>
            <w:shd w:val="clear" w:color="auto" w:fill="E7E6E6" w:themeFill="background2"/>
          </w:tcPr>
          <w:p w:rsidR="00264315" w:rsidRPr="00F93714" w:rsidRDefault="00264315" w:rsidP="00A442A9">
            <w:pPr>
              <w:contextualSpacing/>
              <w:rPr>
                <w:sz w:val="18"/>
                <w:szCs w:val="18"/>
              </w:rPr>
            </w:pPr>
            <w:r w:rsidRPr="00F93714">
              <w:rPr>
                <w:sz w:val="18"/>
                <w:szCs w:val="18"/>
              </w:rPr>
              <w:t>17 countries</w:t>
            </w:r>
          </w:p>
        </w:tc>
        <w:tc>
          <w:tcPr>
            <w:tcW w:w="1170" w:type="dxa"/>
            <w:shd w:val="clear" w:color="auto" w:fill="E7E6E6" w:themeFill="background2"/>
          </w:tcPr>
          <w:p w:rsidR="00264315" w:rsidRPr="00F93714" w:rsidRDefault="00264315" w:rsidP="00A442A9">
            <w:pPr>
              <w:contextualSpacing/>
              <w:rPr>
                <w:sz w:val="18"/>
                <w:szCs w:val="18"/>
              </w:rPr>
            </w:pPr>
            <w:r w:rsidRPr="00F93714">
              <w:rPr>
                <w:sz w:val="18"/>
                <w:szCs w:val="18"/>
              </w:rPr>
              <w:t>1960-2002</w:t>
            </w:r>
          </w:p>
        </w:tc>
        <w:tc>
          <w:tcPr>
            <w:tcW w:w="4531" w:type="dxa"/>
            <w:shd w:val="clear" w:color="auto" w:fill="E7E6E6" w:themeFill="background2"/>
          </w:tcPr>
          <w:p w:rsidR="00264315" w:rsidRPr="00F93714" w:rsidRDefault="00264315" w:rsidP="00A442A9">
            <w:pPr>
              <w:contextualSpacing/>
              <w:rPr>
                <w:sz w:val="18"/>
                <w:szCs w:val="18"/>
              </w:rPr>
            </w:pPr>
            <w:r w:rsidRPr="00525FCF">
              <w:rPr>
                <w:noProof/>
                <w:sz w:val="18"/>
                <w:szCs w:val="18"/>
              </w:rPr>
              <w:t>Strong</w:t>
            </w:r>
            <w:r w:rsidRPr="00F93714">
              <w:rPr>
                <w:sz w:val="18"/>
                <w:szCs w:val="18"/>
              </w:rPr>
              <w:t xml:space="preserve"> positive correlation between inequality and incarceration rates. </w:t>
            </w:r>
            <w:r w:rsidRPr="00525FCF">
              <w:rPr>
                <w:noProof/>
                <w:sz w:val="18"/>
                <w:szCs w:val="18"/>
              </w:rPr>
              <w:t>Does not include inequality in regression analysis.</w:t>
            </w:r>
          </w:p>
        </w:tc>
      </w:tr>
      <w:tr w:rsidR="00264315" w:rsidTr="00A442A9">
        <w:tc>
          <w:tcPr>
            <w:tcW w:w="1525" w:type="dxa"/>
          </w:tcPr>
          <w:p w:rsidR="00264315" w:rsidRPr="00F93714" w:rsidRDefault="00264315" w:rsidP="00A442A9">
            <w:pPr>
              <w:contextualSpacing/>
              <w:rPr>
                <w:sz w:val="18"/>
                <w:szCs w:val="18"/>
              </w:rPr>
            </w:pPr>
            <w:r w:rsidRPr="00F93714">
              <w:rPr>
                <w:sz w:val="18"/>
                <w:szCs w:val="18"/>
              </w:rPr>
              <w:t>Lappi-Seppälä (2010)</w:t>
            </w:r>
          </w:p>
        </w:tc>
        <w:tc>
          <w:tcPr>
            <w:tcW w:w="1260" w:type="dxa"/>
          </w:tcPr>
          <w:p w:rsidR="00264315" w:rsidRPr="00F93714" w:rsidRDefault="00264315" w:rsidP="00A442A9">
            <w:pPr>
              <w:contextualSpacing/>
              <w:rPr>
                <w:sz w:val="18"/>
                <w:szCs w:val="18"/>
              </w:rPr>
            </w:pPr>
            <w:r w:rsidRPr="00F93714">
              <w:rPr>
                <w:sz w:val="18"/>
                <w:szCs w:val="18"/>
              </w:rPr>
              <w:t>218 countries</w:t>
            </w:r>
          </w:p>
          <w:p w:rsidR="00264315" w:rsidRPr="00F93714" w:rsidRDefault="00264315" w:rsidP="00A442A9">
            <w:pPr>
              <w:contextualSpacing/>
              <w:rPr>
                <w:sz w:val="18"/>
                <w:szCs w:val="18"/>
              </w:rPr>
            </w:pPr>
            <w:r w:rsidRPr="00F93714">
              <w:rPr>
                <w:sz w:val="18"/>
                <w:szCs w:val="18"/>
              </w:rPr>
              <w:t>100 countries</w:t>
            </w:r>
          </w:p>
          <w:p w:rsidR="00264315" w:rsidRPr="00F93714" w:rsidRDefault="00264315" w:rsidP="00A442A9">
            <w:pPr>
              <w:contextualSpacing/>
              <w:rPr>
                <w:sz w:val="18"/>
                <w:szCs w:val="18"/>
              </w:rPr>
            </w:pPr>
            <w:r w:rsidRPr="00F93714">
              <w:rPr>
                <w:sz w:val="18"/>
                <w:szCs w:val="18"/>
              </w:rPr>
              <w:t>25 countries</w:t>
            </w:r>
          </w:p>
        </w:tc>
        <w:tc>
          <w:tcPr>
            <w:tcW w:w="1170" w:type="dxa"/>
          </w:tcPr>
          <w:p w:rsidR="00264315" w:rsidRPr="00F93714" w:rsidRDefault="00264315" w:rsidP="00A442A9">
            <w:pPr>
              <w:contextualSpacing/>
              <w:rPr>
                <w:sz w:val="18"/>
                <w:szCs w:val="18"/>
              </w:rPr>
            </w:pPr>
            <w:r w:rsidRPr="00F93714">
              <w:rPr>
                <w:sz w:val="18"/>
                <w:szCs w:val="18"/>
              </w:rPr>
              <w:t>Mid-2000s</w:t>
            </w:r>
          </w:p>
        </w:tc>
        <w:tc>
          <w:tcPr>
            <w:tcW w:w="4531" w:type="dxa"/>
          </w:tcPr>
          <w:p w:rsidR="00264315" w:rsidRPr="00F93714" w:rsidRDefault="00264315" w:rsidP="00A442A9">
            <w:pPr>
              <w:contextualSpacing/>
              <w:rPr>
                <w:sz w:val="18"/>
                <w:szCs w:val="18"/>
              </w:rPr>
            </w:pPr>
            <w:r w:rsidRPr="00525FCF">
              <w:rPr>
                <w:noProof/>
                <w:sz w:val="18"/>
                <w:szCs w:val="18"/>
              </w:rPr>
              <w:t>Inverse</w:t>
            </w:r>
            <w:r w:rsidRPr="00F93714">
              <w:rPr>
                <w:sz w:val="18"/>
                <w:szCs w:val="18"/>
              </w:rPr>
              <w:t xml:space="preserve"> relationship between crime and incarceration rates.</w:t>
            </w:r>
          </w:p>
          <w:p w:rsidR="00264315" w:rsidRPr="00F93714" w:rsidRDefault="00264315" w:rsidP="00A442A9">
            <w:pPr>
              <w:contextualSpacing/>
              <w:rPr>
                <w:sz w:val="18"/>
                <w:szCs w:val="18"/>
              </w:rPr>
            </w:pPr>
            <w:r w:rsidRPr="00F93714">
              <w:rPr>
                <w:sz w:val="18"/>
                <w:szCs w:val="18"/>
              </w:rPr>
              <w:t>Higher correlation between inequality and incarceration rates in EU and OECD states.</w:t>
            </w:r>
          </w:p>
          <w:p w:rsidR="00264315" w:rsidRPr="00F93714" w:rsidRDefault="00264315" w:rsidP="00A442A9">
            <w:pPr>
              <w:contextualSpacing/>
              <w:rPr>
                <w:sz w:val="18"/>
                <w:szCs w:val="18"/>
              </w:rPr>
            </w:pPr>
            <w:r w:rsidRPr="00F93714">
              <w:rPr>
                <w:sz w:val="18"/>
                <w:szCs w:val="18"/>
              </w:rPr>
              <w:t>Greater spending and greater trust correlated to lower incarceration rates.</w:t>
            </w:r>
          </w:p>
        </w:tc>
      </w:tr>
      <w:tr w:rsidR="00264315" w:rsidTr="00A442A9">
        <w:tc>
          <w:tcPr>
            <w:tcW w:w="1525" w:type="dxa"/>
            <w:shd w:val="clear" w:color="auto" w:fill="E7E6E6" w:themeFill="background2"/>
          </w:tcPr>
          <w:p w:rsidR="00264315" w:rsidRPr="00F93714" w:rsidRDefault="00264315" w:rsidP="00A442A9">
            <w:pPr>
              <w:contextualSpacing/>
              <w:rPr>
                <w:sz w:val="18"/>
                <w:szCs w:val="18"/>
              </w:rPr>
            </w:pPr>
            <w:r w:rsidRPr="00F93714">
              <w:rPr>
                <w:sz w:val="18"/>
                <w:szCs w:val="18"/>
              </w:rPr>
              <w:t>Miller (2011)</w:t>
            </w:r>
          </w:p>
        </w:tc>
        <w:tc>
          <w:tcPr>
            <w:tcW w:w="1260" w:type="dxa"/>
            <w:shd w:val="clear" w:color="auto" w:fill="E7E6E6" w:themeFill="background2"/>
          </w:tcPr>
          <w:p w:rsidR="00264315" w:rsidRPr="00F93714" w:rsidRDefault="00264315" w:rsidP="00A442A9">
            <w:pPr>
              <w:contextualSpacing/>
              <w:rPr>
                <w:sz w:val="18"/>
                <w:szCs w:val="18"/>
              </w:rPr>
            </w:pPr>
            <w:r w:rsidRPr="00F93714">
              <w:rPr>
                <w:sz w:val="18"/>
                <w:szCs w:val="18"/>
              </w:rPr>
              <w:t>52 countries</w:t>
            </w:r>
          </w:p>
        </w:tc>
        <w:tc>
          <w:tcPr>
            <w:tcW w:w="1170" w:type="dxa"/>
            <w:shd w:val="clear" w:color="auto" w:fill="E7E6E6" w:themeFill="background2"/>
          </w:tcPr>
          <w:p w:rsidR="00264315" w:rsidRPr="00F93714" w:rsidRDefault="00264315" w:rsidP="00A442A9">
            <w:pPr>
              <w:contextualSpacing/>
              <w:rPr>
                <w:sz w:val="18"/>
                <w:szCs w:val="18"/>
              </w:rPr>
            </w:pPr>
            <w:r w:rsidRPr="00F93714">
              <w:rPr>
                <w:sz w:val="18"/>
                <w:szCs w:val="18"/>
              </w:rPr>
              <w:t>2008</w:t>
            </w:r>
          </w:p>
        </w:tc>
        <w:tc>
          <w:tcPr>
            <w:tcW w:w="4531" w:type="dxa"/>
            <w:shd w:val="clear" w:color="auto" w:fill="E7E6E6" w:themeFill="background2"/>
          </w:tcPr>
          <w:p w:rsidR="00264315" w:rsidRPr="00F93714" w:rsidRDefault="00264315" w:rsidP="00A442A9">
            <w:pPr>
              <w:contextualSpacing/>
              <w:rPr>
                <w:sz w:val="18"/>
                <w:szCs w:val="18"/>
              </w:rPr>
            </w:pPr>
            <w:r w:rsidRPr="00F93714">
              <w:rPr>
                <w:sz w:val="18"/>
                <w:szCs w:val="18"/>
              </w:rPr>
              <w:t xml:space="preserve">Lack of correlation between crime and incarceration rates. </w:t>
            </w:r>
          </w:p>
          <w:p w:rsidR="00264315" w:rsidRPr="00F93714" w:rsidRDefault="00264315" w:rsidP="00A442A9">
            <w:pPr>
              <w:contextualSpacing/>
              <w:rPr>
                <w:sz w:val="18"/>
                <w:szCs w:val="18"/>
              </w:rPr>
            </w:pPr>
            <w:r w:rsidRPr="00F93714">
              <w:rPr>
                <w:sz w:val="18"/>
                <w:szCs w:val="18"/>
              </w:rPr>
              <w:t>Greater inequality and higher percentage living below 50 percent of median income correlated with incarceration rates.</w:t>
            </w:r>
          </w:p>
        </w:tc>
      </w:tr>
      <w:tr w:rsidR="00264315" w:rsidTr="00A442A9">
        <w:tc>
          <w:tcPr>
            <w:tcW w:w="1525" w:type="dxa"/>
          </w:tcPr>
          <w:p w:rsidR="00264315" w:rsidRPr="00F93714" w:rsidRDefault="00264315" w:rsidP="00A442A9">
            <w:pPr>
              <w:contextualSpacing/>
              <w:rPr>
                <w:sz w:val="18"/>
                <w:szCs w:val="18"/>
              </w:rPr>
            </w:pPr>
            <w:r w:rsidRPr="00F93714">
              <w:rPr>
                <w:sz w:val="18"/>
                <w:szCs w:val="18"/>
              </w:rPr>
              <w:t>Healy, Mulcahy, &amp; O’Donnell (2013)</w:t>
            </w:r>
          </w:p>
        </w:tc>
        <w:tc>
          <w:tcPr>
            <w:tcW w:w="1260" w:type="dxa"/>
          </w:tcPr>
          <w:p w:rsidR="00264315" w:rsidRPr="00F93714" w:rsidRDefault="00264315" w:rsidP="00A442A9">
            <w:pPr>
              <w:contextualSpacing/>
              <w:rPr>
                <w:sz w:val="18"/>
                <w:szCs w:val="18"/>
              </w:rPr>
            </w:pPr>
            <w:r w:rsidRPr="00F93714">
              <w:rPr>
                <w:sz w:val="18"/>
                <w:szCs w:val="18"/>
              </w:rPr>
              <w:t>26 countries</w:t>
            </w:r>
          </w:p>
        </w:tc>
        <w:tc>
          <w:tcPr>
            <w:tcW w:w="1170" w:type="dxa"/>
          </w:tcPr>
          <w:p w:rsidR="00264315" w:rsidRPr="00F93714" w:rsidRDefault="00264315" w:rsidP="00A442A9">
            <w:pPr>
              <w:contextualSpacing/>
              <w:rPr>
                <w:sz w:val="18"/>
                <w:szCs w:val="18"/>
              </w:rPr>
            </w:pPr>
            <w:r w:rsidRPr="00F93714">
              <w:rPr>
                <w:sz w:val="18"/>
                <w:szCs w:val="18"/>
              </w:rPr>
              <w:t>Mid-2000s</w:t>
            </w:r>
          </w:p>
        </w:tc>
        <w:tc>
          <w:tcPr>
            <w:tcW w:w="4531" w:type="dxa"/>
          </w:tcPr>
          <w:p w:rsidR="00264315" w:rsidRPr="00F93714" w:rsidRDefault="00264315" w:rsidP="00A442A9">
            <w:pPr>
              <w:contextualSpacing/>
              <w:rPr>
                <w:sz w:val="18"/>
                <w:szCs w:val="18"/>
              </w:rPr>
            </w:pPr>
            <w:r w:rsidRPr="00525FCF">
              <w:rPr>
                <w:noProof/>
                <w:sz w:val="18"/>
                <w:szCs w:val="18"/>
              </w:rPr>
              <w:t>Strong</w:t>
            </w:r>
            <w:r w:rsidRPr="00F93714">
              <w:rPr>
                <w:sz w:val="18"/>
                <w:szCs w:val="18"/>
              </w:rPr>
              <w:t xml:space="preserve"> positive correlation between inequality and incarceration rates</w:t>
            </w:r>
          </w:p>
        </w:tc>
      </w:tr>
    </w:tbl>
    <w:p w:rsidR="00226B08" w:rsidRDefault="00226B08" w:rsidP="00226B08">
      <w:pPr>
        <w:spacing w:line="480" w:lineRule="auto"/>
        <w:contextualSpacing/>
      </w:pPr>
    </w:p>
    <w:p w:rsidR="003B7C61" w:rsidRPr="003B7C61" w:rsidRDefault="00563480" w:rsidP="003B7C61">
      <w:pPr>
        <w:spacing w:line="480" w:lineRule="auto"/>
        <w:contextualSpacing/>
        <w:rPr>
          <w:rFonts w:eastAsia="Calibri"/>
          <w:i/>
        </w:rPr>
      </w:pPr>
      <w:r>
        <w:rPr>
          <w:b/>
        </w:rPr>
        <w:t>Hypothesis Two</w:t>
      </w:r>
      <w:r w:rsidR="003B7C61">
        <w:rPr>
          <w:b/>
        </w:rPr>
        <w:t xml:space="preserve">: </w:t>
      </w:r>
      <w:r w:rsidR="003B7C61">
        <w:t>I</w:t>
      </w:r>
      <w:r w:rsidR="00E13EC7">
        <w:t xml:space="preserve">ncarceration rates are higher when countries have greater </w:t>
      </w:r>
      <w:r w:rsidR="00E13EC7" w:rsidRPr="00525FCF">
        <w:rPr>
          <w:noProof/>
        </w:rPr>
        <w:t>inequality</w:t>
      </w:r>
      <w:r w:rsidR="00E13EC7">
        <w:rPr>
          <w:noProof/>
        </w:rPr>
        <w:t xml:space="preserve">. </w:t>
      </w:r>
      <w:r w:rsidR="003B7C61">
        <w:t xml:space="preserve"> </w:t>
      </w:r>
    </w:p>
    <w:p w:rsidR="00951ABC" w:rsidRDefault="00951ABC">
      <w:pPr>
        <w:rPr>
          <w:rFonts w:eastAsia="Calibri"/>
        </w:rPr>
      </w:pPr>
      <w:r>
        <w:rPr>
          <w:rFonts w:eastAsia="Calibri"/>
        </w:rPr>
        <w:br w:type="page"/>
      </w:r>
    </w:p>
    <w:p w:rsidR="007F2FCC" w:rsidRPr="001166E9" w:rsidRDefault="008D4130" w:rsidP="00BB5750">
      <w:pPr>
        <w:spacing w:after="200" w:line="480" w:lineRule="auto"/>
        <w:contextualSpacing/>
        <w:rPr>
          <w:rFonts w:eastAsia="Calibri"/>
        </w:rPr>
      </w:pPr>
      <w:r>
        <w:rPr>
          <w:rFonts w:eastAsia="Calibri"/>
        </w:rPr>
        <w:lastRenderedPageBreak/>
        <w:t>CHAPTER 2</w:t>
      </w:r>
      <w:r w:rsidR="003E4401">
        <w:rPr>
          <w:rFonts w:eastAsia="Calibri"/>
        </w:rPr>
        <w:t xml:space="preserve">. </w:t>
      </w:r>
      <w:r w:rsidR="007F2FCC" w:rsidRPr="001166E9">
        <w:rPr>
          <w:rFonts w:eastAsia="Calibri"/>
        </w:rPr>
        <w:t>DATA AND METHODS</w:t>
      </w:r>
    </w:p>
    <w:p w:rsidR="00C70BEA" w:rsidRPr="00C70BEA" w:rsidRDefault="00C70BEA" w:rsidP="00C70BEA">
      <w:pPr>
        <w:spacing w:after="200" w:line="480" w:lineRule="auto"/>
        <w:contextualSpacing/>
        <w:rPr>
          <w:rFonts w:eastAsia="Calibri"/>
        </w:rPr>
      </w:pPr>
      <w:r w:rsidRPr="00C70BEA">
        <w:rPr>
          <w:rFonts w:eastAsia="Calibri"/>
        </w:rPr>
        <w:t xml:space="preserve">The following provides a description of the variables used in this analysis. In total, the panel data span a 24-year period, from 1990 through 2013.  </w:t>
      </w:r>
    </w:p>
    <w:p w:rsidR="00C70BEA" w:rsidRPr="00C70BEA" w:rsidRDefault="00C70BEA" w:rsidP="00C70BEA">
      <w:pPr>
        <w:spacing w:after="200" w:line="480" w:lineRule="auto"/>
        <w:contextualSpacing/>
        <w:rPr>
          <w:rFonts w:eastAsia="Calibri"/>
          <w:i/>
        </w:rPr>
      </w:pPr>
      <w:r w:rsidRPr="00C70BEA">
        <w:rPr>
          <w:rFonts w:eastAsia="Calibri"/>
          <w:i/>
        </w:rPr>
        <w:t>Dependent Variable</w:t>
      </w:r>
    </w:p>
    <w:p w:rsidR="00C70BEA" w:rsidRPr="00C70BEA" w:rsidRDefault="00C70BEA" w:rsidP="007B712C">
      <w:pPr>
        <w:spacing w:after="200" w:line="480" w:lineRule="auto"/>
        <w:contextualSpacing/>
        <w:rPr>
          <w:rFonts w:eastAsia="Calibri"/>
        </w:rPr>
      </w:pPr>
      <w:r w:rsidRPr="00C70BEA">
        <w:rPr>
          <w:rFonts w:eastAsia="Calibri"/>
          <w:i/>
        </w:rPr>
        <w:t>Incarceration rates.</w:t>
      </w:r>
      <w:r w:rsidR="004272CC">
        <w:rPr>
          <w:rFonts w:eastAsia="Calibri"/>
        </w:rPr>
        <w:t xml:space="preserve"> </w:t>
      </w:r>
      <w:r w:rsidR="004272CC" w:rsidRPr="008D6BD4">
        <w:rPr>
          <w:rFonts w:eastAsia="Calibri"/>
          <w:noProof/>
        </w:rPr>
        <w:t>I</w:t>
      </w:r>
      <w:r w:rsidR="004272CC">
        <w:rPr>
          <w:rFonts w:eastAsia="Calibri"/>
        </w:rPr>
        <w:t xml:space="preserve"> use incarceration rates as a measure of penal severity. “Imprisonment has uncontested prominence as the principal and most severe sanction in European and industrialized Western countries” (Lappi-Seppälä 2008:321). </w:t>
      </w:r>
      <w:r w:rsidRPr="00C70BEA">
        <w:rPr>
          <w:rFonts w:eastAsia="Calibri"/>
          <w:i/>
        </w:rPr>
        <w:t xml:space="preserve"> </w:t>
      </w:r>
      <w:r w:rsidRPr="008D6BD4">
        <w:rPr>
          <w:rFonts w:eastAsia="Calibri"/>
          <w:noProof/>
        </w:rPr>
        <w:t xml:space="preserve">Beginning with the first published World Prison Population List in 1999, Roy Walmsley </w:t>
      </w:r>
      <w:r w:rsidR="003A38B0" w:rsidRPr="008D6BD4">
        <w:rPr>
          <w:rFonts w:eastAsia="Calibri"/>
          <w:noProof/>
        </w:rPr>
        <w:t>(1999; 2000; 2002; 2003a; 20</w:t>
      </w:r>
      <w:r w:rsidR="00563480">
        <w:rPr>
          <w:rFonts w:eastAsia="Calibri"/>
          <w:noProof/>
        </w:rPr>
        <w:t>03b; 2005; 2007; 2009; 2011;</w:t>
      </w:r>
      <w:r w:rsidR="003A38B0" w:rsidRPr="008D6BD4">
        <w:rPr>
          <w:rFonts w:eastAsia="Calibri"/>
          <w:noProof/>
        </w:rPr>
        <w:t xml:space="preserve"> 2013) </w:t>
      </w:r>
      <w:r w:rsidRPr="008D6BD4">
        <w:rPr>
          <w:rFonts w:eastAsia="Calibri"/>
          <w:noProof/>
        </w:rPr>
        <w:t>has prepared and published ten editions of the list, most recently at the end of 2013.</w:t>
      </w:r>
      <w:r w:rsidRPr="00C70BEA">
        <w:rPr>
          <w:rFonts w:eastAsia="Calibri"/>
        </w:rPr>
        <w:t xml:space="preserve"> Data provided in the first edition dates back to data c</w:t>
      </w:r>
      <w:r w:rsidR="006B7444">
        <w:rPr>
          <w:rFonts w:eastAsia="Calibri"/>
        </w:rPr>
        <w:t>ollected as early as 1993</w:t>
      </w:r>
      <w:r w:rsidRPr="00C70BEA">
        <w:rPr>
          <w:rFonts w:eastAsia="Calibri"/>
        </w:rPr>
        <w:t xml:space="preserve">, and the tenth edition </w:t>
      </w:r>
      <w:r w:rsidRPr="00C70BEA">
        <w:rPr>
          <w:rFonts w:eastAsia="Calibri"/>
          <w:noProof/>
        </w:rPr>
        <w:t>contains</w:t>
      </w:r>
      <w:r w:rsidRPr="00C70BEA">
        <w:rPr>
          <w:rFonts w:eastAsia="Calibri"/>
        </w:rPr>
        <w:t xml:space="preserve"> data collected as recently as October 2013. Although extensive in its coverage, Walmsley (1999) notes limitations regarding differences in techniques and practices in gathering and reporting in different countries. Some countries included </w:t>
      </w:r>
      <w:r w:rsidRPr="00C70BEA">
        <w:rPr>
          <w:rFonts w:eastAsia="Calibri"/>
          <w:noProof/>
        </w:rPr>
        <w:t>incarcerated</w:t>
      </w:r>
      <w:r w:rsidRPr="00C70BEA">
        <w:rPr>
          <w:rFonts w:eastAsia="Calibri"/>
        </w:rPr>
        <w:t xml:space="preserve"> juveniles and pretrial detainees in their total incarcerations; while others like China, report only those sentenced and not those in administrative detention (Walmsley 2002). In the earlier editions, Walmsley notes that the incarceration </w:t>
      </w:r>
      <w:r w:rsidRPr="00C70BEA">
        <w:rPr>
          <w:rFonts w:eastAsia="Calibri"/>
          <w:noProof/>
        </w:rPr>
        <w:t>rates</w:t>
      </w:r>
      <w:r w:rsidRPr="00C70BEA">
        <w:rPr>
          <w:rFonts w:eastAsia="Calibri"/>
        </w:rPr>
        <w:t xml:space="preserve"> reported per 100,000 of the </w:t>
      </w:r>
      <w:r w:rsidRPr="00C70BEA">
        <w:rPr>
          <w:rFonts w:eastAsia="Calibri"/>
          <w:noProof/>
        </w:rPr>
        <w:t>population</w:t>
      </w:r>
      <w:r w:rsidRPr="00C70BEA">
        <w:rPr>
          <w:rFonts w:eastAsia="Calibri"/>
        </w:rPr>
        <w:t xml:space="preserve"> </w:t>
      </w:r>
      <w:r w:rsidR="00BB04E8">
        <w:rPr>
          <w:rFonts w:eastAsia="Calibri"/>
          <w:noProof/>
        </w:rPr>
        <w:t xml:space="preserve">and </w:t>
      </w:r>
      <w:r w:rsidRPr="00C70BEA">
        <w:rPr>
          <w:rFonts w:eastAsia="Calibri"/>
          <w:noProof/>
        </w:rPr>
        <w:t>rounded</w:t>
      </w:r>
      <w:r w:rsidRPr="00C70BEA">
        <w:rPr>
          <w:rFonts w:eastAsia="Calibri"/>
        </w:rPr>
        <w:t xml:space="preserve"> to the nearest five </w:t>
      </w:r>
      <w:r w:rsidRPr="00C70BEA">
        <w:rPr>
          <w:rFonts w:eastAsia="Calibri"/>
          <w:noProof/>
        </w:rPr>
        <w:t>to</w:t>
      </w:r>
      <w:r w:rsidRPr="00C70BEA">
        <w:rPr>
          <w:rFonts w:eastAsia="Calibri"/>
        </w:rPr>
        <w:t xml:space="preserve"> avoid the appearance of precision (1999). That practice changed in the fourth edition in 2003, although Walmsley continues to note that the reported populations used for calculations are</w:t>
      </w:r>
      <w:r w:rsidR="008D6BD4">
        <w:rPr>
          <w:rFonts w:eastAsia="Calibri"/>
        </w:rPr>
        <w:t xml:space="preserve"> </w:t>
      </w:r>
      <w:r w:rsidR="00563480">
        <w:rPr>
          <w:rFonts w:eastAsia="Calibri"/>
        </w:rPr>
        <w:t>estimates</w:t>
      </w:r>
      <w:r w:rsidRPr="00C70BEA">
        <w:rPr>
          <w:rFonts w:eastAsia="Calibri"/>
        </w:rPr>
        <w:t xml:space="preserve">. </w:t>
      </w:r>
      <w:r w:rsidRPr="00BC59A1">
        <w:rPr>
          <w:rFonts w:eastAsia="Calibri"/>
          <w:noProof/>
        </w:rPr>
        <w:t>I limit the scope of my investigation to</w:t>
      </w:r>
      <w:r w:rsidRPr="00C70BEA">
        <w:rPr>
          <w:rFonts w:eastAsia="Calibri"/>
        </w:rPr>
        <w:t xml:space="preserve"> those independent countries with populations exceeding 1 million</w:t>
      </w:r>
      <w:r w:rsidR="00951ABC">
        <w:rPr>
          <w:rFonts w:eastAsia="Calibri"/>
        </w:rPr>
        <w:t xml:space="preserve"> and initially gather information on a maximum of 139 countries</w:t>
      </w:r>
      <w:r w:rsidRPr="00C70BEA">
        <w:rPr>
          <w:rFonts w:eastAsia="Calibri"/>
        </w:rPr>
        <w:t xml:space="preserve">. </w:t>
      </w:r>
    </w:p>
    <w:p w:rsidR="00C70BEA" w:rsidRPr="00C70BEA" w:rsidRDefault="00C70BEA" w:rsidP="00C70BEA">
      <w:pPr>
        <w:spacing w:after="200" w:line="480" w:lineRule="auto"/>
        <w:contextualSpacing/>
        <w:rPr>
          <w:rFonts w:eastAsia="Calibri"/>
        </w:rPr>
      </w:pPr>
      <w:r w:rsidRPr="00C70BEA">
        <w:rPr>
          <w:rFonts w:eastAsia="Calibri"/>
        </w:rPr>
        <w:lastRenderedPageBreak/>
        <w:tab/>
      </w:r>
      <w:r w:rsidR="00E13EC7">
        <w:rPr>
          <w:rFonts w:eastAsia="Calibri"/>
        </w:rPr>
        <w:t xml:space="preserve">Walmsley consistently reports incarceration rates for most countries. However, the </w:t>
      </w:r>
      <w:r w:rsidR="00E13EC7" w:rsidRPr="00525FCF">
        <w:rPr>
          <w:rFonts w:eastAsia="Calibri"/>
          <w:noProof/>
        </w:rPr>
        <w:t>rates</w:t>
      </w:r>
      <w:r w:rsidR="00E13EC7">
        <w:rPr>
          <w:rFonts w:eastAsia="Calibri"/>
        </w:rPr>
        <w:t xml:space="preserve"> a</w:t>
      </w:r>
      <w:r w:rsidRPr="00C70BEA">
        <w:rPr>
          <w:rFonts w:eastAsia="Calibri"/>
        </w:rPr>
        <w:t xml:space="preserve">re not updated annually, and Walmsley lists the actual date of the rate </w:t>
      </w:r>
      <w:r w:rsidRPr="00525FCF">
        <w:rPr>
          <w:rFonts w:eastAsia="Calibri"/>
          <w:noProof/>
        </w:rPr>
        <w:t>reported</w:t>
      </w:r>
      <w:r w:rsidRPr="00C70BEA">
        <w:rPr>
          <w:rFonts w:eastAsia="Calibri"/>
        </w:rPr>
        <w:t xml:space="preserve">, which is the </w:t>
      </w:r>
      <w:r w:rsidRPr="00525FCF">
        <w:rPr>
          <w:rFonts w:eastAsia="Calibri"/>
          <w:noProof/>
        </w:rPr>
        <w:t>date</w:t>
      </w:r>
      <w:r w:rsidRPr="00C70BEA">
        <w:rPr>
          <w:rFonts w:eastAsia="Calibri"/>
        </w:rPr>
        <w:t xml:space="preserve"> I use in my analysis. </w:t>
      </w:r>
      <w:r w:rsidRPr="008D6BD4">
        <w:rPr>
          <w:rFonts w:eastAsia="Calibri"/>
          <w:noProof/>
        </w:rPr>
        <w:t>I</w:t>
      </w:r>
      <w:r w:rsidRPr="00C70BEA">
        <w:rPr>
          <w:rFonts w:eastAsia="Calibri"/>
        </w:rPr>
        <w:t xml:space="preserve"> </w:t>
      </w:r>
      <w:r w:rsidRPr="008D6BD4">
        <w:rPr>
          <w:rFonts w:eastAsia="Calibri"/>
          <w:noProof/>
        </w:rPr>
        <w:t>note</w:t>
      </w:r>
      <w:r w:rsidRPr="00C70BEA">
        <w:rPr>
          <w:rFonts w:eastAsia="Calibri"/>
        </w:rPr>
        <w:t xml:space="preserve"> two entries for Bosnia-</w:t>
      </w:r>
      <w:r w:rsidRPr="00C70BEA">
        <w:rPr>
          <w:rFonts w:eastAsia="Calibri"/>
          <w:noProof/>
        </w:rPr>
        <w:t>Herzegovina</w:t>
      </w:r>
      <w:r w:rsidRPr="00C70BEA">
        <w:rPr>
          <w:rFonts w:eastAsia="Calibri"/>
        </w:rPr>
        <w:t xml:space="preserve"> (Federation and Republika Srpska) beginning in 1999. </w:t>
      </w:r>
      <w:r w:rsidRPr="00BC59A1">
        <w:rPr>
          <w:rFonts w:eastAsia="Calibri"/>
          <w:noProof/>
        </w:rPr>
        <w:t>According to the C</w:t>
      </w:r>
      <w:r w:rsidR="003A38B0" w:rsidRPr="00BC59A1">
        <w:rPr>
          <w:rFonts w:eastAsia="Calibri"/>
          <w:noProof/>
        </w:rPr>
        <w:t xml:space="preserve">entral </w:t>
      </w:r>
      <w:r w:rsidRPr="00BC59A1">
        <w:rPr>
          <w:rFonts w:eastAsia="Calibri"/>
          <w:noProof/>
        </w:rPr>
        <w:t>I</w:t>
      </w:r>
      <w:r w:rsidR="003A38B0" w:rsidRPr="00BC59A1">
        <w:rPr>
          <w:rFonts w:eastAsia="Calibri"/>
          <w:noProof/>
        </w:rPr>
        <w:t xml:space="preserve">ntelligence </w:t>
      </w:r>
      <w:r w:rsidRPr="00BC59A1">
        <w:rPr>
          <w:rFonts w:eastAsia="Calibri"/>
          <w:noProof/>
        </w:rPr>
        <w:t>A</w:t>
      </w:r>
      <w:r w:rsidR="003A38B0" w:rsidRPr="00BC59A1">
        <w:rPr>
          <w:rFonts w:eastAsia="Calibri"/>
          <w:noProof/>
        </w:rPr>
        <w:t>gency (CIA)</w:t>
      </w:r>
      <w:r w:rsidRPr="00BC59A1">
        <w:rPr>
          <w:rFonts w:eastAsia="Calibri"/>
          <w:noProof/>
        </w:rPr>
        <w:t xml:space="preserve"> World Factbook</w:t>
      </w:r>
      <w:r w:rsidR="003A38B0">
        <w:rPr>
          <w:rFonts w:eastAsia="Calibri"/>
        </w:rPr>
        <w:t xml:space="preserve"> (N.d.)</w:t>
      </w:r>
      <w:r w:rsidRPr="00C70BEA">
        <w:rPr>
          <w:rFonts w:eastAsia="Calibri"/>
        </w:rPr>
        <w:t xml:space="preserve">, Republika Srpska and Federation are </w:t>
      </w:r>
      <w:r w:rsidRPr="00C70BEA">
        <w:rPr>
          <w:rFonts w:eastAsia="Calibri"/>
          <w:noProof/>
        </w:rPr>
        <w:t>second-tier</w:t>
      </w:r>
      <w:r w:rsidRPr="00C70BEA">
        <w:rPr>
          <w:rFonts w:eastAsia="Calibri"/>
        </w:rPr>
        <w:t xml:space="preserve"> governments under the internationally recognized Bosnia-</w:t>
      </w:r>
      <w:r w:rsidRPr="00C70BEA">
        <w:rPr>
          <w:rFonts w:eastAsia="Calibri"/>
          <w:noProof/>
        </w:rPr>
        <w:t>Herzegovina</w:t>
      </w:r>
      <w:r w:rsidRPr="00C70BEA">
        <w:rPr>
          <w:rFonts w:eastAsia="Calibri"/>
        </w:rPr>
        <w:t xml:space="preserve"> umbrella. </w:t>
      </w:r>
      <w:r w:rsidRPr="008D6BD4">
        <w:rPr>
          <w:rFonts w:eastAsia="Calibri"/>
          <w:noProof/>
        </w:rPr>
        <w:t>I</w:t>
      </w:r>
      <w:r w:rsidRPr="00C70BEA">
        <w:rPr>
          <w:rFonts w:eastAsia="Calibri"/>
        </w:rPr>
        <w:t xml:space="preserve"> report a pooled figure using both </w:t>
      </w:r>
      <w:r w:rsidRPr="00525FCF">
        <w:rPr>
          <w:rFonts w:eastAsia="Calibri"/>
          <w:noProof/>
        </w:rPr>
        <w:t>figures</w:t>
      </w:r>
      <w:r w:rsidRPr="00C70BEA">
        <w:rPr>
          <w:rFonts w:eastAsia="Calibri"/>
        </w:rPr>
        <w:t xml:space="preserve"> </w:t>
      </w:r>
      <w:r w:rsidRPr="00525FCF">
        <w:rPr>
          <w:rFonts w:eastAsia="Calibri"/>
          <w:noProof/>
        </w:rPr>
        <w:t>reported</w:t>
      </w:r>
      <w:r w:rsidRPr="00C70BEA">
        <w:rPr>
          <w:rFonts w:eastAsia="Calibri"/>
        </w:rPr>
        <w:t xml:space="preserve"> and </w:t>
      </w:r>
      <w:r w:rsidRPr="00C70BEA">
        <w:rPr>
          <w:rFonts w:eastAsia="Calibri"/>
          <w:noProof/>
        </w:rPr>
        <w:t>divided</w:t>
      </w:r>
      <w:r w:rsidRPr="00C70BEA">
        <w:rPr>
          <w:rFonts w:eastAsia="Calibri"/>
        </w:rPr>
        <w:t xml:space="preserve"> by the reported populations. Bulgaria and Slovakia had two rates recorded for the year 1998 (in the 1999 and 2000 reports). </w:t>
      </w:r>
      <w:r w:rsidRPr="008D6BD4">
        <w:rPr>
          <w:rFonts w:eastAsia="Calibri"/>
          <w:noProof/>
        </w:rPr>
        <w:t>I</w:t>
      </w:r>
      <w:r w:rsidRPr="00C70BEA">
        <w:rPr>
          <w:rFonts w:eastAsia="Calibri"/>
        </w:rPr>
        <w:t xml:space="preserve"> used the most recent figures and reported them for the year 1998. For the United Kingdom, </w:t>
      </w:r>
      <w:r w:rsidRPr="008D6BD4">
        <w:rPr>
          <w:rFonts w:eastAsia="Calibri"/>
          <w:noProof/>
        </w:rPr>
        <w:t>I</w:t>
      </w:r>
      <w:r w:rsidR="008D4130">
        <w:rPr>
          <w:rFonts w:eastAsia="Calibri"/>
        </w:rPr>
        <w:t xml:space="preserve"> compute</w:t>
      </w:r>
      <w:r w:rsidRPr="00C70BEA">
        <w:rPr>
          <w:rFonts w:eastAsia="Calibri"/>
        </w:rPr>
        <w:t xml:space="preserve"> the rate based on reported incarcerations for England and Wales and those for Northern Ireland and </w:t>
      </w:r>
      <w:r w:rsidRPr="00C70BEA">
        <w:rPr>
          <w:rFonts w:eastAsia="Calibri"/>
          <w:noProof/>
        </w:rPr>
        <w:t>Scotland</w:t>
      </w:r>
      <w:r w:rsidRPr="00C70BEA">
        <w:rPr>
          <w:rFonts w:eastAsia="Calibri"/>
        </w:rPr>
        <w:t xml:space="preserve"> and </w:t>
      </w:r>
      <w:r w:rsidRPr="008D4130">
        <w:rPr>
          <w:rFonts w:eastAsia="Calibri"/>
          <w:noProof/>
        </w:rPr>
        <w:t>divide</w:t>
      </w:r>
      <w:r w:rsidRPr="00C70BEA">
        <w:rPr>
          <w:rFonts w:eastAsia="Calibri"/>
        </w:rPr>
        <w:t xml:space="preserve"> </w:t>
      </w:r>
      <w:r w:rsidRPr="00C70BEA">
        <w:rPr>
          <w:rFonts w:eastAsia="Calibri"/>
          <w:noProof/>
        </w:rPr>
        <w:t>by</w:t>
      </w:r>
      <w:r w:rsidRPr="00C70BEA">
        <w:rPr>
          <w:rFonts w:eastAsia="Calibri"/>
        </w:rPr>
        <w:t xml:space="preserve"> the </w:t>
      </w:r>
      <w:r w:rsidRPr="00525FCF">
        <w:rPr>
          <w:rFonts w:eastAsia="Calibri"/>
          <w:noProof/>
        </w:rPr>
        <w:t>reported</w:t>
      </w:r>
      <w:r w:rsidRPr="00C70BEA">
        <w:rPr>
          <w:rFonts w:eastAsia="Calibri"/>
        </w:rPr>
        <w:t xml:space="preserve"> populations for each of the reporting years. The most recent incarceration rate reported for Azerbaijan includes pre-trial detainees not reported in previous computations (Walmsley 2013). </w:t>
      </w:r>
    </w:p>
    <w:p w:rsidR="00C70BEA" w:rsidRDefault="00C70BEA" w:rsidP="00C70BEA">
      <w:pPr>
        <w:spacing w:after="200" w:line="480" w:lineRule="auto"/>
        <w:ind w:firstLine="720"/>
        <w:contextualSpacing/>
        <w:rPr>
          <w:rFonts w:eastAsia="Calibri"/>
        </w:rPr>
      </w:pPr>
      <w:r w:rsidRPr="00C70BEA">
        <w:rPr>
          <w:rFonts w:eastAsia="Calibri"/>
        </w:rPr>
        <w:t xml:space="preserve">The following countries have only one entry for incarceration rates: Laos, Gabon, </w:t>
      </w:r>
      <w:r w:rsidRPr="00C70BEA">
        <w:rPr>
          <w:rFonts w:eastAsia="Calibri"/>
          <w:noProof/>
        </w:rPr>
        <w:t>Guinea-Bissau</w:t>
      </w:r>
      <w:r w:rsidRPr="00C70BEA">
        <w:rPr>
          <w:rFonts w:eastAsia="Calibri"/>
        </w:rPr>
        <w:t xml:space="preserve">, and Timor-Leste. Incarceration rates </w:t>
      </w:r>
      <w:r w:rsidRPr="00E13EC7">
        <w:rPr>
          <w:rFonts w:eastAsia="Calibri"/>
          <w:noProof/>
        </w:rPr>
        <w:t>range</w:t>
      </w:r>
      <w:r w:rsidRPr="00C70BEA">
        <w:rPr>
          <w:rFonts w:eastAsia="Calibri"/>
        </w:rPr>
        <w:t xml:space="preserve"> from a high of 756 in the United States in 2007 to a low of </w:t>
      </w:r>
      <w:r w:rsidR="00C41EDE">
        <w:rPr>
          <w:rFonts w:eastAsia="Calibri"/>
        </w:rPr>
        <w:t>25</w:t>
      </w:r>
      <w:r w:rsidRPr="00C70BEA">
        <w:rPr>
          <w:rFonts w:eastAsia="Calibri"/>
        </w:rPr>
        <w:t xml:space="preserve"> per 100,000 in </w:t>
      </w:r>
      <w:r w:rsidR="00C41EDE">
        <w:rPr>
          <w:rFonts w:eastAsia="Calibri"/>
        </w:rPr>
        <w:t xml:space="preserve">Indonesia in 1997 </w:t>
      </w:r>
      <w:r w:rsidR="00C41EDE" w:rsidRPr="00525FCF">
        <w:rPr>
          <w:rFonts w:eastAsia="Calibri"/>
          <w:noProof/>
        </w:rPr>
        <w:t>and in</w:t>
      </w:r>
      <w:r w:rsidR="00C41EDE">
        <w:rPr>
          <w:rFonts w:eastAsia="Calibri"/>
        </w:rPr>
        <w:t xml:space="preserve"> Indonesia in 1999 and 2000</w:t>
      </w:r>
      <w:r w:rsidRPr="00C70BEA">
        <w:rPr>
          <w:rFonts w:eastAsia="Calibri"/>
        </w:rPr>
        <w:t xml:space="preserve">. </w:t>
      </w:r>
      <w:r w:rsidR="00572D83" w:rsidRPr="00525FCF">
        <w:rPr>
          <w:rFonts w:eastAsia="Calibri"/>
          <w:noProof/>
        </w:rPr>
        <w:t>The United States has maintained the highest incarceration rates</w:t>
      </w:r>
      <w:r w:rsidR="00572D83">
        <w:rPr>
          <w:rFonts w:eastAsia="Calibri"/>
        </w:rPr>
        <w:t xml:space="preserve"> for the group of countries included in this analysis since surpassing the Russian Federation in 1999. </w:t>
      </w:r>
      <w:r w:rsidRPr="00E13EC7">
        <w:rPr>
          <w:rFonts w:eastAsia="Calibri"/>
          <w:noProof/>
        </w:rPr>
        <w:t>I</w:t>
      </w:r>
      <w:r w:rsidRPr="00C70BEA">
        <w:rPr>
          <w:rFonts w:eastAsia="Calibri"/>
        </w:rPr>
        <w:t xml:space="preserve"> log incarceration</w:t>
      </w:r>
      <w:r w:rsidR="004272CC">
        <w:rPr>
          <w:rFonts w:eastAsia="Calibri"/>
        </w:rPr>
        <w:t xml:space="preserve"> rates to correct for skewness. When a dependent variable </w:t>
      </w:r>
      <w:r w:rsidR="004272CC" w:rsidRPr="00525FCF">
        <w:rPr>
          <w:rFonts w:eastAsia="Calibri"/>
          <w:noProof/>
        </w:rPr>
        <w:t>is logged</w:t>
      </w:r>
      <w:r w:rsidR="004272CC">
        <w:rPr>
          <w:rFonts w:eastAsia="Calibri"/>
        </w:rPr>
        <w:t xml:space="preserve">, the interpretation of regression analysis changes. Rather than unit increases in the independent variable resulting in unit increases in the dependent variable, statistically significant coefficients for independent variables produce </w:t>
      </w:r>
      <w:r w:rsidR="004272CC">
        <w:rPr>
          <w:rFonts w:eastAsia="Calibri"/>
        </w:rPr>
        <w:lastRenderedPageBreak/>
        <w:t xml:space="preserve">percentage increases in the dependent variables. </w:t>
      </w:r>
      <w:r w:rsidRPr="00525FCF">
        <w:rPr>
          <w:rFonts w:eastAsia="Calibri"/>
          <w:noProof/>
        </w:rPr>
        <w:t xml:space="preserve">See </w:t>
      </w:r>
      <w:r w:rsidR="00AB1C5C" w:rsidRPr="00525FCF">
        <w:rPr>
          <w:rFonts w:eastAsia="Calibri"/>
          <w:noProof/>
        </w:rPr>
        <w:t>Figures 1</w:t>
      </w:r>
      <w:r w:rsidRPr="00525FCF">
        <w:rPr>
          <w:rFonts w:eastAsia="Calibri"/>
          <w:noProof/>
        </w:rPr>
        <w:t xml:space="preserve"> </w:t>
      </w:r>
      <w:r w:rsidR="00AB1C5C" w:rsidRPr="00525FCF">
        <w:rPr>
          <w:rFonts w:eastAsia="Calibri"/>
          <w:noProof/>
        </w:rPr>
        <w:t>and 2</w:t>
      </w:r>
      <w:r w:rsidRPr="00525FCF">
        <w:rPr>
          <w:rFonts w:eastAsia="Calibri"/>
          <w:noProof/>
        </w:rPr>
        <w:t xml:space="preserve"> for the distribution of</w:t>
      </w:r>
      <w:r w:rsidRPr="00C70BEA">
        <w:rPr>
          <w:rFonts w:eastAsia="Calibri"/>
        </w:rPr>
        <w:t xml:space="preserve"> incarceration rates and the log of incarceration rates, respectively. </w:t>
      </w:r>
    </w:p>
    <w:p w:rsidR="00C70BEA" w:rsidRPr="00C70BEA" w:rsidRDefault="00AB1C5C" w:rsidP="00C70BEA">
      <w:pPr>
        <w:spacing w:after="200" w:line="240" w:lineRule="auto"/>
        <w:contextualSpacing/>
        <w:rPr>
          <w:rFonts w:eastAsia="Calibri"/>
          <w:noProof/>
        </w:rPr>
      </w:pPr>
      <w:r>
        <w:rPr>
          <w:rFonts w:eastAsia="Calibri"/>
        </w:rPr>
        <w:t>Figure 1</w:t>
      </w:r>
      <w:r w:rsidR="00C70BEA" w:rsidRPr="00C70BEA">
        <w:rPr>
          <w:rFonts w:eastAsia="Calibri"/>
        </w:rPr>
        <w:t xml:space="preserve">. </w:t>
      </w:r>
      <w:r w:rsidR="00C70BEA" w:rsidRPr="00525FCF">
        <w:rPr>
          <w:rFonts w:eastAsia="Calibri"/>
          <w:noProof/>
        </w:rPr>
        <w:t>Incarceration</w:t>
      </w:r>
      <w:r w:rsidR="00C70BEA" w:rsidRPr="00C70BEA">
        <w:rPr>
          <w:rFonts w:eastAsia="Calibri"/>
        </w:rPr>
        <w:t xml:space="preserve"> Rates per 100,000</w:t>
      </w:r>
      <w:r w:rsidR="008D6BD4">
        <w:rPr>
          <w:rFonts w:eastAsia="Calibri"/>
        </w:rPr>
        <w:t>.</w:t>
      </w:r>
    </w:p>
    <w:p w:rsidR="00C70BEA" w:rsidRPr="00C70BEA" w:rsidRDefault="00C70BEA" w:rsidP="00C70BEA">
      <w:pPr>
        <w:spacing w:after="200" w:line="240" w:lineRule="auto"/>
        <w:contextualSpacing/>
        <w:rPr>
          <w:rFonts w:eastAsia="Calibri"/>
        </w:rPr>
      </w:pPr>
      <w:r w:rsidRPr="00C70BEA">
        <w:rPr>
          <w:rFonts w:eastAsia="Calibri"/>
          <w:noProof/>
        </w:rPr>
        <w:drawing>
          <wp:inline distT="0" distB="0" distL="0" distR="0" wp14:anchorId="08BE60BC" wp14:editId="0A91B97B">
            <wp:extent cx="5117123" cy="374505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708_histo_inc_rate_normal.e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C70BEA" w:rsidRPr="00C70BEA" w:rsidRDefault="00C70BEA"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C70BEA" w:rsidRPr="00C70BEA" w:rsidRDefault="00AB1C5C" w:rsidP="00C70BEA">
      <w:pPr>
        <w:spacing w:after="200" w:line="240" w:lineRule="auto"/>
        <w:contextualSpacing/>
        <w:rPr>
          <w:rFonts w:eastAsia="Calibri"/>
        </w:rPr>
      </w:pPr>
      <w:r>
        <w:rPr>
          <w:rFonts w:eastAsia="Calibri"/>
        </w:rPr>
        <w:lastRenderedPageBreak/>
        <w:t>Figure 2</w:t>
      </w:r>
      <w:r w:rsidR="008D6BD4">
        <w:rPr>
          <w:rFonts w:eastAsia="Calibri"/>
        </w:rPr>
        <w:t xml:space="preserve">. </w:t>
      </w:r>
      <w:r w:rsidR="00C70BEA" w:rsidRPr="00C70BEA">
        <w:rPr>
          <w:rFonts w:eastAsia="Calibri"/>
        </w:rPr>
        <w:t>Incarceration Rates per 100,000</w:t>
      </w:r>
      <w:r w:rsidR="00B31137">
        <w:rPr>
          <w:rFonts w:eastAsia="Calibri"/>
        </w:rPr>
        <w:t xml:space="preserve"> (l</w:t>
      </w:r>
      <w:r w:rsidR="00C70BEA" w:rsidRPr="00C70BEA">
        <w:rPr>
          <w:rFonts w:eastAsia="Calibri"/>
        </w:rPr>
        <w:t>ogged</w:t>
      </w:r>
      <w:r w:rsidR="008D6BD4">
        <w:rPr>
          <w:rFonts w:eastAsia="Calibri"/>
        </w:rPr>
        <w:t>)</w:t>
      </w:r>
      <w:r w:rsidR="00C70BEA" w:rsidRPr="00C70BEA">
        <w:rPr>
          <w:rFonts w:eastAsia="Calibri"/>
        </w:rPr>
        <w:t>.</w:t>
      </w:r>
    </w:p>
    <w:p w:rsidR="00C70BEA" w:rsidRDefault="00C70BEA" w:rsidP="00C70BEA">
      <w:pPr>
        <w:spacing w:after="200" w:line="480" w:lineRule="auto"/>
        <w:contextualSpacing/>
        <w:rPr>
          <w:rFonts w:eastAsia="Calibri"/>
        </w:rPr>
      </w:pPr>
      <w:r w:rsidRPr="00C70BEA">
        <w:rPr>
          <w:rFonts w:eastAsia="Calibri"/>
          <w:noProof/>
        </w:rPr>
        <w:drawing>
          <wp:inline distT="0" distB="0" distL="0" distR="0" wp14:anchorId="13856B78" wp14:editId="00788E86">
            <wp:extent cx="5117123" cy="3745050"/>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708_histo_linc_rate_normal.e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C70BEA" w:rsidRPr="00C70BEA" w:rsidRDefault="00C70BEA" w:rsidP="00C70BEA">
      <w:pPr>
        <w:spacing w:after="200" w:line="480" w:lineRule="auto"/>
        <w:contextualSpacing/>
        <w:rPr>
          <w:rFonts w:eastAsia="Calibri"/>
          <w:i/>
        </w:rPr>
      </w:pPr>
      <w:r w:rsidRPr="00C70BEA">
        <w:rPr>
          <w:rFonts w:eastAsia="Calibri"/>
          <w:i/>
        </w:rPr>
        <w:t>Independent Variables</w:t>
      </w:r>
    </w:p>
    <w:p w:rsidR="00C70BEA" w:rsidRPr="00C70BEA" w:rsidRDefault="00C70BEA" w:rsidP="007B712C">
      <w:pPr>
        <w:spacing w:after="200" w:line="480" w:lineRule="auto"/>
        <w:contextualSpacing/>
        <w:rPr>
          <w:rFonts w:eastAsia="Calibri"/>
        </w:rPr>
      </w:pPr>
      <w:r w:rsidRPr="00C70BEA">
        <w:rPr>
          <w:rFonts w:eastAsia="Calibri"/>
          <w:i/>
        </w:rPr>
        <w:t xml:space="preserve">Inequality measure. </w:t>
      </w:r>
      <w:r w:rsidRPr="00C70BEA">
        <w:rPr>
          <w:rFonts w:eastAsia="Calibri"/>
        </w:rPr>
        <w:t xml:space="preserve">Gini indices are from the Standardized World Income Inequality Database (SWIID) version 4.0 dataset prepared by Solt (2009). The goal of SWIID is to maximize “the comparability of income inequality statistics </w:t>
      </w:r>
      <w:r w:rsidRPr="00BC59A1">
        <w:rPr>
          <w:rFonts w:eastAsia="Calibri"/>
          <w:noProof/>
        </w:rPr>
        <w:t>for the largest possible sample of countries and years” (Solt 2009:</w:t>
      </w:r>
      <w:r w:rsidRPr="00C70BEA">
        <w:rPr>
          <w:rFonts w:eastAsia="Calibri"/>
        </w:rPr>
        <w:t>232). Starting with the U.N. University’s World Incom</w:t>
      </w:r>
      <w:r w:rsidR="003B454F">
        <w:rPr>
          <w:rFonts w:eastAsia="Calibri"/>
        </w:rPr>
        <w:t>e Inequality Database, Solt uses</w:t>
      </w:r>
      <w:r w:rsidRPr="00C70BEA">
        <w:rPr>
          <w:rFonts w:eastAsia="Calibri"/>
        </w:rPr>
        <w:t xml:space="preserve"> a </w:t>
      </w:r>
      <w:r w:rsidRPr="00525FCF">
        <w:rPr>
          <w:rFonts w:eastAsia="Calibri"/>
          <w:noProof/>
        </w:rPr>
        <w:t>missing-data</w:t>
      </w:r>
      <w:r w:rsidRPr="00C70BEA">
        <w:rPr>
          <w:rFonts w:eastAsia="Calibri"/>
        </w:rPr>
        <w:t xml:space="preserve"> algorithm to standardize the database and provide comparable Gini indices for 153 countries for all available years since 1960. </w:t>
      </w:r>
      <w:r w:rsidR="00346791">
        <w:rPr>
          <w:rFonts w:eastAsia="Calibri"/>
        </w:rPr>
        <w:t xml:space="preserve">He uses the Luxembourg Income Studies (LIS) as the standard by which he compares the SWIID. </w:t>
      </w:r>
      <w:r w:rsidRPr="00C70BEA">
        <w:rPr>
          <w:rFonts w:eastAsia="Calibri"/>
        </w:rPr>
        <w:t xml:space="preserve">SWIID provides both Gini net, reflecting the square root scale of household disposable income, and Gini market, the square root scale of </w:t>
      </w:r>
      <w:r w:rsidRPr="00C70BEA">
        <w:rPr>
          <w:rFonts w:eastAsia="Calibri"/>
          <w:noProof/>
        </w:rPr>
        <w:t>household</w:t>
      </w:r>
      <w:r w:rsidRPr="00C70BEA">
        <w:rPr>
          <w:rFonts w:eastAsia="Calibri"/>
        </w:rPr>
        <w:t xml:space="preserve"> gross (</w:t>
      </w:r>
      <w:r w:rsidRPr="00525FCF">
        <w:rPr>
          <w:rFonts w:eastAsia="Calibri"/>
          <w:noProof/>
        </w:rPr>
        <w:t>pre-tax</w:t>
      </w:r>
      <w:r w:rsidRPr="00C70BEA">
        <w:rPr>
          <w:rFonts w:eastAsia="Calibri"/>
        </w:rPr>
        <w:t xml:space="preserve">, pretransfer) income. Gini coefficients are computed based on the proportion of </w:t>
      </w:r>
      <w:r w:rsidRPr="00E13EC7">
        <w:rPr>
          <w:rFonts w:eastAsia="Calibri"/>
          <w:noProof/>
        </w:rPr>
        <w:t>income</w:t>
      </w:r>
      <w:r w:rsidRPr="00C70BEA">
        <w:rPr>
          <w:rFonts w:eastAsia="Calibri"/>
        </w:rPr>
        <w:t xml:space="preserve"> received by percentages of the population, </w:t>
      </w:r>
      <w:r w:rsidRPr="00BC59A1">
        <w:rPr>
          <w:rFonts w:eastAsia="Calibri"/>
          <w:noProof/>
        </w:rPr>
        <w:t xml:space="preserve">divided by the total </w:t>
      </w:r>
      <w:r w:rsidRPr="00BC59A1">
        <w:rPr>
          <w:rFonts w:eastAsia="Calibri"/>
          <w:noProof/>
        </w:rPr>
        <w:lastRenderedPageBreak/>
        <w:t>area below the line</w:t>
      </w:r>
      <w:r w:rsidRPr="00C70BEA">
        <w:rPr>
          <w:rFonts w:eastAsia="Calibri"/>
          <w:noProof/>
        </w:rPr>
        <w:t xml:space="preserve"> of</w:t>
      </w:r>
      <w:r w:rsidRPr="00C70BEA">
        <w:rPr>
          <w:rFonts w:eastAsia="Calibri"/>
        </w:rPr>
        <w:t xml:space="preserve"> income equality (O</w:t>
      </w:r>
      <w:r w:rsidR="003A38B0">
        <w:rPr>
          <w:rFonts w:eastAsia="Calibri"/>
        </w:rPr>
        <w:t xml:space="preserve">rganisation for </w:t>
      </w:r>
      <w:r w:rsidRPr="00C70BEA">
        <w:rPr>
          <w:rFonts w:eastAsia="Calibri"/>
        </w:rPr>
        <w:t>E</w:t>
      </w:r>
      <w:r w:rsidR="003A38B0">
        <w:rPr>
          <w:rFonts w:eastAsia="Calibri"/>
        </w:rPr>
        <w:t xml:space="preserve">conomic </w:t>
      </w:r>
      <w:r w:rsidRPr="00C70BEA">
        <w:rPr>
          <w:rFonts w:eastAsia="Calibri"/>
        </w:rPr>
        <w:t>C</w:t>
      </w:r>
      <w:r w:rsidR="003A38B0">
        <w:rPr>
          <w:rFonts w:eastAsia="Calibri"/>
        </w:rPr>
        <w:t xml:space="preserve">o-operation and </w:t>
      </w:r>
      <w:r w:rsidRPr="00C70BEA">
        <w:rPr>
          <w:rFonts w:eastAsia="Calibri"/>
        </w:rPr>
        <w:t>D</w:t>
      </w:r>
      <w:r w:rsidR="003A38B0">
        <w:rPr>
          <w:rFonts w:eastAsia="Calibri"/>
        </w:rPr>
        <w:t>evelopment</w:t>
      </w:r>
      <w:r w:rsidRPr="00C70BEA">
        <w:rPr>
          <w:rFonts w:eastAsia="Calibri"/>
        </w:rPr>
        <w:t xml:space="preserve"> 2006). </w:t>
      </w:r>
      <w:r w:rsidRPr="00525FCF">
        <w:rPr>
          <w:rFonts w:eastAsia="Calibri"/>
          <w:noProof/>
        </w:rPr>
        <w:t>The Gini index is a measure of inequality that ranges from</w:t>
      </w:r>
      <w:r w:rsidRPr="00E13EC7">
        <w:rPr>
          <w:rFonts w:eastAsia="Calibri"/>
          <w:noProof/>
        </w:rPr>
        <w:t xml:space="preserve"> 0</w:t>
      </w:r>
      <w:r w:rsidR="00BB04E8" w:rsidRPr="00E13EC7">
        <w:rPr>
          <w:rFonts w:eastAsia="Calibri"/>
          <w:noProof/>
        </w:rPr>
        <w:t xml:space="preserve"> to 100, with 0 indicating </w:t>
      </w:r>
      <w:r w:rsidRPr="00E13EC7">
        <w:rPr>
          <w:rFonts w:eastAsia="Calibri"/>
          <w:noProof/>
        </w:rPr>
        <w:t>income equality within the population, and 100 indicating that a single person receives all of the income (Solt 2009:234).</w:t>
      </w:r>
      <w:r w:rsidRPr="00C70BEA">
        <w:rPr>
          <w:rFonts w:eastAsia="Calibri"/>
        </w:rPr>
        <w:t xml:space="preserve"> Assessing the quality of the data set, Solt notes that there are regional differences in the amount and quality of data from which the calculations </w:t>
      </w:r>
      <w:r w:rsidRPr="00525FCF">
        <w:rPr>
          <w:rFonts w:eastAsia="Calibri"/>
          <w:noProof/>
        </w:rPr>
        <w:t>were performed</w:t>
      </w:r>
      <w:r w:rsidRPr="00C70BEA">
        <w:rPr>
          <w:rFonts w:eastAsia="Calibri"/>
        </w:rPr>
        <w:t xml:space="preserve">.  Developing countries in Latin America, the Caribbean, and Africa have the largest standard errors due to a lack of data for many countries in those regions (Solt 2009:238). </w:t>
      </w:r>
    </w:p>
    <w:p w:rsidR="00C41EDE" w:rsidRDefault="00C70BEA" w:rsidP="00951ABC">
      <w:pPr>
        <w:spacing w:after="200" w:line="480" w:lineRule="auto"/>
        <w:ind w:firstLine="720"/>
        <w:contextualSpacing/>
        <w:rPr>
          <w:rFonts w:eastAsia="Calibri"/>
        </w:rPr>
      </w:pPr>
      <w:r w:rsidRPr="00C70BEA">
        <w:rPr>
          <w:rFonts w:eastAsia="Calibri"/>
        </w:rPr>
        <w:t xml:space="preserve">For purposes of this </w:t>
      </w:r>
      <w:r w:rsidRPr="00C70BEA">
        <w:rPr>
          <w:rFonts w:eastAsia="Calibri"/>
          <w:noProof/>
        </w:rPr>
        <w:t>study,</w:t>
      </w:r>
      <w:r w:rsidRPr="00C70BEA">
        <w:rPr>
          <w:rFonts w:eastAsia="Calibri"/>
        </w:rPr>
        <w:t xml:space="preserve"> </w:t>
      </w:r>
      <w:r w:rsidRPr="00E13EC7">
        <w:rPr>
          <w:rFonts w:eastAsia="Calibri"/>
          <w:noProof/>
        </w:rPr>
        <w:t>I</w:t>
      </w:r>
      <w:r w:rsidRPr="00C70BEA">
        <w:rPr>
          <w:rFonts w:eastAsia="Calibri"/>
        </w:rPr>
        <w:t xml:space="preserve"> use SWIID 4.0’s Gini net computation, the square root scale of household disposable inc</w:t>
      </w:r>
      <w:r w:rsidR="00C41EDE">
        <w:rPr>
          <w:rFonts w:eastAsia="Calibri"/>
        </w:rPr>
        <w:t xml:space="preserve">ome. </w:t>
      </w:r>
      <w:r w:rsidRPr="00C70BEA">
        <w:rPr>
          <w:rFonts w:eastAsia="Calibri"/>
        </w:rPr>
        <w:t xml:space="preserve">See </w:t>
      </w:r>
      <w:r w:rsidR="00AB1C5C">
        <w:rPr>
          <w:rFonts w:eastAsia="Calibri"/>
          <w:noProof/>
        </w:rPr>
        <w:t>Figure 3</w:t>
      </w:r>
      <w:r w:rsidRPr="00C70BEA">
        <w:rPr>
          <w:rFonts w:eastAsia="Calibri"/>
        </w:rPr>
        <w:t xml:space="preserve"> below for the distribution of the Gini (net) variable.</w:t>
      </w:r>
    </w:p>
    <w:p w:rsidR="00C70BEA" w:rsidRPr="00C70BEA" w:rsidRDefault="00AB1C5C" w:rsidP="00C70BEA">
      <w:pPr>
        <w:spacing w:after="200" w:line="240" w:lineRule="auto"/>
        <w:contextualSpacing/>
        <w:rPr>
          <w:rFonts w:eastAsia="Calibri"/>
        </w:rPr>
      </w:pPr>
      <w:r>
        <w:rPr>
          <w:rFonts w:eastAsia="Calibri"/>
        </w:rPr>
        <w:t>Figure 3</w:t>
      </w:r>
      <w:r w:rsidR="008D6BD4">
        <w:rPr>
          <w:rFonts w:eastAsia="Calibri"/>
        </w:rPr>
        <w:t xml:space="preserve">. </w:t>
      </w:r>
      <w:r w:rsidR="00C70BEA" w:rsidRPr="00C70BEA">
        <w:rPr>
          <w:rFonts w:eastAsia="Calibri"/>
        </w:rPr>
        <w:t>Inequality M</w:t>
      </w:r>
      <w:r w:rsidR="00C70BEA" w:rsidRPr="00C70BEA">
        <w:rPr>
          <w:rFonts w:eastAsia="Calibri"/>
          <w:noProof/>
        </w:rPr>
        <w:t>easure,</w:t>
      </w:r>
      <w:r w:rsidR="00C70BEA" w:rsidRPr="00C70BEA">
        <w:rPr>
          <w:rFonts w:eastAsia="Calibri"/>
        </w:rPr>
        <w:t xml:space="preserve"> Gini Indices (net).</w:t>
      </w:r>
    </w:p>
    <w:p w:rsidR="00C70BEA" w:rsidRPr="00C70BEA" w:rsidRDefault="00C70BEA" w:rsidP="00C70BEA">
      <w:pPr>
        <w:spacing w:after="200" w:line="480" w:lineRule="auto"/>
        <w:contextualSpacing/>
        <w:rPr>
          <w:rFonts w:eastAsia="Calibri"/>
        </w:rPr>
      </w:pPr>
      <w:r w:rsidRPr="00C70BEA">
        <w:rPr>
          <w:rFonts w:eastAsia="Calibri"/>
          <w:noProof/>
        </w:rPr>
        <w:drawing>
          <wp:inline distT="0" distB="0" distL="0" distR="0" wp14:anchorId="2C005970" wp14:editId="2473DE5B">
            <wp:extent cx="5117123" cy="3745050"/>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708_histo_gini_net_normal.e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C70BEA" w:rsidRDefault="00C70BEA" w:rsidP="00C70BEA">
      <w:pPr>
        <w:spacing w:after="200" w:line="480" w:lineRule="auto"/>
        <w:ind w:firstLine="720"/>
        <w:contextualSpacing/>
        <w:rPr>
          <w:rFonts w:eastAsia="Calibri"/>
        </w:rPr>
      </w:pPr>
      <w:r w:rsidRPr="00C70BEA">
        <w:rPr>
          <w:rFonts w:eastAsia="Calibri"/>
        </w:rPr>
        <w:lastRenderedPageBreak/>
        <w:t xml:space="preserve">For most </w:t>
      </w:r>
      <w:r w:rsidRPr="00C70BEA">
        <w:rPr>
          <w:rFonts w:eastAsia="Calibri"/>
          <w:noProof/>
        </w:rPr>
        <w:t>countries,</w:t>
      </w:r>
      <w:r w:rsidR="00BB04E8">
        <w:rPr>
          <w:rFonts w:eastAsia="Calibri"/>
        </w:rPr>
        <w:t xml:space="preserve"> SWIID 4.0 provides</w:t>
      </w:r>
      <w:r w:rsidR="004272CC">
        <w:rPr>
          <w:rFonts w:eastAsia="Calibri"/>
        </w:rPr>
        <w:t xml:space="preserve"> data from 1990 through </w:t>
      </w:r>
      <w:r w:rsidRPr="00C70BEA">
        <w:rPr>
          <w:rFonts w:eastAsia="Calibri"/>
        </w:rPr>
        <w:t xml:space="preserve">2011. </w:t>
      </w:r>
      <w:r w:rsidRPr="00525FCF">
        <w:rPr>
          <w:rFonts w:eastAsia="Calibri"/>
          <w:noProof/>
        </w:rPr>
        <w:t>The following countries had less than 20 years of coverage for the inequality measure, with the years covered indicated in parentheses: Albania (1996-2008), Algeria (1990-2005), Angola (1995-2008), Azerbaijan (1990-2008), Benin (2003-2006), Bosnia-Herzegovina (1991-2007), Botswana (1990-2005), Burkina Faso (1994-2009), Burundi (1992-2006), Cambodia (1994-2009), Cameroon (1990-2007), Central African Republic (1992-2008), Chad (2002-2005), Republic of the Congo (2005-2006), Cote d’Ivoire (1990-2008), Democratic Republic of Congo (2005-2006), Egypt (1990-2008), Gabon (1990-1992, 2005), Gambia (1992-2003), Ghana (1990-2006), Guatemala (1990-2006), Guinea (1991-2007), Guinea-Bissau (1991-2005), Haiti (1990-2001), India (1990-2009), Iraq (2003-2004), Jamaica (1990-2004), Kenya (1990-2005), Laos (1992-2008), Lebanon (1997-2005), Lesotho (1990-2005), Liberia (2005-2007), Mauritania (1990-2008), Mongolia (1995-2007), Morocco (1990-2007), Mozambique (1996-2007), Namibia (1993-2005), Nicaragua (1992-2009), Niger (1992-2007), Papua New Guinea (1995-2005), Swaziland (1994-2009), Tanzania (1990-2007), Timor-Leste (2001-2007), Togo (2005-2011), Trinidad and Tobago (1990-2005), Turkmenistan (1990-2005), Uzbekistan (1990-2005), Vietnam (1992-2010), Yemen (1992-2005), and Zimbabwe (1990-1995).</w:t>
      </w:r>
      <w:r w:rsidRPr="00C70BEA">
        <w:rPr>
          <w:rFonts w:eastAsia="Calibri"/>
        </w:rPr>
        <w:t xml:space="preserve"> </w:t>
      </w:r>
    </w:p>
    <w:p w:rsidR="00C70BEA" w:rsidRPr="00C70BEA" w:rsidRDefault="007B712C" w:rsidP="007B712C">
      <w:pPr>
        <w:spacing w:after="200" w:line="480" w:lineRule="auto"/>
        <w:contextualSpacing/>
        <w:rPr>
          <w:rFonts w:eastAsia="Calibri"/>
        </w:rPr>
      </w:pPr>
      <w:r>
        <w:rPr>
          <w:rFonts w:eastAsia="Calibri"/>
          <w:i/>
        </w:rPr>
        <w:t>World-systems p</w:t>
      </w:r>
      <w:r w:rsidR="00C70BEA" w:rsidRPr="00C70BEA">
        <w:rPr>
          <w:rFonts w:eastAsia="Calibri"/>
          <w:i/>
        </w:rPr>
        <w:t xml:space="preserve">osition. </w:t>
      </w:r>
      <w:r w:rsidR="00C70BEA" w:rsidRPr="00C70BEA">
        <w:rPr>
          <w:rFonts w:eastAsia="Calibri"/>
        </w:rPr>
        <w:t xml:space="preserve">World-systems position </w:t>
      </w:r>
      <w:r w:rsidR="00C70BEA" w:rsidRPr="00C70BEA">
        <w:rPr>
          <w:rFonts w:eastAsia="Calibri"/>
          <w:noProof/>
        </w:rPr>
        <w:t>is</w:t>
      </w:r>
      <w:r w:rsidR="00C70BEA" w:rsidRPr="00C70BEA">
        <w:rPr>
          <w:rFonts w:eastAsia="Calibri"/>
        </w:rPr>
        <w:t xml:space="preserve"> from Clark’s (2012) calculations updating Clark and Beckfield’s (2009) three-tiered trade-based measure. According to Clark, core states are those possessing the </w:t>
      </w:r>
      <w:r w:rsidR="00C70BEA" w:rsidRPr="00C70BEA">
        <w:rPr>
          <w:rFonts w:eastAsia="Calibri"/>
          <w:noProof/>
        </w:rPr>
        <w:t>densest</w:t>
      </w:r>
      <w:r w:rsidR="00C70BEA" w:rsidRPr="00C70BEA">
        <w:rPr>
          <w:rFonts w:eastAsia="Calibri"/>
        </w:rPr>
        <w:t xml:space="preserve"> trade and economic ties (2012:372). Core </w:t>
      </w:r>
      <w:r w:rsidR="00C70BEA" w:rsidRPr="00525FCF">
        <w:rPr>
          <w:rFonts w:eastAsia="Calibri"/>
          <w:noProof/>
        </w:rPr>
        <w:t>states</w:t>
      </w:r>
      <w:r w:rsidR="00C70BEA" w:rsidRPr="00C70BEA">
        <w:rPr>
          <w:rFonts w:eastAsia="Calibri"/>
        </w:rPr>
        <w:t xml:space="preserve"> trade with other core states, semiperipheral </w:t>
      </w:r>
      <w:r w:rsidR="00C70BEA" w:rsidRPr="00525FCF">
        <w:rPr>
          <w:rFonts w:eastAsia="Calibri"/>
          <w:noProof/>
        </w:rPr>
        <w:t>states</w:t>
      </w:r>
      <w:r w:rsidR="00C70BEA" w:rsidRPr="00C70BEA">
        <w:rPr>
          <w:rFonts w:eastAsia="Calibri"/>
        </w:rPr>
        <w:t xml:space="preserve">, and peripheral states. Historically, core </w:t>
      </w:r>
      <w:r w:rsidR="00C70BEA" w:rsidRPr="00525FCF">
        <w:rPr>
          <w:rFonts w:eastAsia="Calibri"/>
          <w:noProof/>
        </w:rPr>
        <w:t>states</w:t>
      </w:r>
      <w:r w:rsidR="00C70BEA" w:rsidRPr="00C70BEA">
        <w:rPr>
          <w:rFonts w:eastAsia="Calibri"/>
        </w:rPr>
        <w:t xml:space="preserve"> have been described as having greater economic, political, and </w:t>
      </w:r>
      <w:r w:rsidR="00C70BEA" w:rsidRPr="00C70BEA">
        <w:rPr>
          <w:rFonts w:eastAsia="Calibri"/>
        </w:rPr>
        <w:lastRenderedPageBreak/>
        <w:t xml:space="preserve">military power (Wallerstein 1974). </w:t>
      </w:r>
      <w:r w:rsidR="00C70BEA" w:rsidRPr="003B454F">
        <w:rPr>
          <w:rFonts w:eastAsia="Calibri"/>
          <w:noProof/>
        </w:rPr>
        <w:t xml:space="preserve">Peripheral </w:t>
      </w:r>
      <w:r w:rsidR="00525FCF">
        <w:rPr>
          <w:rFonts w:eastAsia="Calibri"/>
          <w:noProof/>
        </w:rPr>
        <w:t>countri</w:t>
      </w:r>
      <w:r w:rsidR="00C70BEA" w:rsidRPr="00525FCF">
        <w:rPr>
          <w:rFonts w:eastAsia="Calibri"/>
          <w:noProof/>
        </w:rPr>
        <w:t>es</w:t>
      </w:r>
      <w:r w:rsidR="00C70BEA" w:rsidRPr="003B454F">
        <w:rPr>
          <w:rFonts w:eastAsia="Calibri"/>
          <w:noProof/>
        </w:rPr>
        <w:t>, on the other h</w:t>
      </w:r>
      <w:r w:rsidR="00BB04E8">
        <w:rPr>
          <w:rFonts w:eastAsia="Calibri"/>
          <w:noProof/>
        </w:rPr>
        <w:t>and, have</w:t>
      </w:r>
      <w:r w:rsidR="00C70BEA" w:rsidRPr="003B454F">
        <w:rPr>
          <w:rFonts w:eastAsia="Calibri"/>
          <w:noProof/>
        </w:rPr>
        <w:t xml:space="preserve"> limited options for trade, they </w:t>
      </w:r>
      <w:r w:rsidR="00C70BEA" w:rsidRPr="00E13EC7">
        <w:rPr>
          <w:rFonts w:eastAsia="Calibri"/>
          <w:noProof/>
        </w:rPr>
        <w:t>are isolated</w:t>
      </w:r>
      <w:r w:rsidR="00C70BEA" w:rsidRPr="003B454F">
        <w:rPr>
          <w:rFonts w:eastAsia="Calibri"/>
          <w:noProof/>
        </w:rPr>
        <w:t xml:space="preserve"> from one </w:t>
      </w:r>
      <w:r w:rsidR="00C70BEA" w:rsidRPr="00E13EC7">
        <w:rPr>
          <w:rFonts w:eastAsia="Calibri"/>
          <w:noProof/>
        </w:rPr>
        <w:t>another,</w:t>
      </w:r>
      <w:r w:rsidR="00C70BEA" w:rsidRPr="003B454F">
        <w:rPr>
          <w:rFonts w:eastAsia="Calibri"/>
          <w:noProof/>
        </w:rPr>
        <w:t xml:space="preserve"> and </w:t>
      </w:r>
      <w:r w:rsidR="00C70BEA" w:rsidRPr="00525FCF">
        <w:rPr>
          <w:rFonts w:eastAsia="Calibri"/>
          <w:noProof/>
        </w:rPr>
        <w:t>are exploited</w:t>
      </w:r>
      <w:r w:rsidR="00C70BEA" w:rsidRPr="003B454F">
        <w:rPr>
          <w:rFonts w:eastAsia="Calibri"/>
          <w:noProof/>
        </w:rPr>
        <w:t xml:space="preserve"> by both the core and semiperiphery (Clark and Beckfield 2009:12).</w:t>
      </w:r>
      <w:r w:rsidR="00C70BEA" w:rsidRPr="00C70BEA">
        <w:rPr>
          <w:rFonts w:eastAsia="Calibri"/>
        </w:rPr>
        <w:t xml:space="preserve"> </w:t>
      </w:r>
      <w:r w:rsidR="00C70BEA" w:rsidRPr="00E13EC7">
        <w:rPr>
          <w:rFonts w:eastAsia="Calibri"/>
          <w:noProof/>
        </w:rPr>
        <w:t xml:space="preserve">The mid-level status, </w:t>
      </w:r>
      <w:r w:rsidR="003B454F" w:rsidRPr="00E13EC7">
        <w:rPr>
          <w:rFonts w:eastAsia="Calibri"/>
          <w:noProof/>
        </w:rPr>
        <w:t xml:space="preserve">the </w:t>
      </w:r>
      <w:r w:rsidR="00C70BEA" w:rsidRPr="00E13EC7">
        <w:rPr>
          <w:rFonts w:eastAsia="Calibri"/>
          <w:noProof/>
        </w:rPr>
        <w:t xml:space="preserve">semiperiphery, acts as a buffer between the two poles (Wallerstein </w:t>
      </w:r>
      <w:r w:rsidR="00C70BEA" w:rsidRPr="00525FCF">
        <w:rPr>
          <w:rFonts w:eastAsia="Calibri"/>
          <w:noProof/>
        </w:rPr>
        <w:t>1974),</w:t>
      </w:r>
      <w:r w:rsidR="00C70BEA" w:rsidRPr="00E13EC7">
        <w:rPr>
          <w:rFonts w:eastAsia="Calibri"/>
          <w:noProof/>
        </w:rPr>
        <w:t xml:space="preserve"> and is exploited by the core, as it </w:t>
      </w:r>
      <w:r w:rsidR="00C70BEA" w:rsidRPr="00525FCF">
        <w:rPr>
          <w:rFonts w:eastAsia="Calibri"/>
          <w:noProof/>
        </w:rPr>
        <w:t>exploits</w:t>
      </w:r>
      <w:r w:rsidR="00C70BEA" w:rsidRPr="00E13EC7">
        <w:rPr>
          <w:rFonts w:eastAsia="Calibri"/>
          <w:noProof/>
        </w:rPr>
        <w:t xml:space="preserve"> the periphery (Clark and Beckfield 2009:12).</w:t>
      </w:r>
      <w:r w:rsidR="00C70BEA" w:rsidRPr="00C70BEA">
        <w:rPr>
          <w:rFonts w:eastAsia="Calibri"/>
        </w:rPr>
        <w:t xml:space="preserve"> </w:t>
      </w:r>
    </w:p>
    <w:p w:rsidR="00C70BEA" w:rsidRPr="00C70BEA" w:rsidRDefault="00C70BEA" w:rsidP="00C70BEA">
      <w:pPr>
        <w:spacing w:after="200" w:line="480" w:lineRule="auto"/>
        <w:ind w:firstLine="720"/>
        <w:contextualSpacing/>
        <w:rPr>
          <w:rFonts w:eastAsia="Calibri"/>
        </w:rPr>
      </w:pPr>
      <w:r w:rsidRPr="00E13EC7">
        <w:rPr>
          <w:rFonts w:eastAsia="Calibri"/>
          <w:noProof/>
        </w:rPr>
        <w:t xml:space="preserve">Although some movement in position occurs from Clark and Beckfield’s (2009) analysis covering the decade of the 1980s to Clark’s (2012) updated analysis of the 1990s, </w:t>
      </w:r>
      <w:r w:rsidR="00226B08">
        <w:rPr>
          <w:rFonts w:eastAsia="Calibri"/>
          <w:noProof/>
        </w:rPr>
        <w:t xml:space="preserve">which is </w:t>
      </w:r>
      <w:r w:rsidR="00226B08" w:rsidRPr="00525FCF">
        <w:rPr>
          <w:rFonts w:eastAsia="Calibri"/>
          <w:noProof/>
        </w:rPr>
        <w:t>prior to</w:t>
      </w:r>
      <w:r w:rsidR="00226B08">
        <w:rPr>
          <w:rFonts w:eastAsia="Calibri"/>
          <w:noProof/>
        </w:rPr>
        <w:t xml:space="preserve"> part of the time frame used in this </w:t>
      </w:r>
      <w:r w:rsidR="00226B08" w:rsidRPr="00525FCF">
        <w:rPr>
          <w:rFonts w:eastAsia="Calibri"/>
          <w:noProof/>
        </w:rPr>
        <w:t>analysis</w:t>
      </w:r>
      <w:r w:rsidR="00226B08">
        <w:rPr>
          <w:rFonts w:eastAsia="Calibri"/>
          <w:noProof/>
        </w:rPr>
        <w:t xml:space="preserve">, </w:t>
      </w:r>
      <w:r w:rsidRPr="00E13EC7">
        <w:rPr>
          <w:rFonts w:eastAsia="Calibri"/>
          <w:noProof/>
        </w:rPr>
        <w:t>world-systems position is relatively stable over time.</w:t>
      </w:r>
      <w:r w:rsidRPr="00C70BEA">
        <w:rPr>
          <w:rFonts w:eastAsia="Calibri"/>
        </w:rPr>
        <w:t xml:space="preserve"> </w:t>
      </w:r>
      <w:r w:rsidRPr="00E13EC7">
        <w:rPr>
          <w:rFonts w:eastAsia="Calibri"/>
          <w:noProof/>
        </w:rPr>
        <w:t>I</w:t>
      </w:r>
      <w:r w:rsidRPr="00C70BEA">
        <w:rPr>
          <w:rFonts w:eastAsia="Calibri"/>
        </w:rPr>
        <w:t xml:space="preserve"> use the updated data for each country-year. </w:t>
      </w:r>
    </w:p>
    <w:p w:rsidR="00C70BEA" w:rsidRDefault="00C70BEA" w:rsidP="00C70BEA">
      <w:pPr>
        <w:spacing w:after="200" w:line="480" w:lineRule="auto"/>
        <w:ind w:firstLine="720"/>
        <w:contextualSpacing/>
        <w:rPr>
          <w:rFonts w:eastAsia="Calibri"/>
          <w:noProof/>
        </w:rPr>
      </w:pPr>
      <w:r w:rsidRPr="00C70BEA">
        <w:rPr>
          <w:rFonts w:eastAsia="Calibri"/>
        </w:rPr>
        <w:t xml:space="preserve">There are 57 countries in the periphery, 30 countries in the semiperiphery, and 45 countries in the core </w:t>
      </w:r>
      <w:r w:rsidRPr="00E13EC7">
        <w:rPr>
          <w:rFonts w:eastAsia="Calibri"/>
          <w:noProof/>
        </w:rPr>
        <w:t>for</w:t>
      </w:r>
      <w:r w:rsidRPr="00C70BEA">
        <w:rPr>
          <w:rFonts w:eastAsia="Calibri"/>
        </w:rPr>
        <w:t xml:space="preserve"> a total of 132 of the 139 countries for which </w:t>
      </w:r>
      <w:r w:rsidRPr="00E13EC7">
        <w:rPr>
          <w:rFonts w:eastAsia="Calibri"/>
          <w:noProof/>
        </w:rPr>
        <w:t>I</w:t>
      </w:r>
      <w:r w:rsidRPr="00C70BEA">
        <w:rPr>
          <w:rFonts w:eastAsia="Calibri"/>
        </w:rPr>
        <w:t xml:space="preserve"> have other data. </w:t>
      </w:r>
      <w:r w:rsidRPr="00E13EC7">
        <w:rPr>
          <w:rFonts w:eastAsia="Calibri"/>
          <w:noProof/>
        </w:rPr>
        <w:t>The following countries do not have world-systems positions for either the decade of the 1980s (Clark and Beckfield 2009) or the 1990s (Clark 2012): Botswana, Hong Kong, Lesotho, Namibia, Swaziland, Taiwan, and Timor-Leste.</w:t>
      </w:r>
      <w:r w:rsidRPr="00C70BEA">
        <w:rPr>
          <w:rFonts w:eastAsia="Calibri"/>
        </w:rPr>
        <w:t xml:space="preserve"> </w:t>
      </w:r>
      <w:r w:rsidRPr="00E13EC7">
        <w:rPr>
          <w:rFonts w:eastAsia="Calibri"/>
          <w:noProof/>
        </w:rPr>
        <w:t>I</w:t>
      </w:r>
      <w:r w:rsidRPr="00C70BEA">
        <w:rPr>
          <w:rFonts w:eastAsia="Calibri"/>
        </w:rPr>
        <w:t xml:space="preserve"> use dummy variables for each of the three </w:t>
      </w:r>
      <w:r w:rsidRPr="00C70BEA">
        <w:rPr>
          <w:rFonts w:eastAsia="Calibri"/>
          <w:noProof/>
        </w:rPr>
        <w:t>world-systems</w:t>
      </w:r>
      <w:r w:rsidRPr="00C70BEA">
        <w:rPr>
          <w:rFonts w:eastAsia="Calibri"/>
        </w:rPr>
        <w:t xml:space="preserve"> positions in </w:t>
      </w:r>
      <w:r w:rsidRPr="00E13EC7">
        <w:rPr>
          <w:rFonts w:eastAsia="Calibri"/>
          <w:noProof/>
        </w:rPr>
        <w:t>my</w:t>
      </w:r>
      <w:r w:rsidRPr="00C70BEA">
        <w:rPr>
          <w:rFonts w:eastAsia="Calibri"/>
          <w:noProof/>
        </w:rPr>
        <w:t xml:space="preserve"> analysis. </w:t>
      </w:r>
    </w:p>
    <w:p w:rsidR="00372E97" w:rsidRDefault="00372E97" w:rsidP="00372E97">
      <w:pPr>
        <w:spacing w:line="480" w:lineRule="auto"/>
        <w:ind w:firstLine="720"/>
        <w:contextualSpacing/>
      </w:pPr>
      <w:r w:rsidRPr="00572D83">
        <w:t>I observe the movement of several</w:t>
      </w:r>
      <w:r>
        <w:t>, although not exhaustive,</w:t>
      </w:r>
      <w:r w:rsidRPr="00572D83">
        <w:t xml:space="preserve"> noteworthy countries </w:t>
      </w:r>
      <w:r w:rsidRPr="00525FCF">
        <w:rPr>
          <w:noProof/>
        </w:rPr>
        <w:t>relative to</w:t>
      </w:r>
      <w:r w:rsidRPr="00572D83">
        <w:t xml:space="preserve"> their position in the world-system. A group of countries, Brazil, Russia, India, China, and South Africa, referred to collectively as BRICS, are all located in Clark’s (2012) core. However, these countries held positions in the periphery and semiperiphery according to </w:t>
      </w:r>
      <w:r w:rsidRPr="00BC59A1">
        <w:rPr>
          <w:noProof/>
        </w:rPr>
        <w:t>other</w:t>
      </w:r>
      <w:r w:rsidRPr="00572D83">
        <w:t xml:space="preserve"> authors. All of the listed countries demonstrate mobility in the world-system while the United Kingdom and the United States maintain core positions throughout. Interestingly, the BRIC</w:t>
      </w:r>
      <w:r>
        <w:t xml:space="preserve">S group </w:t>
      </w:r>
      <w:r w:rsidRPr="00572D83">
        <w:t xml:space="preserve">recently established the New Development Bank, which will provide loans to developing countries for infrastructure </w:t>
      </w:r>
      <w:r w:rsidRPr="00572D83">
        <w:lastRenderedPageBreak/>
        <w:t>and serve as an alternative to the World Bank and International Monetary Fund</w:t>
      </w:r>
      <w:r>
        <w:t xml:space="preserve"> (Romeo 2015)</w:t>
      </w:r>
      <w:r w:rsidR="003B6046">
        <w:t>. See Table 2</w:t>
      </w:r>
      <w:r w:rsidRPr="00572D83">
        <w:t xml:space="preserve"> below for the BRICS countries and the U.S. and U.K. classifications in </w:t>
      </w:r>
      <w:r w:rsidRPr="00BC59A1">
        <w:rPr>
          <w:noProof/>
        </w:rPr>
        <w:t>various</w:t>
      </w:r>
      <w:r w:rsidRPr="00572D83">
        <w:t xml:space="preserve"> studies.</w:t>
      </w:r>
    </w:p>
    <w:p w:rsidR="00372E97" w:rsidRDefault="003B6046" w:rsidP="00372E97">
      <w:pPr>
        <w:spacing w:line="240" w:lineRule="auto"/>
        <w:contextualSpacing/>
      </w:pPr>
      <w:r>
        <w:t>Table 2</w:t>
      </w:r>
      <w:r w:rsidR="00372E97" w:rsidRPr="00572D83">
        <w:t>. Attributed World-Systems Position by Study.</w:t>
      </w:r>
    </w:p>
    <w:tbl>
      <w:tblPr>
        <w:tblStyle w:val="TableGrid"/>
        <w:tblW w:w="0" w:type="auto"/>
        <w:tblLook w:val="04A0" w:firstRow="1" w:lastRow="0" w:firstColumn="1" w:lastColumn="0" w:noHBand="0" w:noVBand="1"/>
      </w:tblPr>
      <w:tblGrid>
        <w:gridCol w:w="1435"/>
        <w:gridCol w:w="989"/>
        <w:gridCol w:w="1212"/>
        <w:gridCol w:w="1039"/>
        <w:gridCol w:w="1385"/>
        <w:gridCol w:w="1213"/>
        <w:gridCol w:w="1213"/>
      </w:tblGrid>
      <w:tr w:rsidR="00372E97" w:rsidTr="00467CE6">
        <w:tc>
          <w:tcPr>
            <w:tcW w:w="1435" w:type="dxa"/>
            <w:tcBorders>
              <w:bottom w:val="single" w:sz="4" w:space="0" w:color="auto"/>
            </w:tcBorders>
          </w:tcPr>
          <w:p w:rsidR="00372E97" w:rsidRDefault="00372E97" w:rsidP="00467CE6">
            <w:pPr>
              <w:contextualSpacing/>
              <w:jc w:val="right"/>
            </w:pPr>
          </w:p>
          <w:p w:rsidR="00372E97" w:rsidRDefault="00372E97" w:rsidP="00467CE6">
            <w:pPr>
              <w:contextualSpacing/>
              <w:jc w:val="right"/>
            </w:pPr>
          </w:p>
          <w:p w:rsidR="00372E97" w:rsidRDefault="00372E97" w:rsidP="00467CE6">
            <w:pPr>
              <w:contextualSpacing/>
              <w:jc w:val="right"/>
            </w:pPr>
            <w:r>
              <w:t>Country</w:t>
            </w:r>
          </w:p>
        </w:tc>
        <w:tc>
          <w:tcPr>
            <w:tcW w:w="989" w:type="dxa"/>
            <w:tcBorders>
              <w:bottom w:val="single" w:sz="4" w:space="0" w:color="auto"/>
              <w:right w:val="nil"/>
            </w:tcBorders>
          </w:tcPr>
          <w:p w:rsidR="00372E97" w:rsidRDefault="00372E97" w:rsidP="00467CE6">
            <w:pPr>
              <w:contextualSpacing/>
            </w:pPr>
            <w:r>
              <w:t>Snyder &amp; Kick (1979)</w:t>
            </w:r>
          </w:p>
        </w:tc>
        <w:tc>
          <w:tcPr>
            <w:tcW w:w="1212" w:type="dxa"/>
            <w:tcBorders>
              <w:left w:val="nil"/>
              <w:bottom w:val="single" w:sz="4" w:space="0" w:color="auto"/>
              <w:right w:val="nil"/>
            </w:tcBorders>
          </w:tcPr>
          <w:p w:rsidR="00372E97" w:rsidRDefault="00372E97" w:rsidP="00467CE6">
            <w:pPr>
              <w:contextualSpacing/>
            </w:pPr>
            <w:r>
              <w:t>Arrighi &amp; Drangel (1986)</w:t>
            </w:r>
          </w:p>
        </w:tc>
        <w:tc>
          <w:tcPr>
            <w:tcW w:w="1039" w:type="dxa"/>
            <w:tcBorders>
              <w:left w:val="nil"/>
              <w:bottom w:val="single" w:sz="4" w:space="0" w:color="auto"/>
              <w:right w:val="nil"/>
            </w:tcBorders>
          </w:tcPr>
          <w:p w:rsidR="00372E97" w:rsidRDefault="00372E97" w:rsidP="00467CE6">
            <w:pPr>
              <w:contextualSpacing/>
            </w:pPr>
            <w:r>
              <w:t>Terlouw (1993)</w:t>
            </w:r>
          </w:p>
        </w:tc>
        <w:tc>
          <w:tcPr>
            <w:tcW w:w="1385" w:type="dxa"/>
            <w:tcBorders>
              <w:left w:val="nil"/>
              <w:bottom w:val="single" w:sz="4" w:space="0" w:color="auto"/>
              <w:right w:val="nil"/>
            </w:tcBorders>
          </w:tcPr>
          <w:p w:rsidR="00372E97" w:rsidRDefault="00372E97" w:rsidP="00467CE6">
            <w:pPr>
              <w:contextualSpacing/>
            </w:pPr>
            <w:r>
              <w:t>Burns, Davis, &amp; Kick (1997)</w:t>
            </w:r>
          </w:p>
        </w:tc>
        <w:tc>
          <w:tcPr>
            <w:tcW w:w="1213" w:type="dxa"/>
            <w:tcBorders>
              <w:left w:val="nil"/>
              <w:bottom w:val="single" w:sz="4" w:space="0" w:color="auto"/>
              <w:right w:val="nil"/>
            </w:tcBorders>
          </w:tcPr>
          <w:p w:rsidR="00372E97" w:rsidRDefault="00372E97" w:rsidP="00467CE6">
            <w:pPr>
              <w:contextualSpacing/>
            </w:pPr>
            <w:r>
              <w:t>Clark &amp; Beckfield (2010)</w:t>
            </w:r>
          </w:p>
        </w:tc>
        <w:tc>
          <w:tcPr>
            <w:tcW w:w="1213" w:type="dxa"/>
            <w:tcBorders>
              <w:left w:val="nil"/>
              <w:bottom w:val="single" w:sz="4" w:space="0" w:color="auto"/>
            </w:tcBorders>
          </w:tcPr>
          <w:p w:rsidR="00372E97" w:rsidRDefault="00372E97" w:rsidP="00467CE6">
            <w:pPr>
              <w:contextualSpacing/>
            </w:pPr>
            <w:r>
              <w:t>Clark (2012)</w:t>
            </w:r>
          </w:p>
        </w:tc>
      </w:tr>
      <w:tr w:rsidR="00372E97" w:rsidTr="00467CE6">
        <w:tc>
          <w:tcPr>
            <w:tcW w:w="1435" w:type="dxa"/>
            <w:tcBorders>
              <w:bottom w:val="nil"/>
            </w:tcBorders>
            <w:shd w:val="clear" w:color="auto" w:fill="E7E6E6" w:themeFill="background2"/>
          </w:tcPr>
          <w:p w:rsidR="00372E97" w:rsidRDefault="00372E97" w:rsidP="00467CE6">
            <w:pPr>
              <w:contextualSpacing/>
              <w:jc w:val="right"/>
            </w:pPr>
            <w:r>
              <w:t>Brazil</w:t>
            </w:r>
          </w:p>
        </w:tc>
        <w:tc>
          <w:tcPr>
            <w:tcW w:w="989" w:type="dxa"/>
            <w:tcBorders>
              <w:bottom w:val="nil"/>
              <w:right w:val="nil"/>
            </w:tcBorders>
            <w:shd w:val="clear" w:color="auto" w:fill="E7E6E6" w:themeFill="background2"/>
          </w:tcPr>
          <w:p w:rsidR="00372E97" w:rsidRDefault="00372E97" w:rsidP="00467CE6">
            <w:pPr>
              <w:contextualSpacing/>
              <w:jc w:val="center"/>
            </w:pPr>
            <w:r>
              <w:t>P</w:t>
            </w:r>
          </w:p>
        </w:tc>
        <w:tc>
          <w:tcPr>
            <w:tcW w:w="1212" w:type="dxa"/>
            <w:tcBorders>
              <w:left w:val="nil"/>
              <w:bottom w:val="nil"/>
              <w:right w:val="nil"/>
            </w:tcBorders>
            <w:shd w:val="clear" w:color="auto" w:fill="E7E6E6" w:themeFill="background2"/>
          </w:tcPr>
          <w:p w:rsidR="00372E97" w:rsidRDefault="00372E97" w:rsidP="00467CE6">
            <w:pPr>
              <w:contextualSpacing/>
              <w:jc w:val="center"/>
            </w:pPr>
            <w:r>
              <w:t>SP</w:t>
            </w:r>
          </w:p>
        </w:tc>
        <w:tc>
          <w:tcPr>
            <w:tcW w:w="1039" w:type="dxa"/>
            <w:tcBorders>
              <w:left w:val="nil"/>
              <w:bottom w:val="nil"/>
              <w:right w:val="nil"/>
            </w:tcBorders>
            <w:shd w:val="clear" w:color="auto" w:fill="E7E6E6" w:themeFill="background2"/>
          </w:tcPr>
          <w:p w:rsidR="00372E97" w:rsidRDefault="00372E97" w:rsidP="00467CE6">
            <w:pPr>
              <w:contextualSpacing/>
              <w:jc w:val="center"/>
            </w:pPr>
            <w:r>
              <w:t>SP</w:t>
            </w:r>
          </w:p>
        </w:tc>
        <w:tc>
          <w:tcPr>
            <w:tcW w:w="1385" w:type="dxa"/>
            <w:tcBorders>
              <w:left w:val="nil"/>
              <w:bottom w:val="nil"/>
              <w:right w:val="nil"/>
            </w:tcBorders>
            <w:shd w:val="clear" w:color="auto" w:fill="E7E6E6" w:themeFill="background2"/>
          </w:tcPr>
          <w:p w:rsidR="00372E97" w:rsidRDefault="00372E97" w:rsidP="00467CE6">
            <w:pPr>
              <w:contextualSpacing/>
              <w:jc w:val="center"/>
            </w:pPr>
            <w:r>
              <w:t>SC</w:t>
            </w:r>
          </w:p>
        </w:tc>
        <w:tc>
          <w:tcPr>
            <w:tcW w:w="1213" w:type="dxa"/>
            <w:tcBorders>
              <w:left w:val="nil"/>
              <w:bottom w:val="nil"/>
              <w:right w:val="nil"/>
            </w:tcBorders>
            <w:shd w:val="clear" w:color="auto" w:fill="E7E6E6" w:themeFill="background2"/>
          </w:tcPr>
          <w:p w:rsidR="00372E97" w:rsidRDefault="00372E97" w:rsidP="00467CE6">
            <w:pPr>
              <w:contextualSpacing/>
              <w:jc w:val="center"/>
            </w:pPr>
            <w:r>
              <w:t>C</w:t>
            </w:r>
          </w:p>
        </w:tc>
        <w:tc>
          <w:tcPr>
            <w:tcW w:w="1213" w:type="dxa"/>
            <w:tcBorders>
              <w:left w:val="nil"/>
              <w:bottom w:val="nil"/>
            </w:tcBorders>
            <w:shd w:val="clear" w:color="auto" w:fill="E7E6E6" w:themeFill="background2"/>
          </w:tcPr>
          <w:p w:rsidR="00372E97" w:rsidRDefault="00372E97" w:rsidP="00467CE6">
            <w:pPr>
              <w:contextualSpacing/>
              <w:jc w:val="center"/>
            </w:pPr>
            <w:r>
              <w:t>C</w:t>
            </w:r>
          </w:p>
        </w:tc>
      </w:tr>
      <w:tr w:rsidR="00372E97" w:rsidTr="00467CE6">
        <w:tc>
          <w:tcPr>
            <w:tcW w:w="1435" w:type="dxa"/>
            <w:tcBorders>
              <w:top w:val="nil"/>
              <w:bottom w:val="nil"/>
            </w:tcBorders>
          </w:tcPr>
          <w:p w:rsidR="00372E97" w:rsidRDefault="00372E97" w:rsidP="00467CE6">
            <w:pPr>
              <w:contextualSpacing/>
              <w:jc w:val="right"/>
            </w:pPr>
            <w:r>
              <w:t>Russia</w:t>
            </w:r>
          </w:p>
        </w:tc>
        <w:tc>
          <w:tcPr>
            <w:tcW w:w="989" w:type="dxa"/>
            <w:tcBorders>
              <w:top w:val="nil"/>
              <w:bottom w:val="nil"/>
              <w:right w:val="nil"/>
            </w:tcBorders>
          </w:tcPr>
          <w:p w:rsidR="00372E97" w:rsidRDefault="00372E97" w:rsidP="00467CE6">
            <w:pPr>
              <w:contextualSpacing/>
              <w:jc w:val="center"/>
            </w:pPr>
            <w:r>
              <w:t>SP</w:t>
            </w:r>
          </w:p>
        </w:tc>
        <w:tc>
          <w:tcPr>
            <w:tcW w:w="1212" w:type="dxa"/>
            <w:tcBorders>
              <w:top w:val="nil"/>
              <w:left w:val="nil"/>
              <w:bottom w:val="nil"/>
              <w:right w:val="nil"/>
            </w:tcBorders>
          </w:tcPr>
          <w:p w:rsidR="00372E97" w:rsidRDefault="00372E97" w:rsidP="00467CE6">
            <w:pPr>
              <w:contextualSpacing/>
              <w:jc w:val="center"/>
            </w:pPr>
            <w:r>
              <w:t>SP</w:t>
            </w:r>
          </w:p>
        </w:tc>
        <w:tc>
          <w:tcPr>
            <w:tcW w:w="1039" w:type="dxa"/>
            <w:tcBorders>
              <w:top w:val="nil"/>
              <w:left w:val="nil"/>
              <w:bottom w:val="nil"/>
              <w:right w:val="nil"/>
            </w:tcBorders>
          </w:tcPr>
          <w:p w:rsidR="00372E97" w:rsidRDefault="00372E97" w:rsidP="00467CE6">
            <w:pPr>
              <w:contextualSpacing/>
              <w:jc w:val="center"/>
            </w:pPr>
          </w:p>
        </w:tc>
        <w:tc>
          <w:tcPr>
            <w:tcW w:w="1385" w:type="dxa"/>
            <w:tcBorders>
              <w:top w:val="nil"/>
              <w:left w:val="nil"/>
              <w:bottom w:val="nil"/>
              <w:right w:val="nil"/>
            </w:tcBorders>
          </w:tcPr>
          <w:p w:rsidR="00372E97" w:rsidRDefault="00372E97" w:rsidP="00467CE6">
            <w:pPr>
              <w:contextualSpacing/>
              <w:jc w:val="center"/>
            </w:pPr>
          </w:p>
        </w:tc>
        <w:tc>
          <w:tcPr>
            <w:tcW w:w="1213" w:type="dxa"/>
            <w:tcBorders>
              <w:top w:val="nil"/>
              <w:left w:val="nil"/>
              <w:bottom w:val="nil"/>
              <w:right w:val="nil"/>
            </w:tcBorders>
          </w:tcPr>
          <w:p w:rsidR="00372E97" w:rsidRDefault="00372E97" w:rsidP="00467CE6">
            <w:pPr>
              <w:contextualSpacing/>
              <w:jc w:val="center"/>
            </w:pPr>
            <w:r>
              <w:t>C</w:t>
            </w:r>
          </w:p>
        </w:tc>
        <w:tc>
          <w:tcPr>
            <w:tcW w:w="1213" w:type="dxa"/>
            <w:tcBorders>
              <w:top w:val="nil"/>
              <w:left w:val="nil"/>
              <w:bottom w:val="nil"/>
            </w:tcBorders>
          </w:tcPr>
          <w:p w:rsidR="00372E97" w:rsidRDefault="00372E97" w:rsidP="00467CE6">
            <w:pPr>
              <w:contextualSpacing/>
              <w:jc w:val="center"/>
            </w:pPr>
            <w:r>
              <w:t>C</w:t>
            </w:r>
          </w:p>
        </w:tc>
      </w:tr>
      <w:tr w:rsidR="00372E97" w:rsidTr="00467CE6">
        <w:tc>
          <w:tcPr>
            <w:tcW w:w="1435" w:type="dxa"/>
            <w:tcBorders>
              <w:top w:val="nil"/>
              <w:bottom w:val="nil"/>
            </w:tcBorders>
            <w:shd w:val="clear" w:color="auto" w:fill="E7E6E6" w:themeFill="background2"/>
          </w:tcPr>
          <w:p w:rsidR="00372E97" w:rsidRDefault="00372E97" w:rsidP="00467CE6">
            <w:pPr>
              <w:contextualSpacing/>
              <w:jc w:val="right"/>
            </w:pPr>
            <w:r>
              <w:t>India</w:t>
            </w:r>
          </w:p>
        </w:tc>
        <w:tc>
          <w:tcPr>
            <w:tcW w:w="989" w:type="dxa"/>
            <w:tcBorders>
              <w:top w:val="nil"/>
              <w:bottom w:val="nil"/>
              <w:right w:val="nil"/>
            </w:tcBorders>
            <w:shd w:val="clear" w:color="auto" w:fill="E7E6E6" w:themeFill="background2"/>
          </w:tcPr>
          <w:p w:rsidR="00372E97" w:rsidRDefault="00372E97" w:rsidP="00467CE6">
            <w:pPr>
              <w:contextualSpacing/>
              <w:jc w:val="center"/>
            </w:pPr>
            <w:r>
              <w:t>P</w:t>
            </w:r>
          </w:p>
        </w:tc>
        <w:tc>
          <w:tcPr>
            <w:tcW w:w="1212" w:type="dxa"/>
            <w:tcBorders>
              <w:top w:val="nil"/>
              <w:left w:val="nil"/>
              <w:bottom w:val="nil"/>
              <w:right w:val="nil"/>
            </w:tcBorders>
            <w:shd w:val="clear" w:color="auto" w:fill="E7E6E6" w:themeFill="background2"/>
          </w:tcPr>
          <w:p w:rsidR="00372E97" w:rsidRDefault="00372E97" w:rsidP="00467CE6">
            <w:pPr>
              <w:contextualSpacing/>
              <w:jc w:val="center"/>
            </w:pPr>
            <w:r>
              <w:t>P</w:t>
            </w:r>
          </w:p>
        </w:tc>
        <w:tc>
          <w:tcPr>
            <w:tcW w:w="1039" w:type="dxa"/>
            <w:tcBorders>
              <w:top w:val="nil"/>
              <w:left w:val="nil"/>
              <w:bottom w:val="nil"/>
              <w:right w:val="nil"/>
            </w:tcBorders>
            <w:shd w:val="clear" w:color="auto" w:fill="E7E6E6" w:themeFill="background2"/>
          </w:tcPr>
          <w:p w:rsidR="00372E97" w:rsidRDefault="00372E97" w:rsidP="00467CE6">
            <w:pPr>
              <w:contextualSpacing/>
              <w:jc w:val="center"/>
            </w:pPr>
          </w:p>
        </w:tc>
        <w:tc>
          <w:tcPr>
            <w:tcW w:w="1385" w:type="dxa"/>
            <w:tcBorders>
              <w:top w:val="nil"/>
              <w:left w:val="nil"/>
              <w:bottom w:val="nil"/>
              <w:right w:val="nil"/>
            </w:tcBorders>
            <w:shd w:val="clear" w:color="auto" w:fill="E7E6E6" w:themeFill="background2"/>
          </w:tcPr>
          <w:p w:rsidR="00372E97" w:rsidRDefault="00372E97" w:rsidP="00467CE6">
            <w:pPr>
              <w:contextualSpacing/>
              <w:jc w:val="center"/>
            </w:pPr>
            <w:r>
              <w:t>SP</w:t>
            </w:r>
          </w:p>
        </w:tc>
        <w:tc>
          <w:tcPr>
            <w:tcW w:w="1213" w:type="dxa"/>
            <w:tcBorders>
              <w:top w:val="nil"/>
              <w:left w:val="nil"/>
              <w:bottom w:val="nil"/>
              <w:right w:val="nil"/>
            </w:tcBorders>
            <w:shd w:val="clear" w:color="auto" w:fill="E7E6E6" w:themeFill="background2"/>
          </w:tcPr>
          <w:p w:rsidR="00372E97" w:rsidRDefault="00372E97" w:rsidP="00467CE6">
            <w:pPr>
              <w:contextualSpacing/>
              <w:jc w:val="center"/>
            </w:pPr>
            <w:r>
              <w:t>C</w:t>
            </w:r>
          </w:p>
        </w:tc>
        <w:tc>
          <w:tcPr>
            <w:tcW w:w="1213" w:type="dxa"/>
            <w:tcBorders>
              <w:top w:val="nil"/>
              <w:left w:val="nil"/>
              <w:bottom w:val="nil"/>
            </w:tcBorders>
            <w:shd w:val="clear" w:color="auto" w:fill="E7E6E6" w:themeFill="background2"/>
          </w:tcPr>
          <w:p w:rsidR="00372E97" w:rsidRDefault="00372E97" w:rsidP="00467CE6">
            <w:pPr>
              <w:contextualSpacing/>
              <w:jc w:val="center"/>
            </w:pPr>
            <w:r>
              <w:t>C</w:t>
            </w:r>
          </w:p>
        </w:tc>
      </w:tr>
      <w:tr w:rsidR="00372E97" w:rsidTr="00467CE6">
        <w:tc>
          <w:tcPr>
            <w:tcW w:w="1435" w:type="dxa"/>
            <w:tcBorders>
              <w:top w:val="nil"/>
              <w:bottom w:val="nil"/>
            </w:tcBorders>
          </w:tcPr>
          <w:p w:rsidR="00372E97" w:rsidRDefault="00372E97" w:rsidP="00467CE6">
            <w:pPr>
              <w:contextualSpacing/>
              <w:jc w:val="right"/>
            </w:pPr>
            <w:r>
              <w:t>China</w:t>
            </w:r>
          </w:p>
        </w:tc>
        <w:tc>
          <w:tcPr>
            <w:tcW w:w="989" w:type="dxa"/>
            <w:tcBorders>
              <w:top w:val="nil"/>
              <w:bottom w:val="nil"/>
              <w:right w:val="nil"/>
            </w:tcBorders>
          </w:tcPr>
          <w:p w:rsidR="00372E97" w:rsidRDefault="00372E97" w:rsidP="00467CE6">
            <w:pPr>
              <w:contextualSpacing/>
              <w:jc w:val="center"/>
            </w:pPr>
            <w:r>
              <w:t>P</w:t>
            </w:r>
          </w:p>
        </w:tc>
        <w:tc>
          <w:tcPr>
            <w:tcW w:w="1212" w:type="dxa"/>
            <w:tcBorders>
              <w:top w:val="nil"/>
              <w:left w:val="nil"/>
              <w:bottom w:val="nil"/>
              <w:right w:val="nil"/>
            </w:tcBorders>
          </w:tcPr>
          <w:p w:rsidR="00372E97" w:rsidRDefault="00372E97" w:rsidP="00467CE6">
            <w:pPr>
              <w:contextualSpacing/>
              <w:jc w:val="center"/>
            </w:pPr>
            <w:r>
              <w:t>P</w:t>
            </w:r>
          </w:p>
        </w:tc>
        <w:tc>
          <w:tcPr>
            <w:tcW w:w="1039" w:type="dxa"/>
            <w:tcBorders>
              <w:top w:val="nil"/>
              <w:left w:val="nil"/>
              <w:bottom w:val="nil"/>
              <w:right w:val="nil"/>
            </w:tcBorders>
          </w:tcPr>
          <w:p w:rsidR="00372E97" w:rsidRDefault="00372E97" w:rsidP="00467CE6">
            <w:pPr>
              <w:contextualSpacing/>
              <w:jc w:val="center"/>
            </w:pPr>
          </w:p>
        </w:tc>
        <w:tc>
          <w:tcPr>
            <w:tcW w:w="1385" w:type="dxa"/>
            <w:tcBorders>
              <w:top w:val="nil"/>
              <w:left w:val="nil"/>
              <w:bottom w:val="nil"/>
              <w:right w:val="nil"/>
            </w:tcBorders>
          </w:tcPr>
          <w:p w:rsidR="00372E97" w:rsidRDefault="00372E97" w:rsidP="00467CE6">
            <w:pPr>
              <w:contextualSpacing/>
              <w:jc w:val="center"/>
            </w:pPr>
            <w:r>
              <w:t>SC</w:t>
            </w:r>
          </w:p>
        </w:tc>
        <w:tc>
          <w:tcPr>
            <w:tcW w:w="1213" w:type="dxa"/>
            <w:tcBorders>
              <w:top w:val="nil"/>
              <w:left w:val="nil"/>
              <w:bottom w:val="nil"/>
              <w:right w:val="nil"/>
            </w:tcBorders>
          </w:tcPr>
          <w:p w:rsidR="00372E97" w:rsidRDefault="00372E97" w:rsidP="00467CE6">
            <w:pPr>
              <w:contextualSpacing/>
              <w:jc w:val="center"/>
            </w:pPr>
            <w:r>
              <w:t>C</w:t>
            </w:r>
          </w:p>
        </w:tc>
        <w:tc>
          <w:tcPr>
            <w:tcW w:w="1213" w:type="dxa"/>
            <w:tcBorders>
              <w:top w:val="nil"/>
              <w:left w:val="nil"/>
              <w:bottom w:val="nil"/>
            </w:tcBorders>
          </w:tcPr>
          <w:p w:rsidR="00372E97" w:rsidRDefault="00372E97" w:rsidP="00467CE6">
            <w:pPr>
              <w:contextualSpacing/>
              <w:jc w:val="center"/>
            </w:pPr>
            <w:r>
              <w:t>C</w:t>
            </w:r>
          </w:p>
        </w:tc>
      </w:tr>
      <w:tr w:rsidR="00372E97" w:rsidTr="00467CE6">
        <w:tc>
          <w:tcPr>
            <w:tcW w:w="1435" w:type="dxa"/>
            <w:tcBorders>
              <w:top w:val="nil"/>
              <w:bottom w:val="nil"/>
            </w:tcBorders>
            <w:shd w:val="clear" w:color="auto" w:fill="E7E6E6" w:themeFill="background2"/>
          </w:tcPr>
          <w:p w:rsidR="00372E97" w:rsidRDefault="00372E97" w:rsidP="00467CE6">
            <w:pPr>
              <w:contextualSpacing/>
              <w:jc w:val="right"/>
            </w:pPr>
            <w:r>
              <w:t>South Africa</w:t>
            </w:r>
          </w:p>
        </w:tc>
        <w:tc>
          <w:tcPr>
            <w:tcW w:w="989" w:type="dxa"/>
            <w:tcBorders>
              <w:top w:val="nil"/>
              <w:bottom w:val="nil"/>
              <w:right w:val="nil"/>
            </w:tcBorders>
            <w:shd w:val="clear" w:color="auto" w:fill="E7E6E6" w:themeFill="background2"/>
          </w:tcPr>
          <w:p w:rsidR="00372E97" w:rsidRDefault="00372E97" w:rsidP="00467CE6">
            <w:pPr>
              <w:contextualSpacing/>
              <w:jc w:val="center"/>
            </w:pPr>
            <w:r>
              <w:t>C</w:t>
            </w:r>
          </w:p>
        </w:tc>
        <w:tc>
          <w:tcPr>
            <w:tcW w:w="1212" w:type="dxa"/>
            <w:tcBorders>
              <w:top w:val="nil"/>
              <w:left w:val="nil"/>
              <w:bottom w:val="nil"/>
              <w:right w:val="nil"/>
            </w:tcBorders>
            <w:shd w:val="clear" w:color="auto" w:fill="E7E6E6" w:themeFill="background2"/>
          </w:tcPr>
          <w:p w:rsidR="00372E97" w:rsidRDefault="00372E97" w:rsidP="00467CE6">
            <w:pPr>
              <w:contextualSpacing/>
              <w:jc w:val="center"/>
            </w:pPr>
            <w:r>
              <w:t>SP</w:t>
            </w:r>
          </w:p>
        </w:tc>
        <w:tc>
          <w:tcPr>
            <w:tcW w:w="1039" w:type="dxa"/>
            <w:tcBorders>
              <w:top w:val="nil"/>
              <w:left w:val="nil"/>
              <w:bottom w:val="nil"/>
              <w:right w:val="nil"/>
            </w:tcBorders>
            <w:shd w:val="clear" w:color="auto" w:fill="E7E6E6" w:themeFill="background2"/>
          </w:tcPr>
          <w:p w:rsidR="00372E97" w:rsidRDefault="00372E97" w:rsidP="00467CE6">
            <w:pPr>
              <w:contextualSpacing/>
              <w:jc w:val="center"/>
            </w:pPr>
            <w:r>
              <w:t>SP</w:t>
            </w:r>
          </w:p>
        </w:tc>
        <w:tc>
          <w:tcPr>
            <w:tcW w:w="1385" w:type="dxa"/>
            <w:tcBorders>
              <w:top w:val="nil"/>
              <w:left w:val="nil"/>
              <w:bottom w:val="nil"/>
              <w:right w:val="nil"/>
            </w:tcBorders>
            <w:shd w:val="clear" w:color="auto" w:fill="E7E6E6" w:themeFill="background2"/>
          </w:tcPr>
          <w:p w:rsidR="00372E97" w:rsidRDefault="00372E97" w:rsidP="00467CE6">
            <w:pPr>
              <w:contextualSpacing/>
              <w:jc w:val="center"/>
            </w:pPr>
            <w:r>
              <w:t>SP</w:t>
            </w:r>
          </w:p>
        </w:tc>
        <w:tc>
          <w:tcPr>
            <w:tcW w:w="1213" w:type="dxa"/>
            <w:tcBorders>
              <w:top w:val="nil"/>
              <w:left w:val="nil"/>
              <w:bottom w:val="nil"/>
              <w:right w:val="nil"/>
            </w:tcBorders>
            <w:shd w:val="clear" w:color="auto" w:fill="E7E6E6" w:themeFill="background2"/>
          </w:tcPr>
          <w:p w:rsidR="00372E97" w:rsidRDefault="00372E97" w:rsidP="00467CE6">
            <w:pPr>
              <w:contextualSpacing/>
              <w:jc w:val="center"/>
            </w:pPr>
            <w:r>
              <w:t>P</w:t>
            </w:r>
          </w:p>
        </w:tc>
        <w:tc>
          <w:tcPr>
            <w:tcW w:w="1213" w:type="dxa"/>
            <w:tcBorders>
              <w:top w:val="nil"/>
              <w:left w:val="nil"/>
              <w:bottom w:val="nil"/>
            </w:tcBorders>
            <w:shd w:val="clear" w:color="auto" w:fill="E7E6E6" w:themeFill="background2"/>
          </w:tcPr>
          <w:p w:rsidR="00372E97" w:rsidRDefault="00372E97" w:rsidP="00467CE6">
            <w:pPr>
              <w:contextualSpacing/>
              <w:jc w:val="center"/>
            </w:pPr>
            <w:r>
              <w:t>C</w:t>
            </w:r>
          </w:p>
        </w:tc>
      </w:tr>
      <w:tr w:rsidR="00372E97" w:rsidTr="00467CE6">
        <w:tc>
          <w:tcPr>
            <w:tcW w:w="1435" w:type="dxa"/>
            <w:tcBorders>
              <w:top w:val="nil"/>
              <w:bottom w:val="nil"/>
            </w:tcBorders>
          </w:tcPr>
          <w:p w:rsidR="00372E97" w:rsidRDefault="00372E97" w:rsidP="00467CE6">
            <w:pPr>
              <w:contextualSpacing/>
              <w:jc w:val="right"/>
            </w:pPr>
            <w:r>
              <w:t>United Kingdom</w:t>
            </w:r>
          </w:p>
        </w:tc>
        <w:tc>
          <w:tcPr>
            <w:tcW w:w="989" w:type="dxa"/>
            <w:tcBorders>
              <w:top w:val="nil"/>
              <w:bottom w:val="nil"/>
              <w:right w:val="nil"/>
            </w:tcBorders>
          </w:tcPr>
          <w:p w:rsidR="00372E97" w:rsidRDefault="00372E97" w:rsidP="00467CE6">
            <w:pPr>
              <w:contextualSpacing/>
              <w:jc w:val="center"/>
            </w:pPr>
            <w:r>
              <w:t>C</w:t>
            </w:r>
          </w:p>
        </w:tc>
        <w:tc>
          <w:tcPr>
            <w:tcW w:w="1212" w:type="dxa"/>
            <w:tcBorders>
              <w:top w:val="nil"/>
              <w:left w:val="nil"/>
              <w:bottom w:val="nil"/>
              <w:right w:val="nil"/>
            </w:tcBorders>
          </w:tcPr>
          <w:p w:rsidR="00372E97" w:rsidRDefault="00372E97" w:rsidP="00467CE6">
            <w:pPr>
              <w:contextualSpacing/>
              <w:jc w:val="center"/>
            </w:pPr>
            <w:r>
              <w:t>C</w:t>
            </w:r>
          </w:p>
        </w:tc>
        <w:tc>
          <w:tcPr>
            <w:tcW w:w="1039" w:type="dxa"/>
            <w:tcBorders>
              <w:top w:val="nil"/>
              <w:left w:val="nil"/>
              <w:bottom w:val="nil"/>
              <w:right w:val="nil"/>
            </w:tcBorders>
          </w:tcPr>
          <w:p w:rsidR="00372E97" w:rsidRDefault="00372E97" w:rsidP="00467CE6">
            <w:pPr>
              <w:contextualSpacing/>
              <w:jc w:val="center"/>
            </w:pPr>
          </w:p>
        </w:tc>
        <w:tc>
          <w:tcPr>
            <w:tcW w:w="1385" w:type="dxa"/>
            <w:tcBorders>
              <w:top w:val="nil"/>
              <w:left w:val="nil"/>
              <w:bottom w:val="nil"/>
              <w:right w:val="nil"/>
            </w:tcBorders>
          </w:tcPr>
          <w:p w:rsidR="00372E97" w:rsidRDefault="00372E97" w:rsidP="00467CE6">
            <w:pPr>
              <w:contextualSpacing/>
              <w:jc w:val="center"/>
            </w:pPr>
            <w:r>
              <w:t>C</w:t>
            </w:r>
          </w:p>
        </w:tc>
        <w:tc>
          <w:tcPr>
            <w:tcW w:w="1213" w:type="dxa"/>
            <w:tcBorders>
              <w:top w:val="nil"/>
              <w:left w:val="nil"/>
              <w:bottom w:val="nil"/>
              <w:right w:val="nil"/>
            </w:tcBorders>
          </w:tcPr>
          <w:p w:rsidR="00372E97" w:rsidRDefault="00372E97" w:rsidP="00467CE6">
            <w:pPr>
              <w:contextualSpacing/>
              <w:jc w:val="center"/>
            </w:pPr>
            <w:r>
              <w:t>C</w:t>
            </w:r>
          </w:p>
        </w:tc>
        <w:tc>
          <w:tcPr>
            <w:tcW w:w="1213" w:type="dxa"/>
            <w:tcBorders>
              <w:top w:val="nil"/>
              <w:left w:val="nil"/>
              <w:bottom w:val="nil"/>
            </w:tcBorders>
          </w:tcPr>
          <w:p w:rsidR="00372E97" w:rsidRDefault="00372E97" w:rsidP="00467CE6">
            <w:pPr>
              <w:contextualSpacing/>
              <w:jc w:val="center"/>
            </w:pPr>
            <w:r>
              <w:t>C</w:t>
            </w:r>
          </w:p>
        </w:tc>
      </w:tr>
      <w:tr w:rsidR="00372E97" w:rsidTr="00467CE6">
        <w:tc>
          <w:tcPr>
            <w:tcW w:w="1435" w:type="dxa"/>
            <w:tcBorders>
              <w:top w:val="nil"/>
            </w:tcBorders>
            <w:shd w:val="clear" w:color="auto" w:fill="E7E6E6" w:themeFill="background2"/>
          </w:tcPr>
          <w:p w:rsidR="00372E97" w:rsidRDefault="00372E97" w:rsidP="00467CE6">
            <w:pPr>
              <w:contextualSpacing/>
              <w:jc w:val="right"/>
            </w:pPr>
            <w:r>
              <w:t>United States</w:t>
            </w:r>
          </w:p>
        </w:tc>
        <w:tc>
          <w:tcPr>
            <w:tcW w:w="989" w:type="dxa"/>
            <w:tcBorders>
              <w:top w:val="nil"/>
              <w:right w:val="nil"/>
            </w:tcBorders>
            <w:shd w:val="clear" w:color="auto" w:fill="E7E6E6" w:themeFill="background2"/>
          </w:tcPr>
          <w:p w:rsidR="00372E97" w:rsidRDefault="00372E97" w:rsidP="00467CE6">
            <w:pPr>
              <w:contextualSpacing/>
              <w:jc w:val="center"/>
            </w:pPr>
            <w:r>
              <w:t>C</w:t>
            </w:r>
          </w:p>
        </w:tc>
        <w:tc>
          <w:tcPr>
            <w:tcW w:w="1212" w:type="dxa"/>
            <w:tcBorders>
              <w:top w:val="nil"/>
              <w:left w:val="nil"/>
              <w:right w:val="nil"/>
            </w:tcBorders>
            <w:shd w:val="clear" w:color="auto" w:fill="E7E6E6" w:themeFill="background2"/>
          </w:tcPr>
          <w:p w:rsidR="00372E97" w:rsidRDefault="00372E97" w:rsidP="00467CE6">
            <w:pPr>
              <w:contextualSpacing/>
              <w:jc w:val="center"/>
            </w:pPr>
            <w:r>
              <w:t>C</w:t>
            </w:r>
          </w:p>
        </w:tc>
        <w:tc>
          <w:tcPr>
            <w:tcW w:w="1039" w:type="dxa"/>
            <w:tcBorders>
              <w:top w:val="nil"/>
              <w:left w:val="nil"/>
              <w:right w:val="nil"/>
            </w:tcBorders>
            <w:shd w:val="clear" w:color="auto" w:fill="E7E6E6" w:themeFill="background2"/>
          </w:tcPr>
          <w:p w:rsidR="00372E97" w:rsidRDefault="00372E97" w:rsidP="00467CE6">
            <w:pPr>
              <w:contextualSpacing/>
              <w:jc w:val="center"/>
            </w:pPr>
          </w:p>
        </w:tc>
        <w:tc>
          <w:tcPr>
            <w:tcW w:w="1385" w:type="dxa"/>
            <w:tcBorders>
              <w:top w:val="nil"/>
              <w:left w:val="nil"/>
              <w:right w:val="nil"/>
            </w:tcBorders>
            <w:shd w:val="clear" w:color="auto" w:fill="E7E6E6" w:themeFill="background2"/>
          </w:tcPr>
          <w:p w:rsidR="00372E97" w:rsidRDefault="00372E97" w:rsidP="00467CE6">
            <w:pPr>
              <w:contextualSpacing/>
              <w:jc w:val="center"/>
            </w:pPr>
            <w:r>
              <w:t>C</w:t>
            </w:r>
          </w:p>
        </w:tc>
        <w:tc>
          <w:tcPr>
            <w:tcW w:w="1213" w:type="dxa"/>
            <w:tcBorders>
              <w:top w:val="nil"/>
              <w:left w:val="nil"/>
              <w:right w:val="nil"/>
            </w:tcBorders>
            <w:shd w:val="clear" w:color="auto" w:fill="E7E6E6" w:themeFill="background2"/>
          </w:tcPr>
          <w:p w:rsidR="00372E97" w:rsidRDefault="00372E97" w:rsidP="00467CE6">
            <w:pPr>
              <w:contextualSpacing/>
              <w:jc w:val="center"/>
            </w:pPr>
            <w:r>
              <w:t>C</w:t>
            </w:r>
          </w:p>
        </w:tc>
        <w:tc>
          <w:tcPr>
            <w:tcW w:w="1213" w:type="dxa"/>
            <w:tcBorders>
              <w:top w:val="nil"/>
              <w:left w:val="nil"/>
            </w:tcBorders>
            <w:shd w:val="clear" w:color="auto" w:fill="E7E6E6" w:themeFill="background2"/>
          </w:tcPr>
          <w:p w:rsidR="00372E97" w:rsidRDefault="00372E97" w:rsidP="00467CE6">
            <w:pPr>
              <w:contextualSpacing/>
              <w:jc w:val="center"/>
            </w:pPr>
            <w:r>
              <w:t>C</w:t>
            </w:r>
          </w:p>
        </w:tc>
      </w:tr>
    </w:tbl>
    <w:p w:rsidR="00951ABC" w:rsidRDefault="003B6046">
      <w:pPr>
        <w:rPr>
          <w:rFonts w:eastAsia="Calibri"/>
          <w:noProof/>
        </w:rPr>
      </w:pPr>
      <w:r>
        <w:rPr>
          <w:rFonts w:eastAsia="Calibri"/>
          <w:noProof/>
        </w:rPr>
        <w:t>See Table 3</w:t>
      </w:r>
      <w:r w:rsidR="00372E97">
        <w:rPr>
          <w:rFonts w:eastAsia="Calibri"/>
          <w:noProof/>
        </w:rPr>
        <w:t xml:space="preserve"> below for countries by WSP. </w:t>
      </w:r>
    </w:p>
    <w:p w:rsidR="00057B53" w:rsidRDefault="00057B53"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6F0D5D" w:rsidRDefault="006F0D5D" w:rsidP="00C375CC">
      <w:pPr>
        <w:spacing w:after="200" w:line="240" w:lineRule="auto"/>
        <w:contextualSpacing/>
        <w:rPr>
          <w:rFonts w:eastAsia="Calibri"/>
          <w:noProof/>
        </w:rPr>
      </w:pPr>
    </w:p>
    <w:p w:rsidR="00C375CC" w:rsidRDefault="003B6046" w:rsidP="00C375CC">
      <w:pPr>
        <w:spacing w:after="200" w:line="240" w:lineRule="auto"/>
        <w:contextualSpacing/>
        <w:rPr>
          <w:rFonts w:eastAsia="Calibri"/>
          <w:noProof/>
        </w:rPr>
      </w:pPr>
      <w:r>
        <w:rPr>
          <w:rFonts w:eastAsia="Calibri"/>
          <w:noProof/>
        </w:rPr>
        <w:lastRenderedPageBreak/>
        <w:t>Table 3</w:t>
      </w:r>
      <w:r w:rsidR="00C375CC" w:rsidRPr="00C375CC">
        <w:rPr>
          <w:rFonts w:eastAsia="Calibri"/>
          <w:noProof/>
        </w:rPr>
        <w:t xml:space="preserve">. </w:t>
      </w:r>
      <w:r w:rsidR="00C375CC" w:rsidRPr="008D6BD4">
        <w:rPr>
          <w:rFonts w:eastAsia="Calibri"/>
          <w:noProof/>
        </w:rPr>
        <w:t>Countries</w:t>
      </w:r>
      <w:r w:rsidR="00C375CC" w:rsidRPr="00C375CC">
        <w:rPr>
          <w:rFonts w:eastAsia="Calibri"/>
          <w:noProof/>
        </w:rPr>
        <w:t xml:space="preserve"> by World-Systems Position</w:t>
      </w:r>
      <w:r w:rsidR="00152132">
        <w:rPr>
          <w:rFonts w:eastAsia="Calibri"/>
          <w:noProof/>
        </w:rPr>
        <w:t>.</w:t>
      </w:r>
    </w:p>
    <w:tbl>
      <w:tblPr>
        <w:tblStyle w:val="TableGrid"/>
        <w:tblW w:w="0" w:type="auto"/>
        <w:tblLook w:val="04A0" w:firstRow="1" w:lastRow="0" w:firstColumn="1" w:lastColumn="0" w:noHBand="0" w:noVBand="1"/>
      </w:tblPr>
      <w:tblGrid>
        <w:gridCol w:w="2700"/>
        <w:gridCol w:w="2880"/>
        <w:gridCol w:w="2790"/>
      </w:tblGrid>
      <w:tr w:rsidR="00AD5C82" w:rsidRPr="00C375CC" w:rsidTr="00BF0408">
        <w:tc>
          <w:tcPr>
            <w:tcW w:w="2700" w:type="dxa"/>
            <w:tcBorders>
              <w:top w:val="single" w:sz="4" w:space="0" w:color="auto"/>
              <w:left w:val="nil"/>
              <w:bottom w:val="single" w:sz="4" w:space="0" w:color="auto"/>
              <w:right w:val="nil"/>
            </w:tcBorders>
          </w:tcPr>
          <w:p w:rsidR="00AD5C82" w:rsidRPr="00C375CC" w:rsidRDefault="00AD5C82" w:rsidP="00BF0408">
            <w:r w:rsidRPr="00C375CC">
              <w:rPr>
                <w:sz w:val="20"/>
                <w:szCs w:val="20"/>
              </w:rPr>
              <w:t>Periphery</w:t>
            </w:r>
          </w:p>
        </w:tc>
        <w:tc>
          <w:tcPr>
            <w:tcW w:w="2880" w:type="dxa"/>
            <w:tcBorders>
              <w:top w:val="single" w:sz="4" w:space="0" w:color="auto"/>
              <w:left w:val="nil"/>
              <w:bottom w:val="single" w:sz="4" w:space="0" w:color="auto"/>
              <w:right w:val="nil"/>
            </w:tcBorders>
          </w:tcPr>
          <w:p w:rsidR="00AD5C82" w:rsidRPr="00C375CC" w:rsidRDefault="00AD5C82" w:rsidP="00BF0408">
            <w:r w:rsidRPr="00C375CC">
              <w:rPr>
                <w:sz w:val="20"/>
                <w:szCs w:val="20"/>
              </w:rPr>
              <w:t>Semiperiphery</w:t>
            </w:r>
          </w:p>
        </w:tc>
        <w:tc>
          <w:tcPr>
            <w:tcW w:w="2790" w:type="dxa"/>
            <w:tcBorders>
              <w:top w:val="single" w:sz="4" w:space="0" w:color="auto"/>
              <w:left w:val="nil"/>
              <w:bottom w:val="single" w:sz="4" w:space="0" w:color="auto"/>
              <w:right w:val="nil"/>
            </w:tcBorders>
          </w:tcPr>
          <w:p w:rsidR="00AD5C82" w:rsidRPr="00C375CC" w:rsidRDefault="00AD5C82" w:rsidP="00BF0408">
            <w:r w:rsidRPr="00C375CC">
              <w:rPr>
                <w:sz w:val="20"/>
                <w:szCs w:val="20"/>
              </w:rPr>
              <w:t>Core</w:t>
            </w:r>
          </w:p>
        </w:tc>
      </w:tr>
      <w:tr w:rsidR="00AD5C82" w:rsidRPr="00C375CC" w:rsidTr="00BF0408">
        <w:tc>
          <w:tcPr>
            <w:tcW w:w="2700" w:type="dxa"/>
            <w:tcBorders>
              <w:top w:val="single" w:sz="4" w:space="0" w:color="auto"/>
              <w:left w:val="nil"/>
              <w:bottom w:val="nil"/>
              <w:right w:val="nil"/>
            </w:tcBorders>
          </w:tcPr>
          <w:p w:rsidR="00AD5C82" w:rsidRPr="00C375CC" w:rsidRDefault="00AD5C82" w:rsidP="00BF0408">
            <w:pPr>
              <w:rPr>
                <w:sz w:val="18"/>
                <w:szCs w:val="18"/>
              </w:rPr>
            </w:pPr>
            <w:r w:rsidRPr="00C375CC">
              <w:rPr>
                <w:sz w:val="18"/>
                <w:szCs w:val="18"/>
              </w:rPr>
              <w:t>Albania</w:t>
            </w:r>
          </w:p>
        </w:tc>
        <w:tc>
          <w:tcPr>
            <w:tcW w:w="2880" w:type="dxa"/>
            <w:tcBorders>
              <w:top w:val="single" w:sz="4" w:space="0" w:color="auto"/>
              <w:left w:val="nil"/>
              <w:bottom w:val="nil"/>
              <w:right w:val="nil"/>
            </w:tcBorders>
          </w:tcPr>
          <w:p w:rsidR="00AD5C82" w:rsidRPr="00C375CC" w:rsidRDefault="00AD5C82" w:rsidP="00BF0408">
            <w:pPr>
              <w:rPr>
                <w:sz w:val="18"/>
                <w:szCs w:val="18"/>
              </w:rPr>
            </w:pPr>
            <w:r w:rsidRPr="00C375CC">
              <w:rPr>
                <w:sz w:val="18"/>
                <w:szCs w:val="18"/>
              </w:rPr>
              <w:t>Algeria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Austria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Armenia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Colombia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Belgium</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Bolivia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Costa Rica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Bulgaria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Dominican Republic</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Cote d’Ivoire</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Canada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El Salvador</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Croatia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Chile</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Estonia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Ecuador</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China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Jamaica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Kazakhstan</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Czech Republic</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Kyrgyzstan</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Kenya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Denmark</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Mauritius</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Latvia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Finland</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Moldova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Lithuania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France</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Mongolia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Morocco</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Germany</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Nepal</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Panama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Greece</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Nicaragua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Peru</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Hungary</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Papua New Guinea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Philippines</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India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Paraguay</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Slovakia</w:t>
            </w:r>
          </w:p>
        </w:tc>
        <w:tc>
          <w:tcPr>
            <w:tcW w:w="2790" w:type="dxa"/>
            <w:tcBorders>
              <w:top w:val="nil"/>
              <w:left w:val="nil"/>
              <w:bottom w:val="nil"/>
              <w:right w:val="nil"/>
            </w:tcBorders>
          </w:tcPr>
          <w:p w:rsidR="00AD5C82" w:rsidRPr="00C375CC" w:rsidRDefault="00AD5C82" w:rsidP="00BF0408">
            <w:pPr>
              <w:rPr>
                <w:sz w:val="18"/>
                <w:szCs w:val="18"/>
              </w:rPr>
            </w:pPr>
            <w:r>
              <w:rPr>
                <w:sz w:val="18"/>
                <w:szCs w:val="18"/>
              </w:rPr>
              <w:t>Ireland</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Tajikistan</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Slovenia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Indonesia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Uganda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Sri Lanka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Israel</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r w:rsidRPr="00C375CC">
              <w:rPr>
                <w:sz w:val="18"/>
                <w:szCs w:val="18"/>
              </w:rPr>
              <w:t>Zambia</w:t>
            </w: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Uruguay</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Italy</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r w:rsidRPr="00C375CC">
              <w:rPr>
                <w:sz w:val="18"/>
                <w:szCs w:val="18"/>
              </w:rPr>
              <w:t>Venezuela</w:t>
            </w: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Japan</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525FCF">
              <w:rPr>
                <w:noProof/>
                <w:sz w:val="18"/>
                <w:szCs w:val="18"/>
              </w:rPr>
              <w:t>Republic of Korea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Malaysia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Mexico</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Netherlands</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New Zealand</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Norway</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Pakistan</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Poland</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Portugal</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Romania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Russian Federation</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Singapore</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South Africa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Spain</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Sweden</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Switzerland</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Thailand</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Turkey</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Ukraine</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C375CC">
              <w:rPr>
                <w:sz w:val="18"/>
                <w:szCs w:val="18"/>
              </w:rPr>
              <w:t>United Kingdom</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r w:rsidRPr="00525FCF">
              <w:rPr>
                <w:noProof/>
                <w:sz w:val="18"/>
                <w:szCs w:val="18"/>
              </w:rPr>
              <w:t>United States of America</w:t>
            </w:r>
          </w:p>
        </w:tc>
      </w:tr>
      <w:tr w:rsidR="00AD5C82" w:rsidRPr="00C375CC" w:rsidTr="00BF0408">
        <w:tc>
          <w:tcPr>
            <w:tcW w:w="2700" w:type="dxa"/>
            <w:tcBorders>
              <w:top w:val="nil"/>
              <w:left w:val="nil"/>
              <w:bottom w:val="nil"/>
              <w:right w:val="nil"/>
            </w:tcBorders>
          </w:tcPr>
          <w:p w:rsidR="00AD5C82" w:rsidRPr="00C375CC" w:rsidRDefault="00AD5C82" w:rsidP="00BF0408">
            <w:pPr>
              <w:rPr>
                <w:sz w:val="18"/>
                <w:szCs w:val="18"/>
              </w:rPr>
            </w:pPr>
          </w:p>
        </w:tc>
        <w:tc>
          <w:tcPr>
            <w:tcW w:w="2880" w:type="dxa"/>
            <w:tcBorders>
              <w:top w:val="nil"/>
              <w:left w:val="nil"/>
              <w:bottom w:val="nil"/>
              <w:right w:val="nil"/>
            </w:tcBorders>
          </w:tcPr>
          <w:p w:rsidR="00AD5C82" w:rsidRPr="00C375CC" w:rsidRDefault="00AD5C82" w:rsidP="00BF0408">
            <w:pPr>
              <w:rPr>
                <w:sz w:val="18"/>
                <w:szCs w:val="18"/>
              </w:rPr>
            </w:pPr>
          </w:p>
        </w:tc>
        <w:tc>
          <w:tcPr>
            <w:tcW w:w="2790" w:type="dxa"/>
            <w:tcBorders>
              <w:top w:val="nil"/>
              <w:left w:val="nil"/>
              <w:bottom w:val="nil"/>
              <w:right w:val="nil"/>
            </w:tcBorders>
          </w:tcPr>
          <w:p w:rsidR="00AD5C82" w:rsidRPr="00C375CC" w:rsidRDefault="00AD5C82" w:rsidP="00BF0408">
            <w:pPr>
              <w:rPr>
                <w:sz w:val="18"/>
                <w:szCs w:val="18"/>
              </w:rPr>
            </w:pPr>
          </w:p>
        </w:tc>
      </w:tr>
    </w:tbl>
    <w:p w:rsidR="00AD5C82" w:rsidRDefault="00AD5C82" w:rsidP="00C375CC">
      <w:pPr>
        <w:spacing w:after="200" w:line="240" w:lineRule="auto"/>
        <w:contextualSpacing/>
        <w:rPr>
          <w:rFonts w:eastAsia="Calibri"/>
          <w:noProof/>
        </w:rPr>
      </w:pPr>
    </w:p>
    <w:p w:rsidR="00C70BEA" w:rsidRPr="00C70BEA" w:rsidRDefault="007B712C" w:rsidP="007B712C">
      <w:pPr>
        <w:spacing w:after="200" w:line="480" w:lineRule="auto"/>
        <w:contextualSpacing/>
        <w:rPr>
          <w:rFonts w:eastAsia="Calibri"/>
        </w:rPr>
      </w:pPr>
      <w:r>
        <w:rPr>
          <w:rFonts w:eastAsia="Calibri"/>
          <w:i/>
        </w:rPr>
        <w:t>Gross domestic product per c</w:t>
      </w:r>
      <w:r w:rsidR="00C70BEA" w:rsidRPr="00C70BEA">
        <w:rPr>
          <w:rFonts w:eastAsia="Calibri"/>
          <w:i/>
        </w:rPr>
        <w:t xml:space="preserve">apita. </w:t>
      </w:r>
      <w:r w:rsidR="00C70BEA" w:rsidRPr="008D6BD4">
        <w:rPr>
          <w:rFonts w:eastAsia="Calibri"/>
          <w:noProof/>
        </w:rPr>
        <w:t>I</w:t>
      </w:r>
      <w:r w:rsidR="00C70BEA" w:rsidRPr="00C70BEA">
        <w:rPr>
          <w:rFonts w:eastAsia="Calibri"/>
        </w:rPr>
        <w:t xml:space="preserve"> use </w:t>
      </w:r>
      <w:r w:rsidR="00C70BEA" w:rsidRPr="003B454F">
        <w:rPr>
          <w:rFonts w:eastAsia="Calibri"/>
          <w:noProof/>
        </w:rPr>
        <w:t>gross</w:t>
      </w:r>
      <w:r w:rsidR="00C70BEA" w:rsidRPr="00C70BEA">
        <w:rPr>
          <w:rFonts w:eastAsia="Calibri"/>
        </w:rPr>
        <w:t xml:space="preserve"> domestic product per capita (GDPPC) for each country, based on purchasing power parity, as a measure of economic development (Clark 2011). It stands to reason that at higher levels of development, additional funds are available to use for incarceration costs. These data were collected from World Bank</w:t>
      </w:r>
      <w:r w:rsidR="003A38B0">
        <w:rPr>
          <w:rFonts w:eastAsia="Calibri"/>
        </w:rPr>
        <w:t xml:space="preserve"> (N.d.a)</w:t>
      </w:r>
      <w:r w:rsidR="00C41EDE">
        <w:rPr>
          <w:rFonts w:eastAsia="Calibri"/>
        </w:rPr>
        <w:t xml:space="preserve"> data</w:t>
      </w:r>
      <w:r w:rsidR="00C70BEA" w:rsidRPr="00C70BEA">
        <w:rPr>
          <w:rFonts w:eastAsia="Calibri"/>
        </w:rPr>
        <w:t xml:space="preserve">. The figures </w:t>
      </w:r>
      <w:r w:rsidR="00C70BEA" w:rsidRPr="00C70BEA">
        <w:rPr>
          <w:rFonts w:eastAsia="Calibri"/>
          <w:noProof/>
        </w:rPr>
        <w:t xml:space="preserve">are </w:t>
      </w:r>
      <w:r w:rsidR="00C70BEA" w:rsidRPr="00C70BEA">
        <w:rPr>
          <w:rFonts w:eastAsia="Calibri"/>
        </w:rPr>
        <w:t xml:space="preserve">in constant 2011 international dollars and are indicative of </w:t>
      </w:r>
      <w:r w:rsidR="00C70BEA" w:rsidRPr="00C70BEA">
        <w:rPr>
          <w:rFonts w:eastAsia="Calibri"/>
          <w:noProof/>
        </w:rPr>
        <w:t>the purchasing power of the U.S. dollar in the United States.</w:t>
      </w:r>
      <w:r w:rsidR="00C70BEA" w:rsidRPr="00C70BEA">
        <w:rPr>
          <w:rFonts w:eastAsia="Calibri"/>
        </w:rPr>
        <w:t xml:space="preserve"> The maximum coverage is from 1990 through 2012. </w:t>
      </w:r>
    </w:p>
    <w:p w:rsidR="00C41EDE" w:rsidRDefault="00C70BEA" w:rsidP="00AD5C82">
      <w:pPr>
        <w:spacing w:after="200" w:line="480" w:lineRule="auto"/>
        <w:contextualSpacing/>
        <w:rPr>
          <w:rFonts w:eastAsia="Calibri"/>
        </w:rPr>
      </w:pPr>
      <w:r w:rsidRPr="00C70BEA">
        <w:rPr>
          <w:rFonts w:eastAsia="Calibri"/>
        </w:rPr>
        <w:lastRenderedPageBreak/>
        <w:tab/>
      </w:r>
      <w:r w:rsidRPr="008D6BD4">
        <w:rPr>
          <w:rFonts w:eastAsia="Calibri"/>
          <w:noProof/>
        </w:rPr>
        <w:t>The following countries have notably fewer years reported: Argentina and Taiwan have no GDPPC reported</w:t>
      </w:r>
      <w:r w:rsidR="001C1CE8" w:rsidRPr="008D6BD4">
        <w:rPr>
          <w:rFonts w:eastAsia="Calibri"/>
          <w:noProof/>
        </w:rPr>
        <w:t>,</w:t>
      </w:r>
      <w:r w:rsidRPr="008D6BD4">
        <w:rPr>
          <w:rFonts w:eastAsia="Calibri"/>
          <w:noProof/>
        </w:rPr>
        <w:t xml:space="preserve"> Timor-Leste’s GDPPC </w:t>
      </w:r>
      <w:r w:rsidRPr="00525FCF">
        <w:rPr>
          <w:rFonts w:eastAsia="Calibri"/>
          <w:noProof/>
        </w:rPr>
        <w:t>is reported</w:t>
      </w:r>
      <w:r w:rsidRPr="008D6BD4">
        <w:rPr>
          <w:rFonts w:eastAsia="Calibri"/>
          <w:noProof/>
        </w:rPr>
        <w:t xml:space="preserve"> for 1999 through 2013</w:t>
      </w:r>
      <w:r w:rsidR="001C1CE8" w:rsidRPr="008D6BD4">
        <w:rPr>
          <w:rFonts w:eastAsia="Calibri"/>
          <w:noProof/>
        </w:rPr>
        <w:t>,</w:t>
      </w:r>
      <w:r w:rsidRPr="008D6BD4">
        <w:rPr>
          <w:rFonts w:eastAsia="Calibri"/>
          <w:noProof/>
        </w:rPr>
        <w:t xml:space="preserve"> and Eastern European countries Croatia and Estonia had no GDPPC </w:t>
      </w:r>
      <w:r w:rsidRPr="00525FCF">
        <w:rPr>
          <w:rFonts w:eastAsia="Calibri"/>
          <w:noProof/>
        </w:rPr>
        <w:t>reported</w:t>
      </w:r>
      <w:r w:rsidRPr="008D6BD4">
        <w:rPr>
          <w:rFonts w:eastAsia="Calibri"/>
          <w:noProof/>
        </w:rPr>
        <w:t xml:space="preserve"> from 1990 through 1994.</w:t>
      </w:r>
      <w:r w:rsidRPr="00C70BEA">
        <w:rPr>
          <w:rFonts w:eastAsia="Calibri"/>
        </w:rPr>
        <w:t xml:space="preserve"> </w:t>
      </w:r>
      <w:r w:rsidRPr="008D6BD4">
        <w:rPr>
          <w:rFonts w:eastAsia="Calibri"/>
          <w:noProof/>
        </w:rPr>
        <w:t>I</w:t>
      </w:r>
      <w:r w:rsidRPr="00C70BEA">
        <w:rPr>
          <w:rFonts w:eastAsia="Calibri"/>
        </w:rPr>
        <w:t xml:space="preserve"> log the variable to reduce skew. See </w:t>
      </w:r>
      <w:r w:rsidR="00AB1C5C">
        <w:rPr>
          <w:rFonts w:eastAsia="Calibri"/>
          <w:noProof/>
        </w:rPr>
        <w:t>Figures 4</w:t>
      </w:r>
      <w:r w:rsidRPr="00C70BEA">
        <w:rPr>
          <w:rFonts w:eastAsia="Calibri"/>
        </w:rPr>
        <w:t xml:space="preserve"> </w:t>
      </w:r>
      <w:r w:rsidR="00AB1C5C">
        <w:rPr>
          <w:rFonts w:eastAsia="Calibri"/>
          <w:noProof/>
        </w:rPr>
        <w:t>and 5</w:t>
      </w:r>
      <w:r w:rsidRPr="00C70BEA">
        <w:rPr>
          <w:rFonts w:eastAsia="Calibri"/>
        </w:rPr>
        <w:t xml:space="preserve"> for </w:t>
      </w:r>
      <w:r w:rsidRPr="00C70BEA">
        <w:rPr>
          <w:rFonts w:eastAsia="Calibri"/>
          <w:noProof/>
        </w:rPr>
        <w:t>distribution</w:t>
      </w:r>
      <w:r w:rsidRPr="00C70BEA">
        <w:rPr>
          <w:rFonts w:eastAsia="Calibri"/>
        </w:rPr>
        <w:t xml:space="preserve"> of GDPPC and GDPPC (logged), respectively. </w:t>
      </w:r>
    </w:p>
    <w:p w:rsidR="00C70BEA" w:rsidRPr="00C70BEA" w:rsidRDefault="00AB1C5C" w:rsidP="00C70BEA">
      <w:pPr>
        <w:spacing w:after="200" w:line="240" w:lineRule="auto"/>
        <w:contextualSpacing/>
        <w:rPr>
          <w:rFonts w:eastAsia="Calibri"/>
        </w:rPr>
      </w:pPr>
      <w:r>
        <w:rPr>
          <w:rFonts w:eastAsia="Calibri"/>
        </w:rPr>
        <w:t>Figure 4</w:t>
      </w:r>
      <w:r w:rsidR="00C70BEA" w:rsidRPr="00C70BEA">
        <w:rPr>
          <w:rFonts w:eastAsia="Calibri"/>
        </w:rPr>
        <w:t>. Gross Domestic Product Per Capita.</w:t>
      </w:r>
    </w:p>
    <w:p w:rsidR="00C70BEA" w:rsidRPr="00C70BEA" w:rsidRDefault="00C70BEA" w:rsidP="00C70BEA">
      <w:pPr>
        <w:spacing w:after="200" w:line="240" w:lineRule="auto"/>
        <w:contextualSpacing/>
        <w:rPr>
          <w:rFonts w:eastAsia="Calibri"/>
        </w:rPr>
      </w:pPr>
      <w:r w:rsidRPr="00C70BEA">
        <w:rPr>
          <w:rFonts w:eastAsia="Calibri"/>
          <w:noProof/>
        </w:rPr>
        <w:drawing>
          <wp:inline distT="0" distB="0" distL="0" distR="0" wp14:anchorId="0C25FEAC" wp14:editId="28A7D1C2">
            <wp:extent cx="5117123" cy="3745050"/>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708_histo_gdppc_normal.e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563480" w:rsidRDefault="00563480"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C70BEA" w:rsidRPr="00C70BEA" w:rsidRDefault="00AB1C5C" w:rsidP="00C70BEA">
      <w:pPr>
        <w:spacing w:after="200" w:line="240" w:lineRule="auto"/>
        <w:contextualSpacing/>
        <w:rPr>
          <w:rFonts w:eastAsia="Calibri"/>
        </w:rPr>
      </w:pPr>
      <w:r>
        <w:rPr>
          <w:rFonts w:eastAsia="Calibri"/>
        </w:rPr>
        <w:lastRenderedPageBreak/>
        <w:t>Figure 5</w:t>
      </w:r>
      <w:r w:rsidR="00B8055E">
        <w:rPr>
          <w:rFonts w:eastAsia="Calibri"/>
        </w:rPr>
        <w:t xml:space="preserve">. </w:t>
      </w:r>
      <w:r w:rsidR="00C70BEA" w:rsidRPr="00C70BEA">
        <w:rPr>
          <w:rFonts w:eastAsia="Calibri"/>
        </w:rPr>
        <w:t xml:space="preserve">Gross Domestic Product Per Capita (logged). </w:t>
      </w:r>
    </w:p>
    <w:p w:rsidR="00C70BEA" w:rsidRDefault="00C70BEA" w:rsidP="00C70BEA">
      <w:pPr>
        <w:spacing w:after="200" w:line="480" w:lineRule="auto"/>
        <w:contextualSpacing/>
        <w:rPr>
          <w:rFonts w:eastAsia="Calibri"/>
        </w:rPr>
      </w:pPr>
      <w:r w:rsidRPr="00C70BEA">
        <w:rPr>
          <w:rFonts w:eastAsia="Calibri"/>
          <w:noProof/>
        </w:rPr>
        <w:drawing>
          <wp:inline distT="0" distB="0" distL="0" distR="0" wp14:anchorId="4926C353" wp14:editId="6F20200D">
            <wp:extent cx="5117123" cy="3745050"/>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708_histo_gdppclg_normal.e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C70BEA" w:rsidRPr="00C70BEA" w:rsidRDefault="00C70BEA" w:rsidP="007B712C">
      <w:pPr>
        <w:spacing w:after="200" w:line="480" w:lineRule="auto"/>
        <w:contextualSpacing/>
        <w:rPr>
          <w:rFonts w:eastAsia="Calibri"/>
        </w:rPr>
      </w:pPr>
      <w:r w:rsidRPr="00C70BEA">
        <w:rPr>
          <w:rFonts w:eastAsia="Calibri"/>
          <w:i/>
        </w:rPr>
        <w:t xml:space="preserve">Democracy. </w:t>
      </w:r>
      <w:r w:rsidRPr="00C70BEA">
        <w:rPr>
          <w:rFonts w:eastAsia="Calibri"/>
        </w:rPr>
        <w:t>Freedom House (2014</w:t>
      </w:r>
      <w:r w:rsidR="003A38B0">
        <w:rPr>
          <w:rFonts w:eastAsia="Calibri"/>
        </w:rPr>
        <w:t>a</w:t>
      </w:r>
      <w:r w:rsidRPr="00C70BEA">
        <w:rPr>
          <w:rFonts w:eastAsia="Calibri"/>
        </w:rPr>
        <w:t xml:space="preserve">) provides two indicators of democracy in their most recent </w:t>
      </w:r>
      <w:r w:rsidRPr="00C70BEA">
        <w:rPr>
          <w:rFonts w:eastAsia="Calibri"/>
          <w:i/>
        </w:rPr>
        <w:t xml:space="preserve">Freedom </w:t>
      </w:r>
      <w:r w:rsidRPr="00C70BEA">
        <w:rPr>
          <w:rFonts w:eastAsia="Calibri"/>
          <w:i/>
          <w:noProof/>
        </w:rPr>
        <w:t>in</w:t>
      </w:r>
      <w:r w:rsidRPr="00C70BEA">
        <w:rPr>
          <w:rFonts w:eastAsia="Calibri"/>
          <w:i/>
        </w:rPr>
        <w:t xml:space="preserve"> the World</w:t>
      </w:r>
      <w:r w:rsidRPr="00C70BEA">
        <w:rPr>
          <w:rFonts w:eastAsia="Calibri"/>
        </w:rPr>
        <w:t xml:space="preserve"> publication. </w:t>
      </w:r>
      <w:r w:rsidRPr="00525FCF">
        <w:rPr>
          <w:rFonts w:eastAsia="Calibri"/>
          <w:noProof/>
        </w:rPr>
        <w:t>Measuring political rights and civil liberties on a</w:t>
      </w:r>
      <w:r w:rsidRPr="00C70BEA">
        <w:rPr>
          <w:rFonts w:eastAsia="Calibri"/>
        </w:rPr>
        <w:t xml:space="preserve"> 1-7 scale, with </w:t>
      </w:r>
      <w:r w:rsidRPr="00525FCF">
        <w:rPr>
          <w:rFonts w:eastAsia="Calibri"/>
          <w:noProof/>
        </w:rPr>
        <w:t>1</w:t>
      </w:r>
      <w:r w:rsidRPr="00C70BEA">
        <w:rPr>
          <w:rFonts w:eastAsia="Calibri"/>
        </w:rPr>
        <w:t xml:space="preserve"> indicating most free and </w:t>
      </w:r>
      <w:r w:rsidRPr="00525FCF">
        <w:rPr>
          <w:rFonts w:eastAsia="Calibri"/>
          <w:noProof/>
        </w:rPr>
        <w:t>7</w:t>
      </w:r>
      <w:r w:rsidRPr="00C70BEA">
        <w:rPr>
          <w:rFonts w:eastAsia="Calibri"/>
        </w:rPr>
        <w:t xml:space="preserve"> least </w:t>
      </w:r>
      <w:r w:rsidRPr="00E13EC7">
        <w:rPr>
          <w:rFonts w:eastAsia="Calibri"/>
          <w:noProof/>
        </w:rPr>
        <w:t>free</w:t>
      </w:r>
      <w:r w:rsidRPr="00C70BEA">
        <w:rPr>
          <w:rFonts w:eastAsia="Calibri"/>
        </w:rPr>
        <w:t xml:space="preserve"> for both indicators. The political rights rating is indicative of the level of self-governmen</w:t>
      </w:r>
      <w:r w:rsidR="00BB04E8">
        <w:rPr>
          <w:rFonts w:eastAsia="Calibri"/>
        </w:rPr>
        <w:t>t and political participation of</w:t>
      </w:r>
      <w:r w:rsidRPr="00C70BEA">
        <w:rPr>
          <w:rFonts w:eastAsia="Calibri"/>
        </w:rPr>
        <w:t xml:space="preserve"> populations, ranging from having free and fair elections to having severe government </w:t>
      </w:r>
      <w:r w:rsidRPr="00C70BEA">
        <w:rPr>
          <w:rFonts w:eastAsia="Calibri"/>
          <w:noProof/>
        </w:rPr>
        <w:t>oppression</w:t>
      </w:r>
      <w:r w:rsidRPr="00C70BEA">
        <w:rPr>
          <w:rFonts w:eastAsia="Calibri"/>
        </w:rPr>
        <w:t xml:space="preserve">. Civil liberties ratings assess freedoms of expression, assembly, association, education, and religion, and the rule of law. The country ratings and status scores for years 1973-2013 </w:t>
      </w:r>
      <w:r w:rsidRPr="00C70BEA">
        <w:rPr>
          <w:rFonts w:eastAsia="Calibri"/>
          <w:noProof/>
        </w:rPr>
        <w:t xml:space="preserve">are available. </w:t>
      </w:r>
      <w:r w:rsidRPr="00E13EC7">
        <w:rPr>
          <w:rFonts w:eastAsia="Calibri"/>
          <w:noProof/>
        </w:rPr>
        <w:t>I</w:t>
      </w:r>
      <w:r w:rsidRPr="00C70BEA">
        <w:rPr>
          <w:rFonts w:eastAsia="Calibri"/>
          <w:noProof/>
        </w:rPr>
        <w:t xml:space="preserve"> use those from 1990-2013. </w:t>
      </w:r>
      <w:r w:rsidRPr="008D6BD4">
        <w:rPr>
          <w:rFonts w:eastAsia="Calibri"/>
          <w:noProof/>
        </w:rPr>
        <w:t>I</w:t>
      </w:r>
      <w:r w:rsidRPr="00C70BEA">
        <w:rPr>
          <w:rFonts w:eastAsia="Calibri"/>
        </w:rPr>
        <w:t xml:space="preserve"> averag</w:t>
      </w:r>
      <w:r w:rsidR="004272CC">
        <w:rPr>
          <w:rFonts w:eastAsia="Calibri"/>
        </w:rPr>
        <w:t>e the two scores and invert them</w:t>
      </w:r>
      <w:r w:rsidRPr="00C70BEA">
        <w:rPr>
          <w:rFonts w:eastAsia="Calibri"/>
        </w:rPr>
        <w:t xml:space="preserve"> indicating that those</w:t>
      </w:r>
      <w:r w:rsidR="004272CC">
        <w:rPr>
          <w:rFonts w:eastAsia="Calibri"/>
        </w:rPr>
        <w:t xml:space="preserve"> countries with scores of 7 are</w:t>
      </w:r>
      <w:r w:rsidRPr="00C70BEA">
        <w:rPr>
          <w:rFonts w:eastAsia="Calibri"/>
        </w:rPr>
        <w:t xml:space="preserve"> most </w:t>
      </w:r>
      <w:r w:rsidRPr="00525FCF">
        <w:rPr>
          <w:rFonts w:eastAsia="Calibri"/>
          <w:noProof/>
        </w:rPr>
        <w:t>free</w:t>
      </w:r>
      <w:r w:rsidRPr="00C70BEA">
        <w:rPr>
          <w:rFonts w:eastAsia="Calibri"/>
        </w:rPr>
        <w:t xml:space="preserve"> </w:t>
      </w:r>
      <w:r w:rsidR="004272CC">
        <w:rPr>
          <w:rFonts w:eastAsia="Calibri"/>
        </w:rPr>
        <w:t>and those with scores of 1 are</w:t>
      </w:r>
      <w:r w:rsidRPr="00C70BEA">
        <w:rPr>
          <w:rFonts w:eastAsia="Calibri"/>
        </w:rPr>
        <w:t xml:space="preserve"> least free. </w:t>
      </w:r>
    </w:p>
    <w:p w:rsidR="00C70BEA" w:rsidRPr="00C70BEA" w:rsidRDefault="00C70BEA" w:rsidP="00C70BEA">
      <w:pPr>
        <w:spacing w:after="200" w:line="480" w:lineRule="auto"/>
        <w:contextualSpacing/>
        <w:rPr>
          <w:rFonts w:eastAsia="Calibri"/>
        </w:rPr>
      </w:pPr>
      <w:r w:rsidRPr="00C70BEA">
        <w:rPr>
          <w:rFonts w:eastAsia="Calibri"/>
        </w:rPr>
        <w:lastRenderedPageBreak/>
        <w:tab/>
      </w:r>
      <w:r w:rsidR="00BB04E8" w:rsidRPr="008D6BD4">
        <w:rPr>
          <w:rFonts w:eastAsia="Calibri"/>
          <w:noProof/>
        </w:rPr>
        <w:t xml:space="preserve">Freedom House </w:t>
      </w:r>
      <w:r w:rsidR="003A38B0" w:rsidRPr="008D6BD4">
        <w:rPr>
          <w:rFonts w:eastAsia="Calibri"/>
          <w:noProof/>
        </w:rPr>
        <w:t xml:space="preserve">(2014b) </w:t>
      </w:r>
      <w:r w:rsidR="00BB04E8" w:rsidRPr="008D6BD4">
        <w:rPr>
          <w:rFonts w:eastAsia="Calibri"/>
          <w:noProof/>
        </w:rPr>
        <w:t>ratings are</w:t>
      </w:r>
      <w:r w:rsidRPr="008D6BD4">
        <w:rPr>
          <w:rFonts w:eastAsia="Calibri"/>
          <w:noProof/>
        </w:rPr>
        <w:t xml:space="preserve"> not</w:t>
      </w:r>
      <w:r w:rsidR="00BB04E8" w:rsidRPr="008D6BD4">
        <w:rPr>
          <w:rFonts w:eastAsia="Calibri"/>
          <w:noProof/>
        </w:rPr>
        <w:t xml:space="preserve"> available for Hong Kong; and a</w:t>
      </w:r>
      <w:r w:rsidRPr="008D6BD4">
        <w:rPr>
          <w:rFonts w:eastAsia="Calibri"/>
          <w:noProof/>
        </w:rPr>
        <w:t>re missing for some of the covered period for Laos (missing 2009-2012), Serbia (missing 1990-2005), Timor-Leste (missing 1990-2000), and Turkmenistan (missing 2007-2012).</w:t>
      </w:r>
      <w:r w:rsidRPr="00C70BEA">
        <w:rPr>
          <w:rFonts w:eastAsia="Calibri"/>
        </w:rPr>
        <w:t xml:space="preserve"> </w:t>
      </w:r>
    </w:p>
    <w:p w:rsidR="00C70BEA" w:rsidRPr="00C70BEA" w:rsidRDefault="00C70BEA" w:rsidP="007B712C">
      <w:pPr>
        <w:spacing w:after="200" w:line="480" w:lineRule="auto"/>
        <w:contextualSpacing/>
        <w:rPr>
          <w:rFonts w:eastAsia="Calibri"/>
        </w:rPr>
      </w:pPr>
      <w:r w:rsidRPr="00C70BEA">
        <w:rPr>
          <w:rFonts w:eastAsia="Calibri"/>
          <w:i/>
        </w:rPr>
        <w:t>Age cohort.</w:t>
      </w:r>
      <w:r w:rsidRPr="00C70BEA">
        <w:rPr>
          <w:rFonts w:eastAsia="Calibri"/>
        </w:rPr>
        <w:t xml:space="preserve"> Data for this variable are from the World Bank’s World Development Indicators</w:t>
      </w:r>
      <w:r w:rsidR="003A38B0">
        <w:rPr>
          <w:rFonts w:eastAsia="Calibri"/>
        </w:rPr>
        <w:t xml:space="preserve"> (N.d.b)</w:t>
      </w:r>
      <w:r w:rsidRPr="00C70BEA">
        <w:rPr>
          <w:rFonts w:eastAsia="Calibri"/>
        </w:rPr>
        <w:t xml:space="preserve">. They indicate the percentage of the population between the ages of 15 and 64 for each of the countries for each year listed. The greater the </w:t>
      </w:r>
      <w:r w:rsidRPr="00525FCF">
        <w:rPr>
          <w:rFonts w:eastAsia="Calibri"/>
          <w:noProof/>
        </w:rPr>
        <w:t>p</w:t>
      </w:r>
      <w:r w:rsidR="00525FCF">
        <w:rPr>
          <w:rFonts w:eastAsia="Calibri"/>
          <w:noProof/>
        </w:rPr>
        <w:t>roportion</w:t>
      </w:r>
      <w:r w:rsidRPr="00C70BEA">
        <w:rPr>
          <w:rFonts w:eastAsia="Calibri"/>
        </w:rPr>
        <w:t xml:space="preserve"> of the population between ages 15 and 64, the </w:t>
      </w:r>
      <w:r w:rsidR="00525FCF">
        <w:rPr>
          <w:rFonts w:eastAsia="Calibri"/>
          <w:noProof/>
        </w:rPr>
        <w:t>high</w:t>
      </w:r>
      <w:r w:rsidRPr="00525FCF">
        <w:rPr>
          <w:rFonts w:eastAsia="Calibri"/>
          <w:noProof/>
        </w:rPr>
        <w:t>er</w:t>
      </w:r>
      <w:r w:rsidRPr="00C70BEA">
        <w:rPr>
          <w:rFonts w:eastAsia="Calibri"/>
        </w:rPr>
        <w:t xml:space="preserve"> the </w:t>
      </w:r>
      <w:r w:rsidRPr="00525FCF">
        <w:rPr>
          <w:rFonts w:eastAsia="Calibri"/>
          <w:noProof/>
        </w:rPr>
        <w:t>percentage</w:t>
      </w:r>
      <w:r w:rsidRPr="00C70BEA">
        <w:rPr>
          <w:rFonts w:eastAsia="Calibri"/>
        </w:rPr>
        <w:t xml:space="preserve"> of the population available for incarceration, and the greater the </w:t>
      </w:r>
      <w:r w:rsidRPr="00525FCF">
        <w:rPr>
          <w:rFonts w:eastAsia="Calibri"/>
          <w:noProof/>
        </w:rPr>
        <w:t>percentage</w:t>
      </w:r>
      <w:r w:rsidRPr="00C70BEA">
        <w:rPr>
          <w:rFonts w:eastAsia="Calibri"/>
        </w:rPr>
        <w:t xml:space="preserve"> of the population available for employment. </w:t>
      </w:r>
      <w:r w:rsidR="00D41425">
        <w:rPr>
          <w:rFonts w:eastAsia="Calibri"/>
        </w:rPr>
        <w:t>Additionally, there may be an increased demand</w:t>
      </w:r>
      <w:r w:rsidR="00161379" w:rsidRPr="00D41425">
        <w:rPr>
          <w:rFonts w:eastAsia="Calibri"/>
        </w:rPr>
        <w:t xml:space="preserve"> placed on societal resources as </w:t>
      </w:r>
      <w:r w:rsidR="00161379" w:rsidRPr="00525FCF">
        <w:rPr>
          <w:rFonts w:eastAsia="Calibri"/>
          <w:noProof/>
        </w:rPr>
        <w:t>a greater proportion of</w:t>
      </w:r>
      <w:r w:rsidR="00161379" w:rsidRPr="00D41425">
        <w:rPr>
          <w:rFonts w:eastAsia="Calibri"/>
        </w:rPr>
        <w:t xml:space="preserve"> the population attains reproductive maturit</w:t>
      </w:r>
      <w:r w:rsidR="00D41425">
        <w:rPr>
          <w:rFonts w:eastAsia="Calibri"/>
        </w:rPr>
        <w:t>y.</w:t>
      </w:r>
    </w:p>
    <w:p w:rsidR="00C70BEA" w:rsidRPr="00C70BEA" w:rsidRDefault="00C70BEA" w:rsidP="00C70BEA">
      <w:pPr>
        <w:spacing w:after="200" w:line="480" w:lineRule="auto"/>
        <w:ind w:firstLine="720"/>
        <w:contextualSpacing/>
        <w:rPr>
          <w:rFonts w:eastAsia="Calibri"/>
        </w:rPr>
      </w:pPr>
      <w:r w:rsidRPr="008D6BD4">
        <w:rPr>
          <w:rFonts w:eastAsia="Calibri"/>
          <w:noProof/>
        </w:rPr>
        <w:t>I</w:t>
      </w:r>
      <w:r w:rsidR="00BB04E8">
        <w:rPr>
          <w:rFonts w:eastAsia="Calibri"/>
        </w:rPr>
        <w:t xml:space="preserve"> use</w:t>
      </w:r>
      <w:r w:rsidRPr="00C70BEA">
        <w:rPr>
          <w:rFonts w:eastAsia="Calibri"/>
        </w:rPr>
        <w:t xml:space="preserve"> data covering 1990 through 2012 for all but a few of the countries in </w:t>
      </w:r>
      <w:r w:rsidRPr="008D6BD4">
        <w:rPr>
          <w:rFonts w:eastAsia="Calibri"/>
          <w:noProof/>
        </w:rPr>
        <w:t>my</w:t>
      </w:r>
      <w:r w:rsidRPr="00C70BEA">
        <w:rPr>
          <w:rFonts w:eastAsia="Calibri"/>
        </w:rPr>
        <w:t xml:space="preserve"> dataset. No data are available for Timor-Leste for the covered years, and data are missing for Turkmenistan for </w:t>
      </w:r>
      <w:r w:rsidR="001C1CE8">
        <w:rPr>
          <w:rFonts w:eastAsia="Calibri"/>
        </w:rPr>
        <w:t xml:space="preserve">the </w:t>
      </w:r>
      <w:r w:rsidRPr="001C1CE8">
        <w:rPr>
          <w:rFonts w:eastAsia="Calibri"/>
          <w:noProof/>
        </w:rPr>
        <w:t>year</w:t>
      </w:r>
      <w:r w:rsidR="00BB04E8">
        <w:rPr>
          <w:rFonts w:eastAsia="Calibri"/>
        </w:rPr>
        <w:t xml:space="preserve"> 2007 through 2012. S</w:t>
      </w:r>
      <w:r w:rsidRPr="00C70BEA">
        <w:rPr>
          <w:rFonts w:eastAsia="Calibri"/>
        </w:rPr>
        <w:t xml:space="preserve">everal other </w:t>
      </w:r>
      <w:r w:rsidRPr="001C1CE8">
        <w:rPr>
          <w:rFonts w:eastAsia="Calibri"/>
          <w:noProof/>
        </w:rPr>
        <w:t>countries</w:t>
      </w:r>
      <w:r w:rsidR="00BB04E8">
        <w:rPr>
          <w:rFonts w:eastAsia="Calibri"/>
        </w:rPr>
        <w:t xml:space="preserve"> lack</w:t>
      </w:r>
      <w:r w:rsidRPr="00C70BEA">
        <w:rPr>
          <w:rFonts w:eastAsia="Calibri"/>
        </w:rPr>
        <w:t xml:space="preserve"> data for 2012 only. </w:t>
      </w:r>
    </w:p>
    <w:p w:rsidR="00C70BEA" w:rsidRDefault="00C70BEA" w:rsidP="00C70BEA">
      <w:pPr>
        <w:spacing w:after="200" w:line="480" w:lineRule="auto"/>
        <w:contextualSpacing/>
        <w:rPr>
          <w:rFonts w:eastAsia="Calibri"/>
        </w:rPr>
      </w:pPr>
      <w:r w:rsidRPr="00C70BEA">
        <w:rPr>
          <w:rFonts w:eastAsia="Calibri"/>
        </w:rPr>
        <w:tab/>
        <w:t xml:space="preserve">Examining the distribution </w:t>
      </w:r>
      <w:r w:rsidRPr="00525FCF">
        <w:rPr>
          <w:rFonts w:eastAsia="Calibri"/>
          <w:noProof/>
        </w:rPr>
        <w:t>for</w:t>
      </w:r>
      <w:r w:rsidRPr="00C70BEA">
        <w:rPr>
          <w:rFonts w:eastAsia="Calibri"/>
        </w:rPr>
        <w:t xml:space="preserve"> thi</w:t>
      </w:r>
      <w:r w:rsidR="00BB04E8">
        <w:rPr>
          <w:rFonts w:eastAsia="Calibri"/>
        </w:rPr>
        <w:t xml:space="preserve">s variable indicates a bimodal </w:t>
      </w:r>
      <w:r w:rsidRPr="00C70BEA">
        <w:rPr>
          <w:rFonts w:eastAsia="Calibri"/>
        </w:rPr>
        <w:t xml:space="preserve">grouping of percentages between 50 and 55 percent, and between 65 and 68 percent. See </w:t>
      </w:r>
      <w:r w:rsidR="00AB1C5C">
        <w:rPr>
          <w:rFonts w:eastAsia="Calibri"/>
          <w:noProof/>
        </w:rPr>
        <w:t>Figure 6</w:t>
      </w:r>
      <w:r w:rsidRPr="00C70BEA">
        <w:rPr>
          <w:rFonts w:eastAsia="Calibri"/>
        </w:rPr>
        <w:t xml:space="preserve"> below. </w:t>
      </w:r>
    </w:p>
    <w:p w:rsidR="00AD5C82" w:rsidRDefault="00AD5C82" w:rsidP="00C70BEA">
      <w:pPr>
        <w:spacing w:after="200" w:line="480" w:lineRule="auto"/>
        <w:contextualSpacing/>
        <w:rPr>
          <w:rFonts w:eastAsia="Calibri"/>
        </w:rPr>
      </w:pPr>
    </w:p>
    <w:p w:rsidR="00AD5C82" w:rsidRDefault="00AD5C82" w:rsidP="00C70BEA">
      <w:pPr>
        <w:spacing w:after="200" w:line="480" w:lineRule="auto"/>
        <w:contextualSpacing/>
        <w:rPr>
          <w:rFonts w:eastAsia="Calibri"/>
        </w:rPr>
      </w:pPr>
    </w:p>
    <w:p w:rsidR="00AD5C82" w:rsidRDefault="00AD5C82" w:rsidP="00C70BEA">
      <w:pPr>
        <w:spacing w:after="200" w:line="480" w:lineRule="auto"/>
        <w:contextualSpacing/>
        <w:rPr>
          <w:rFonts w:eastAsia="Calibri"/>
        </w:rPr>
      </w:pPr>
    </w:p>
    <w:p w:rsidR="00AD5C82" w:rsidRDefault="00AD5C82" w:rsidP="00C70BEA">
      <w:pPr>
        <w:spacing w:after="200" w:line="480" w:lineRule="auto"/>
        <w:contextualSpacing/>
        <w:rPr>
          <w:rFonts w:eastAsia="Calibri"/>
        </w:rPr>
      </w:pPr>
    </w:p>
    <w:p w:rsidR="00AD5C82" w:rsidRDefault="00AD5C82" w:rsidP="00C70BEA">
      <w:pPr>
        <w:spacing w:after="200" w:line="480" w:lineRule="auto"/>
        <w:contextualSpacing/>
        <w:rPr>
          <w:rFonts w:eastAsia="Calibri"/>
        </w:rPr>
      </w:pPr>
    </w:p>
    <w:p w:rsidR="00AD5C82" w:rsidRPr="00C70BEA" w:rsidRDefault="00AD5C82" w:rsidP="00C70BEA">
      <w:pPr>
        <w:spacing w:after="200" w:line="480" w:lineRule="auto"/>
        <w:contextualSpacing/>
        <w:rPr>
          <w:rFonts w:eastAsia="Calibri"/>
        </w:rPr>
      </w:pPr>
    </w:p>
    <w:p w:rsidR="00C70BEA" w:rsidRPr="00C70BEA" w:rsidRDefault="00AB1C5C" w:rsidP="00C70BEA">
      <w:pPr>
        <w:spacing w:after="200" w:line="240" w:lineRule="auto"/>
        <w:contextualSpacing/>
        <w:rPr>
          <w:rFonts w:eastAsia="Calibri"/>
        </w:rPr>
      </w:pPr>
      <w:r>
        <w:rPr>
          <w:rFonts w:eastAsia="Calibri"/>
        </w:rPr>
        <w:lastRenderedPageBreak/>
        <w:t>Figure 6</w:t>
      </w:r>
      <w:r w:rsidR="00B8055E">
        <w:rPr>
          <w:rFonts w:eastAsia="Calibri"/>
        </w:rPr>
        <w:t>. Percentage of Population</w:t>
      </w:r>
      <w:r w:rsidR="00C70BEA" w:rsidRPr="00C70BEA">
        <w:rPr>
          <w:rFonts w:eastAsia="Calibri"/>
        </w:rPr>
        <w:t xml:space="preserve"> ages 15 through 64. </w:t>
      </w:r>
    </w:p>
    <w:p w:rsidR="00C70BEA" w:rsidRDefault="00C70BEA" w:rsidP="00C70BEA">
      <w:pPr>
        <w:spacing w:after="200" w:line="240" w:lineRule="auto"/>
        <w:contextualSpacing/>
        <w:rPr>
          <w:rFonts w:eastAsia="Calibri"/>
        </w:rPr>
      </w:pPr>
      <w:r w:rsidRPr="00C70BEA">
        <w:rPr>
          <w:rFonts w:eastAsia="Calibri"/>
          <w:noProof/>
        </w:rPr>
        <w:drawing>
          <wp:inline distT="0" distB="0" distL="0" distR="0" wp14:anchorId="3E7A939A" wp14:editId="7F7D3E9A">
            <wp:extent cx="5117123" cy="3745050"/>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708_histo_age_cohort_normal.e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057B53" w:rsidRPr="00C70BEA" w:rsidRDefault="00057B53" w:rsidP="00C70BEA">
      <w:pPr>
        <w:spacing w:after="200" w:line="240" w:lineRule="auto"/>
        <w:contextualSpacing/>
        <w:rPr>
          <w:rFonts w:eastAsia="Calibri"/>
        </w:rPr>
      </w:pPr>
    </w:p>
    <w:p w:rsidR="00FD7C5F" w:rsidRPr="00C70BEA" w:rsidRDefault="00FD7C5F" w:rsidP="007B712C">
      <w:pPr>
        <w:spacing w:after="200" w:line="480" w:lineRule="auto"/>
        <w:contextualSpacing/>
        <w:rPr>
          <w:rFonts w:eastAsia="Calibri"/>
        </w:rPr>
      </w:pPr>
      <w:r w:rsidRPr="00C70BEA">
        <w:rPr>
          <w:rFonts w:eastAsia="Calibri"/>
          <w:i/>
        </w:rPr>
        <w:t>Urbanization.</w:t>
      </w:r>
      <w:r w:rsidRPr="00C70BEA">
        <w:rPr>
          <w:rFonts w:eastAsia="Calibri"/>
        </w:rPr>
        <w:t xml:space="preserve"> </w:t>
      </w:r>
      <w:r w:rsidRPr="00525FCF">
        <w:rPr>
          <w:rFonts w:eastAsia="Calibri"/>
          <w:noProof/>
        </w:rPr>
        <w:t>From the World Bank, World Development Indicators (WDI</w:t>
      </w:r>
      <w:r>
        <w:rPr>
          <w:rFonts w:eastAsia="Calibri"/>
          <w:noProof/>
        </w:rPr>
        <w:t xml:space="preserve">), I use data for the percentage of the population residing in urban areas by country (World Bank 2015). Data cover all of the years </w:t>
      </w:r>
      <w:r w:rsidR="00525FCF">
        <w:rPr>
          <w:rFonts w:eastAsia="Calibri"/>
          <w:noProof/>
        </w:rPr>
        <w:t>address</w:t>
      </w:r>
      <w:r w:rsidRPr="00525FCF">
        <w:rPr>
          <w:rFonts w:eastAsia="Calibri"/>
          <w:noProof/>
        </w:rPr>
        <w:t>ed in this analysis</w:t>
      </w:r>
      <w:r>
        <w:rPr>
          <w:rFonts w:eastAsia="Calibri"/>
          <w:noProof/>
        </w:rPr>
        <w:t xml:space="preserve">. </w:t>
      </w:r>
    </w:p>
    <w:p w:rsidR="00FD7C5F" w:rsidRPr="00C70BEA" w:rsidRDefault="00FD7C5F" w:rsidP="00FD7C5F">
      <w:pPr>
        <w:spacing w:after="200" w:line="480" w:lineRule="auto"/>
        <w:contextualSpacing/>
        <w:rPr>
          <w:rFonts w:eastAsia="Calibri"/>
        </w:rPr>
      </w:pPr>
      <w:r w:rsidRPr="00C70BEA">
        <w:rPr>
          <w:rFonts w:eastAsia="Calibri"/>
        </w:rPr>
        <w:tab/>
      </w:r>
      <w:r w:rsidR="00951ABC">
        <w:rPr>
          <w:rFonts w:eastAsia="Calibri"/>
        </w:rPr>
        <w:t>No data for Taiwan were</w:t>
      </w:r>
      <w:r w:rsidR="00104A3E">
        <w:rPr>
          <w:rFonts w:eastAsia="Calibri"/>
        </w:rPr>
        <w:t xml:space="preserve"> available. </w:t>
      </w:r>
      <w:r>
        <w:rPr>
          <w:rFonts w:eastAsia="Calibri"/>
        </w:rPr>
        <w:t>See Figure 7</w:t>
      </w:r>
      <w:r w:rsidRPr="00C70BEA">
        <w:rPr>
          <w:rFonts w:eastAsia="Calibri"/>
        </w:rPr>
        <w:t xml:space="preserve"> for the distribution of percentages of populations residing in urban areas. </w:t>
      </w:r>
    </w:p>
    <w:p w:rsidR="00C41EDE" w:rsidRDefault="00C41EDE" w:rsidP="00FD7C5F">
      <w:pPr>
        <w:spacing w:after="200" w:line="240" w:lineRule="auto"/>
        <w:contextualSpacing/>
        <w:rPr>
          <w:rFonts w:eastAsia="Calibri"/>
        </w:rPr>
      </w:pPr>
    </w:p>
    <w:p w:rsidR="00C41EDE" w:rsidRDefault="00C41EDE" w:rsidP="00FD7C5F">
      <w:pPr>
        <w:spacing w:after="200" w:line="240" w:lineRule="auto"/>
        <w:contextualSpacing/>
        <w:rPr>
          <w:rFonts w:eastAsia="Calibri"/>
        </w:rPr>
      </w:pPr>
    </w:p>
    <w:p w:rsidR="00C41EDE" w:rsidRDefault="00C41EDE"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AD5C82" w:rsidRDefault="00AD5C82" w:rsidP="00FD7C5F">
      <w:pPr>
        <w:spacing w:after="200" w:line="240" w:lineRule="auto"/>
        <w:contextualSpacing/>
        <w:rPr>
          <w:rFonts w:eastAsia="Calibri"/>
        </w:rPr>
      </w:pPr>
    </w:p>
    <w:p w:rsidR="00FD7C5F" w:rsidRPr="00C70BEA" w:rsidRDefault="00FD7C5F" w:rsidP="00FD7C5F">
      <w:pPr>
        <w:spacing w:after="200" w:line="240" w:lineRule="auto"/>
        <w:contextualSpacing/>
        <w:rPr>
          <w:rFonts w:eastAsia="Calibri"/>
        </w:rPr>
      </w:pPr>
      <w:r>
        <w:rPr>
          <w:rFonts w:eastAsia="Calibri"/>
        </w:rPr>
        <w:lastRenderedPageBreak/>
        <w:t xml:space="preserve">Figure 7. </w:t>
      </w:r>
      <w:r w:rsidRPr="00C70BEA">
        <w:rPr>
          <w:rFonts w:eastAsia="Calibri"/>
        </w:rPr>
        <w:t xml:space="preserve">Percentage of Population Residing in Urban Areas. </w:t>
      </w:r>
    </w:p>
    <w:p w:rsidR="00FD7C5F" w:rsidRDefault="00FD7C5F" w:rsidP="00FD7C5F">
      <w:pPr>
        <w:spacing w:after="200" w:line="480" w:lineRule="auto"/>
        <w:contextualSpacing/>
        <w:rPr>
          <w:rFonts w:eastAsia="Calibri"/>
        </w:rPr>
      </w:pPr>
      <w:r>
        <w:rPr>
          <w:rFonts w:eastAsia="Calibri"/>
          <w:noProof/>
        </w:rPr>
        <w:drawing>
          <wp:inline distT="0" distB="0" distL="0" distR="0" wp14:anchorId="37CED5AB" wp14:editId="14E7E18F">
            <wp:extent cx="5117123" cy="374505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rcent_urban_WDI.e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C70BEA" w:rsidRPr="00C70BEA" w:rsidRDefault="00C70BEA" w:rsidP="007B712C">
      <w:pPr>
        <w:spacing w:after="200" w:line="480" w:lineRule="auto"/>
        <w:contextualSpacing/>
        <w:rPr>
          <w:rFonts w:eastAsia="Calibri"/>
        </w:rPr>
      </w:pPr>
      <w:r w:rsidRPr="00C70BEA">
        <w:rPr>
          <w:rFonts w:eastAsia="Calibri"/>
          <w:i/>
        </w:rPr>
        <w:t xml:space="preserve">Physical </w:t>
      </w:r>
      <w:r w:rsidR="000C1BD6">
        <w:rPr>
          <w:rFonts w:eastAsia="Calibri"/>
          <w:i/>
        </w:rPr>
        <w:t>i</w:t>
      </w:r>
      <w:r w:rsidRPr="00C70BEA">
        <w:rPr>
          <w:rFonts w:eastAsia="Calibri"/>
          <w:i/>
        </w:rPr>
        <w:t xml:space="preserve">ntegrity </w:t>
      </w:r>
      <w:r w:rsidR="000C1BD6">
        <w:rPr>
          <w:rFonts w:eastAsia="Calibri"/>
          <w:i/>
        </w:rPr>
        <w:t>r</w:t>
      </w:r>
      <w:r w:rsidRPr="00C70BEA">
        <w:rPr>
          <w:rFonts w:eastAsia="Calibri"/>
          <w:i/>
        </w:rPr>
        <w:t xml:space="preserve">ights </w:t>
      </w:r>
      <w:r w:rsidR="000C1BD6">
        <w:rPr>
          <w:rFonts w:eastAsia="Calibri"/>
          <w:i/>
        </w:rPr>
        <w:t>i</w:t>
      </w:r>
      <w:r w:rsidRPr="00C70BEA">
        <w:rPr>
          <w:rFonts w:eastAsia="Calibri"/>
          <w:i/>
        </w:rPr>
        <w:t>ndex.</w:t>
      </w:r>
      <w:r w:rsidRPr="00C70BEA">
        <w:rPr>
          <w:rFonts w:eastAsia="Calibri"/>
        </w:rPr>
        <w:t xml:space="preserve"> The physical integrity rights index provides a scale indicating the level to which </w:t>
      </w:r>
      <w:r w:rsidR="00525FCF">
        <w:rPr>
          <w:rFonts w:eastAsia="Calibri"/>
          <w:noProof/>
        </w:rPr>
        <w:t>individual governments respect certain human righ</w:t>
      </w:r>
      <w:r w:rsidRPr="00525FCF">
        <w:rPr>
          <w:rFonts w:eastAsia="Calibri"/>
          <w:noProof/>
        </w:rPr>
        <w:t>ts</w:t>
      </w:r>
      <w:r w:rsidRPr="00C70BEA">
        <w:rPr>
          <w:rFonts w:eastAsia="Calibri"/>
        </w:rPr>
        <w:t xml:space="preserve">. Cingranelli and Richards (1999) examine the incidence of torture, extrajudicial killing, political </w:t>
      </w:r>
      <w:r w:rsidRPr="00525FCF">
        <w:rPr>
          <w:rFonts w:eastAsia="Calibri"/>
          <w:noProof/>
        </w:rPr>
        <w:t>imprisonment</w:t>
      </w:r>
      <w:r w:rsidRPr="00C70BEA">
        <w:rPr>
          <w:rFonts w:eastAsia="Calibri"/>
        </w:rPr>
        <w:t xml:space="preserve">, and disappearance within countries and construct an eight-point scale, combining the scores from each of the listed categories.  </w:t>
      </w:r>
      <w:r w:rsidRPr="00C70BEA">
        <w:rPr>
          <w:rFonts w:eastAsia="Calibri"/>
          <w:noProof/>
        </w:rPr>
        <w:t xml:space="preserve">The indicators are totaled and indicate governmental respect for those rights with 0 </w:t>
      </w:r>
      <w:r w:rsidRPr="00525FCF">
        <w:rPr>
          <w:rFonts w:eastAsia="Calibri"/>
          <w:noProof/>
        </w:rPr>
        <w:t>indicating</w:t>
      </w:r>
      <w:r w:rsidRPr="00C70BEA">
        <w:rPr>
          <w:rFonts w:eastAsia="Calibri"/>
          <w:noProof/>
        </w:rPr>
        <w:t xml:space="preserve"> no respect for physical integrity rights and </w:t>
      </w:r>
      <w:r w:rsidRPr="00525FCF">
        <w:rPr>
          <w:rFonts w:eastAsia="Calibri"/>
          <w:noProof/>
        </w:rPr>
        <w:t>8</w:t>
      </w:r>
      <w:r w:rsidRPr="00C70BEA">
        <w:rPr>
          <w:rFonts w:eastAsia="Calibri"/>
          <w:noProof/>
        </w:rPr>
        <w:t xml:space="preserve"> </w:t>
      </w:r>
      <w:r w:rsidR="00525FCF">
        <w:rPr>
          <w:rFonts w:eastAsia="Calibri"/>
          <w:noProof/>
        </w:rPr>
        <w:t>mean</w:t>
      </w:r>
      <w:r w:rsidRPr="00525FCF">
        <w:rPr>
          <w:rFonts w:eastAsia="Calibri"/>
          <w:noProof/>
        </w:rPr>
        <w:t>ing</w:t>
      </w:r>
      <w:r w:rsidRPr="00C70BEA">
        <w:rPr>
          <w:rFonts w:eastAsia="Calibri"/>
          <w:noProof/>
        </w:rPr>
        <w:t xml:space="preserve"> full </w:t>
      </w:r>
      <w:r w:rsidRPr="00525FCF">
        <w:rPr>
          <w:rFonts w:eastAsia="Calibri"/>
          <w:noProof/>
        </w:rPr>
        <w:t>respect for those</w:t>
      </w:r>
      <w:r w:rsidRPr="00C70BEA">
        <w:rPr>
          <w:rFonts w:eastAsia="Calibri"/>
          <w:noProof/>
        </w:rPr>
        <w:t xml:space="preserve"> rights (Cingranelli, Richards, and Clay 2014).</w:t>
      </w:r>
      <w:r w:rsidRPr="00C70BEA">
        <w:rPr>
          <w:rFonts w:eastAsia="Calibri"/>
        </w:rPr>
        <w:t xml:space="preserve"> </w:t>
      </w:r>
    </w:p>
    <w:p w:rsidR="00C70BEA" w:rsidRPr="00C70BEA" w:rsidRDefault="00C70BEA" w:rsidP="00C70BEA">
      <w:pPr>
        <w:spacing w:after="200" w:line="480" w:lineRule="auto"/>
        <w:ind w:firstLine="720"/>
        <w:contextualSpacing/>
        <w:rPr>
          <w:rFonts w:eastAsia="Calibri"/>
        </w:rPr>
      </w:pPr>
      <w:r w:rsidRPr="00C70BEA">
        <w:rPr>
          <w:rFonts w:eastAsia="Calibri"/>
        </w:rPr>
        <w:t xml:space="preserve">Cingranelli and Richards use the annual human rights reports produced by the U.S. State Department and Amnesty International (Cingranelli and Richards 1999:409). The dataset encompassing the years 1981-2011 for 202 countries </w:t>
      </w:r>
      <w:r w:rsidRPr="00C70BEA">
        <w:rPr>
          <w:rFonts w:eastAsia="Calibri"/>
          <w:noProof/>
        </w:rPr>
        <w:t xml:space="preserve">is </w:t>
      </w:r>
      <w:r w:rsidRPr="00C70BEA">
        <w:rPr>
          <w:rFonts w:eastAsia="Calibri"/>
        </w:rPr>
        <w:t xml:space="preserve">from the CIRI Human Rights Data Project located at humanrightsdata.com. According to the website, </w:t>
      </w:r>
      <w:r w:rsidRPr="00C70BEA">
        <w:rPr>
          <w:rFonts w:eastAsia="Calibri"/>
        </w:rPr>
        <w:lastRenderedPageBreak/>
        <w:t xml:space="preserve">“[i]t </w:t>
      </w:r>
      <w:r w:rsidRPr="008D6BD4">
        <w:rPr>
          <w:rFonts w:eastAsia="Calibri"/>
          <w:noProof/>
        </w:rPr>
        <w:t>is designed</w:t>
      </w:r>
      <w:r w:rsidRPr="00C70BEA">
        <w:rPr>
          <w:rFonts w:eastAsia="Calibri"/>
        </w:rPr>
        <w:t xml:space="preserve"> for use by scholars and students who seek to test theories about the causes and consequences of human rights viola</w:t>
      </w:r>
      <w:r w:rsidR="008D6BD4">
        <w:rPr>
          <w:rFonts w:eastAsia="Calibri"/>
        </w:rPr>
        <w:t>tions” (Cingranelli et al. 2014</w:t>
      </w:r>
      <w:r w:rsidRPr="00C70BEA">
        <w:rPr>
          <w:rFonts w:eastAsia="Calibri"/>
        </w:rPr>
        <w:t xml:space="preserve">). This analysis uses only data from as early as 1990 through 2011, </w:t>
      </w:r>
      <w:r w:rsidRPr="00C70BEA">
        <w:rPr>
          <w:rFonts w:eastAsia="Calibri"/>
          <w:noProof/>
        </w:rPr>
        <w:t>when</w:t>
      </w:r>
      <w:r w:rsidRPr="00C70BEA">
        <w:rPr>
          <w:rFonts w:eastAsia="Calibri"/>
        </w:rPr>
        <w:t xml:space="preserve"> available, for 138 of the 139 countries chosen for evaluation. Hong Kong </w:t>
      </w:r>
      <w:r w:rsidR="00E13EC7">
        <w:rPr>
          <w:rFonts w:eastAsia="Calibri"/>
          <w:noProof/>
        </w:rPr>
        <w:t>has no scores</w:t>
      </w:r>
      <w:r w:rsidRPr="00C70BEA">
        <w:rPr>
          <w:rFonts w:eastAsia="Calibri"/>
        </w:rPr>
        <w:t xml:space="preserve">. </w:t>
      </w:r>
    </w:p>
    <w:p w:rsidR="00C70BEA" w:rsidRDefault="00C70BEA" w:rsidP="00C70BEA">
      <w:pPr>
        <w:spacing w:after="200" w:line="480" w:lineRule="auto"/>
        <w:ind w:firstLine="720"/>
        <w:contextualSpacing/>
        <w:rPr>
          <w:rFonts w:eastAsia="Calibri"/>
        </w:rPr>
      </w:pPr>
      <w:r w:rsidRPr="00C70BEA">
        <w:rPr>
          <w:rFonts w:eastAsia="Calibri"/>
          <w:noProof/>
        </w:rPr>
        <w:t xml:space="preserve">Some former Soviet satellites do not have data for the early 1990s. </w:t>
      </w:r>
      <w:r w:rsidRPr="008D6BD4">
        <w:rPr>
          <w:rFonts w:eastAsia="Calibri"/>
          <w:noProof/>
        </w:rPr>
        <w:t xml:space="preserve">There </w:t>
      </w:r>
      <w:r w:rsidR="00A618EE">
        <w:rPr>
          <w:rFonts w:eastAsia="Calibri"/>
          <w:noProof/>
        </w:rPr>
        <w:t>are</w:t>
      </w:r>
      <w:r w:rsidRPr="008D6BD4">
        <w:rPr>
          <w:rFonts w:eastAsia="Calibri"/>
          <w:noProof/>
        </w:rPr>
        <w:t xml:space="preserve"> no data for Bosnia-Herzegovina </w:t>
      </w:r>
      <w:r w:rsidR="00525FCF">
        <w:rPr>
          <w:rFonts w:eastAsia="Calibri"/>
          <w:noProof/>
        </w:rPr>
        <w:t>before</w:t>
      </w:r>
      <w:r w:rsidRPr="008D6BD4">
        <w:rPr>
          <w:rFonts w:eastAsia="Calibri"/>
          <w:noProof/>
        </w:rPr>
        <w:t xml:space="preserve"> 2001; and </w:t>
      </w:r>
      <w:r w:rsidRPr="00BC59A1">
        <w:rPr>
          <w:rFonts w:eastAsia="Calibri"/>
          <w:noProof/>
        </w:rPr>
        <w:t>Croatia, Estonia, Georgia, Kazakhstan, Kyrgyzstan, Latvia, L</w:t>
      </w:r>
      <w:r w:rsidR="008D6BD4" w:rsidRPr="00BC59A1">
        <w:rPr>
          <w:rFonts w:eastAsia="Calibri"/>
          <w:noProof/>
        </w:rPr>
        <w:t xml:space="preserve">ithuania, Macedonia, Moldova, </w:t>
      </w:r>
      <w:r w:rsidRPr="00BC59A1">
        <w:rPr>
          <w:rFonts w:eastAsia="Calibri"/>
          <w:noProof/>
        </w:rPr>
        <w:t>Slovakia, Slovenia, Tajikistan, Turkmenistan, Ukraine,</w:t>
      </w:r>
      <w:r w:rsidRPr="008D6BD4">
        <w:rPr>
          <w:rFonts w:eastAsia="Calibri"/>
          <w:noProof/>
        </w:rPr>
        <w:t xml:space="preserve"> Uzbekistan</w:t>
      </w:r>
      <w:r w:rsidR="008D6BD4">
        <w:rPr>
          <w:rFonts w:eastAsia="Calibri"/>
          <w:noProof/>
        </w:rPr>
        <w:t>,</w:t>
      </w:r>
      <w:r w:rsidRPr="008D6BD4">
        <w:rPr>
          <w:rFonts w:eastAsia="Calibri"/>
          <w:noProof/>
        </w:rPr>
        <w:t xml:space="preserve"> and Serbia </w:t>
      </w:r>
      <w:r w:rsidRPr="00525FCF">
        <w:rPr>
          <w:rFonts w:eastAsia="Calibri"/>
          <w:noProof/>
        </w:rPr>
        <w:t>prior to</w:t>
      </w:r>
      <w:r w:rsidRPr="008D6BD4">
        <w:rPr>
          <w:rFonts w:eastAsia="Calibri"/>
          <w:noProof/>
        </w:rPr>
        <w:t xml:space="preserve"> 1992 and with Serbia also missing data from 2000-2002.</w:t>
      </w:r>
      <w:r w:rsidRPr="00C70BEA">
        <w:rPr>
          <w:rFonts w:eastAsia="Calibri"/>
          <w:noProof/>
        </w:rPr>
        <w:t xml:space="preserve"> The following lack data from some of the years under investigation: The Democratic Republic of Congo from 1992-2000, Lebanon </w:t>
      </w:r>
      <w:r w:rsidR="00525FCF">
        <w:rPr>
          <w:rFonts w:eastAsia="Calibri"/>
          <w:noProof/>
        </w:rPr>
        <w:t>before</w:t>
      </w:r>
      <w:r w:rsidRPr="00C70BEA">
        <w:rPr>
          <w:rFonts w:eastAsia="Calibri"/>
          <w:noProof/>
        </w:rPr>
        <w:t xml:space="preserve"> 2000, Liberia from 1990-1995, Sierra Leone 1997-2000 and 2009, </w:t>
      </w:r>
      <w:r w:rsidR="008D6BD4">
        <w:rPr>
          <w:rFonts w:eastAsia="Calibri"/>
          <w:noProof/>
        </w:rPr>
        <w:t>and</w:t>
      </w:r>
      <w:r w:rsidRPr="00C70BEA">
        <w:rPr>
          <w:rFonts w:eastAsia="Calibri"/>
          <w:noProof/>
        </w:rPr>
        <w:t>Timor-Leste 1990-2000 and 2001.</w:t>
      </w:r>
      <w:r w:rsidRPr="00C70BEA">
        <w:rPr>
          <w:rFonts w:eastAsia="Calibri"/>
        </w:rPr>
        <w:t xml:space="preserve"> Serbia’s scores are from both the Serbia entries and those of Serbia-Montenegro. </w:t>
      </w:r>
    </w:p>
    <w:p w:rsidR="00C70BEA" w:rsidRPr="00C70BEA" w:rsidRDefault="00C70BEA" w:rsidP="007B712C">
      <w:pPr>
        <w:spacing w:after="200" w:line="480" w:lineRule="auto"/>
        <w:contextualSpacing/>
        <w:rPr>
          <w:rFonts w:eastAsia="Calibri"/>
        </w:rPr>
      </w:pPr>
      <w:r w:rsidRPr="00C70BEA">
        <w:rPr>
          <w:rFonts w:eastAsia="Calibri"/>
          <w:i/>
        </w:rPr>
        <w:t>Educational attainment.</w:t>
      </w:r>
      <w:r w:rsidRPr="00C70BEA">
        <w:rPr>
          <w:rFonts w:eastAsia="Calibri"/>
        </w:rPr>
        <w:t xml:space="preserve"> </w:t>
      </w:r>
      <w:r w:rsidRPr="00525FCF">
        <w:rPr>
          <w:rFonts w:eastAsia="Calibri"/>
          <w:noProof/>
        </w:rPr>
        <w:t>Educational attainment</w:t>
      </w:r>
      <w:r w:rsidRPr="00C70BEA">
        <w:rPr>
          <w:rFonts w:eastAsia="Calibri"/>
        </w:rPr>
        <w:t xml:space="preserve"> comes from Barro and Lee’s (2013</w:t>
      </w:r>
      <w:r w:rsidR="003A38B0">
        <w:rPr>
          <w:rFonts w:eastAsia="Calibri"/>
        </w:rPr>
        <w:t>a</w:t>
      </w:r>
      <w:r w:rsidRPr="00C70BEA">
        <w:rPr>
          <w:rFonts w:eastAsia="Calibri"/>
        </w:rPr>
        <w:t xml:space="preserve">) </w:t>
      </w:r>
      <w:r w:rsidRPr="00BC59A1">
        <w:rPr>
          <w:rFonts w:eastAsia="Calibri"/>
          <w:noProof/>
        </w:rPr>
        <w:t>update</w:t>
      </w:r>
      <w:r w:rsidR="00BC59A1" w:rsidRPr="00BC59A1">
        <w:rPr>
          <w:rFonts w:eastAsia="Calibri"/>
          <w:noProof/>
        </w:rPr>
        <w:t>d data</w:t>
      </w:r>
      <w:r w:rsidRPr="00BC59A1">
        <w:rPr>
          <w:rFonts w:eastAsia="Calibri"/>
          <w:noProof/>
        </w:rPr>
        <w:t xml:space="preserve"> for</w:t>
      </w:r>
      <w:r w:rsidRPr="00C70BEA">
        <w:rPr>
          <w:rFonts w:eastAsia="Calibri"/>
        </w:rPr>
        <w:t xml:space="preserve"> 146 countries from 1950 through 2010 at 5-year intervals. They provide the </w:t>
      </w:r>
      <w:r w:rsidRPr="00C70BEA">
        <w:rPr>
          <w:rFonts w:eastAsia="Calibri"/>
          <w:noProof/>
        </w:rPr>
        <w:t>percentage</w:t>
      </w:r>
      <w:r w:rsidRPr="00C70BEA">
        <w:rPr>
          <w:rFonts w:eastAsia="Calibri"/>
        </w:rPr>
        <w:t xml:space="preserve"> of the population aged 15 and over that has completed primary, secondary and tertiary education</w:t>
      </w:r>
      <w:r w:rsidR="003A38B0">
        <w:rPr>
          <w:rFonts w:eastAsia="Calibri"/>
        </w:rPr>
        <w:t xml:space="preserve"> (Barro and Lee 2013b)</w:t>
      </w:r>
      <w:r w:rsidRPr="00C70BEA">
        <w:rPr>
          <w:rFonts w:eastAsia="Calibri"/>
        </w:rPr>
        <w:t xml:space="preserve">. </w:t>
      </w:r>
      <w:r w:rsidRPr="008D6BD4">
        <w:rPr>
          <w:rFonts w:eastAsia="Calibri"/>
          <w:noProof/>
        </w:rPr>
        <w:t>I</w:t>
      </w:r>
      <w:r w:rsidRPr="00C70BEA">
        <w:rPr>
          <w:rFonts w:eastAsia="Calibri"/>
        </w:rPr>
        <w:t xml:space="preserve"> choose secondary completion for those aged 15 and over as a proxy for </w:t>
      </w:r>
      <w:r w:rsidRPr="00C70BEA">
        <w:rPr>
          <w:rFonts w:eastAsia="Calibri"/>
          <w:noProof/>
        </w:rPr>
        <w:t>stock</w:t>
      </w:r>
      <w:r w:rsidRPr="00C70BEA">
        <w:rPr>
          <w:rFonts w:eastAsia="Calibri"/>
        </w:rPr>
        <w:t xml:space="preserve"> of human capital within countries. Using the percentages at each 5-year interval, </w:t>
      </w:r>
      <w:r w:rsidRPr="008D6BD4">
        <w:rPr>
          <w:rFonts w:eastAsia="Calibri"/>
          <w:noProof/>
        </w:rPr>
        <w:t>I</w:t>
      </w:r>
      <w:r w:rsidR="00BB04E8">
        <w:rPr>
          <w:rFonts w:eastAsia="Calibri"/>
        </w:rPr>
        <w:t xml:space="preserve"> average</w:t>
      </w:r>
      <w:r w:rsidRPr="00C70BEA">
        <w:rPr>
          <w:rFonts w:eastAsia="Calibri"/>
        </w:rPr>
        <w:t xml:space="preserve"> </w:t>
      </w:r>
      <w:r w:rsidR="00BB04E8">
        <w:rPr>
          <w:rFonts w:eastAsia="Calibri"/>
        </w:rPr>
        <w:t>the change over time and impute the</w:t>
      </w:r>
      <w:r w:rsidRPr="00C70BEA">
        <w:rPr>
          <w:rFonts w:eastAsia="Calibri"/>
        </w:rPr>
        <w:t xml:space="preserve"> change in the intervening years for each of the countries in </w:t>
      </w:r>
      <w:r w:rsidRPr="008D6BD4">
        <w:rPr>
          <w:rFonts w:eastAsia="Calibri"/>
          <w:noProof/>
        </w:rPr>
        <w:t>my</w:t>
      </w:r>
      <w:r w:rsidRPr="00C70BEA">
        <w:rPr>
          <w:rFonts w:eastAsia="Calibri"/>
        </w:rPr>
        <w:t xml:space="preserve"> sample. </w:t>
      </w:r>
      <w:r w:rsidRPr="008D6BD4">
        <w:rPr>
          <w:rFonts w:eastAsia="Calibri"/>
          <w:noProof/>
        </w:rPr>
        <w:t>I</w:t>
      </w:r>
      <w:r w:rsidRPr="00C70BEA">
        <w:rPr>
          <w:rFonts w:eastAsia="Calibri"/>
        </w:rPr>
        <w:t xml:space="preserve"> produce a total of 2562 observations based on Barro and Lee’s data. </w:t>
      </w:r>
    </w:p>
    <w:p w:rsidR="00C70BEA" w:rsidRPr="00C70BEA" w:rsidRDefault="00C70BEA" w:rsidP="00C70BEA">
      <w:pPr>
        <w:spacing w:after="200" w:line="480" w:lineRule="auto"/>
        <w:ind w:firstLine="720"/>
        <w:contextualSpacing/>
        <w:rPr>
          <w:rFonts w:eastAsia="Calibri"/>
        </w:rPr>
      </w:pPr>
      <w:r w:rsidRPr="00525FCF">
        <w:rPr>
          <w:rFonts w:eastAsia="Calibri"/>
          <w:noProof/>
        </w:rPr>
        <w:t>Due to the positive skew of the distribution,</w:t>
      </w:r>
      <w:r w:rsidRPr="00C70BEA">
        <w:rPr>
          <w:rFonts w:eastAsia="Calibri"/>
        </w:rPr>
        <w:t xml:space="preserve"> </w:t>
      </w:r>
      <w:r w:rsidRPr="008D6BD4">
        <w:rPr>
          <w:rFonts w:eastAsia="Calibri"/>
          <w:noProof/>
        </w:rPr>
        <w:t>I</w:t>
      </w:r>
      <w:r w:rsidRPr="00C70BEA">
        <w:rPr>
          <w:rFonts w:eastAsia="Calibri"/>
        </w:rPr>
        <w:t xml:space="preserve"> add one to each of the percentages and log the sum to normalize </w:t>
      </w:r>
      <w:r w:rsidR="00AB1C5C">
        <w:rPr>
          <w:rFonts w:eastAsia="Calibri"/>
        </w:rPr>
        <w:t xml:space="preserve">the distribution. </w:t>
      </w:r>
      <w:r w:rsidR="00832D1C">
        <w:rPr>
          <w:rFonts w:eastAsia="Calibri"/>
        </w:rPr>
        <w:t xml:space="preserve">When I test both secondary education </w:t>
      </w:r>
      <w:r w:rsidR="00832D1C">
        <w:rPr>
          <w:rFonts w:eastAsia="Calibri"/>
        </w:rPr>
        <w:lastRenderedPageBreak/>
        <w:t xml:space="preserve">attainment and its </w:t>
      </w:r>
      <w:r w:rsidR="00832D1C" w:rsidRPr="00525FCF">
        <w:rPr>
          <w:rFonts w:eastAsia="Calibri"/>
          <w:noProof/>
        </w:rPr>
        <w:t>logged</w:t>
      </w:r>
      <w:r w:rsidR="00832D1C">
        <w:rPr>
          <w:rFonts w:eastAsia="Calibri"/>
        </w:rPr>
        <w:t xml:space="preserve"> component, both are skewed, as is noted in the following figures. </w:t>
      </w:r>
      <w:r w:rsidR="00AB1C5C">
        <w:rPr>
          <w:rFonts w:eastAsia="Calibri"/>
        </w:rPr>
        <w:t>See Figures 8 and 9</w:t>
      </w:r>
      <w:r w:rsidRPr="00C70BEA">
        <w:rPr>
          <w:rFonts w:eastAsia="Calibri"/>
        </w:rPr>
        <w:t xml:space="preserve"> for the </w:t>
      </w:r>
      <w:r w:rsidRPr="008D6BD4">
        <w:rPr>
          <w:rFonts w:eastAsia="Calibri"/>
          <w:noProof/>
        </w:rPr>
        <w:t>distribution</w:t>
      </w:r>
      <w:r w:rsidRPr="00C70BEA">
        <w:rPr>
          <w:rFonts w:eastAsia="Calibri"/>
        </w:rPr>
        <w:t xml:space="preserve"> of percentages and logged percentages, respectively. </w:t>
      </w:r>
      <w:r w:rsidR="00832D1C">
        <w:rPr>
          <w:rFonts w:eastAsia="Calibri"/>
        </w:rPr>
        <w:t xml:space="preserve">Since </w:t>
      </w:r>
      <w:r w:rsidR="00832D1C" w:rsidRPr="00525FCF">
        <w:rPr>
          <w:rFonts w:eastAsia="Calibri"/>
          <w:noProof/>
        </w:rPr>
        <w:t>logging</w:t>
      </w:r>
      <w:r w:rsidR="00832D1C">
        <w:rPr>
          <w:rFonts w:eastAsia="Calibri"/>
        </w:rPr>
        <w:t xml:space="preserve"> the variable fails to correct for skewness, I</w:t>
      </w:r>
      <w:r w:rsidR="00E50734">
        <w:rPr>
          <w:rFonts w:eastAsia="Calibri"/>
        </w:rPr>
        <w:t xml:space="preserve"> use the variable in its original</w:t>
      </w:r>
      <w:r w:rsidR="00832D1C">
        <w:rPr>
          <w:rFonts w:eastAsia="Calibri"/>
        </w:rPr>
        <w:t xml:space="preserve"> form.</w:t>
      </w:r>
    </w:p>
    <w:p w:rsidR="00C70BEA" w:rsidRDefault="00C70BEA" w:rsidP="00C70BEA">
      <w:pPr>
        <w:spacing w:after="200" w:line="480" w:lineRule="auto"/>
        <w:contextualSpacing/>
        <w:rPr>
          <w:rFonts w:eastAsia="Calibri"/>
        </w:rPr>
      </w:pPr>
      <w:r w:rsidRPr="00C70BEA">
        <w:rPr>
          <w:rFonts w:eastAsia="Calibri"/>
        </w:rPr>
        <w:tab/>
      </w:r>
      <w:r w:rsidRPr="008D6BD4">
        <w:rPr>
          <w:rFonts w:eastAsia="Calibri"/>
          <w:noProof/>
        </w:rPr>
        <w:t xml:space="preserve">The following countries </w:t>
      </w:r>
      <w:r w:rsidRPr="00525FCF">
        <w:rPr>
          <w:rFonts w:eastAsia="Calibri"/>
          <w:noProof/>
        </w:rPr>
        <w:t>were not covered</w:t>
      </w:r>
      <w:r w:rsidRPr="008D6BD4">
        <w:rPr>
          <w:rFonts w:eastAsia="Calibri"/>
          <w:noProof/>
        </w:rPr>
        <w:t>: Angola, Azerbaijan, Belarus, Bosnia-Herzegovina, Burkina Faso, Chad, Ethiopia, Georgia, Guinea, Guinea-Bissau, Lebanon, Macedonia, Madagascar, Nigeria, Timor-Leste, Turkmenistan, and Uzbekistan.</w:t>
      </w:r>
      <w:r w:rsidRPr="00C70BEA">
        <w:rPr>
          <w:rFonts w:eastAsia="Calibri"/>
        </w:rPr>
        <w:t xml:space="preserve"> </w:t>
      </w:r>
    </w:p>
    <w:p w:rsidR="00C70BEA" w:rsidRPr="00C70BEA" w:rsidRDefault="00AB1C5C" w:rsidP="00C70BEA">
      <w:pPr>
        <w:spacing w:after="200" w:line="240" w:lineRule="auto"/>
        <w:contextualSpacing/>
        <w:rPr>
          <w:rFonts w:eastAsia="Calibri"/>
        </w:rPr>
      </w:pPr>
      <w:r>
        <w:rPr>
          <w:rFonts w:eastAsia="Calibri"/>
        </w:rPr>
        <w:t>Figure 8</w:t>
      </w:r>
      <w:r w:rsidR="00C70BEA" w:rsidRPr="00C70BEA">
        <w:rPr>
          <w:rFonts w:eastAsia="Calibri"/>
        </w:rPr>
        <w:t xml:space="preserve">. </w:t>
      </w:r>
      <w:r w:rsidR="00B8055E" w:rsidRPr="00B8055E">
        <w:rPr>
          <w:rFonts w:eastAsia="Calibri"/>
        </w:rPr>
        <w:t>Percent of Population 15+ Completing Secondary Education</w:t>
      </w:r>
      <w:r w:rsidR="00C70BEA" w:rsidRPr="00C70BEA">
        <w:rPr>
          <w:rFonts w:eastAsia="Calibri"/>
        </w:rPr>
        <w:t>.</w:t>
      </w:r>
    </w:p>
    <w:p w:rsidR="00C70BEA" w:rsidRPr="00C70BEA" w:rsidRDefault="00C70BEA" w:rsidP="00C70BEA">
      <w:pPr>
        <w:spacing w:after="200" w:line="240" w:lineRule="auto"/>
        <w:contextualSpacing/>
        <w:rPr>
          <w:rFonts w:eastAsia="Calibri"/>
        </w:rPr>
      </w:pPr>
      <w:r w:rsidRPr="00C70BEA">
        <w:rPr>
          <w:rFonts w:eastAsia="Calibri"/>
          <w:noProof/>
        </w:rPr>
        <w:drawing>
          <wp:inline distT="0" distB="0" distL="0" distR="0" wp14:anchorId="3B50EF40" wp14:editId="2AF74B5C">
            <wp:extent cx="5117123" cy="3745050"/>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708_histo_seced_normal.em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r w:rsidRPr="00C70BEA">
        <w:rPr>
          <w:rFonts w:eastAsia="Calibri"/>
        </w:rPr>
        <w:t xml:space="preserve"> </w:t>
      </w: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6F0D5D" w:rsidRDefault="006F0D5D" w:rsidP="00C70BEA">
      <w:pPr>
        <w:spacing w:after="200" w:line="240" w:lineRule="auto"/>
        <w:contextualSpacing/>
        <w:rPr>
          <w:rFonts w:eastAsia="Calibri"/>
        </w:rPr>
      </w:pPr>
    </w:p>
    <w:p w:rsidR="00C70BEA" w:rsidRPr="00C70BEA" w:rsidRDefault="00AB1C5C" w:rsidP="00C70BEA">
      <w:pPr>
        <w:spacing w:after="200" w:line="240" w:lineRule="auto"/>
        <w:contextualSpacing/>
        <w:rPr>
          <w:rFonts w:eastAsia="Calibri"/>
        </w:rPr>
      </w:pPr>
      <w:r>
        <w:rPr>
          <w:rFonts w:eastAsia="Calibri"/>
        </w:rPr>
        <w:lastRenderedPageBreak/>
        <w:t>Figure 9</w:t>
      </w:r>
      <w:r w:rsidR="00C70BEA" w:rsidRPr="00C70BEA">
        <w:rPr>
          <w:rFonts w:eastAsia="Calibri"/>
        </w:rPr>
        <w:t xml:space="preserve">. </w:t>
      </w:r>
      <w:r w:rsidR="00B8055E" w:rsidRPr="00B8055E">
        <w:rPr>
          <w:rFonts w:eastAsia="Calibri"/>
        </w:rPr>
        <w:t>Percent of Population 15+ Completing Secondary Education (logged)</w:t>
      </w:r>
      <w:r w:rsidR="00C70BEA" w:rsidRPr="00C70BEA">
        <w:rPr>
          <w:rFonts w:eastAsia="Calibri"/>
        </w:rPr>
        <w:t xml:space="preserve">. </w:t>
      </w:r>
    </w:p>
    <w:p w:rsidR="00C70BEA" w:rsidRDefault="00C70BEA" w:rsidP="00C70BEA">
      <w:pPr>
        <w:spacing w:after="200" w:line="240" w:lineRule="auto"/>
        <w:contextualSpacing/>
        <w:rPr>
          <w:rFonts w:eastAsia="Calibri"/>
        </w:rPr>
      </w:pPr>
      <w:r w:rsidRPr="00C70BEA">
        <w:rPr>
          <w:rFonts w:eastAsia="Calibri"/>
          <w:noProof/>
        </w:rPr>
        <w:drawing>
          <wp:inline distT="0" distB="0" distL="0" distR="0" wp14:anchorId="6C12CB7B" wp14:editId="28151D54">
            <wp:extent cx="5117123" cy="3745050"/>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708_histo_secedlg_normal.em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057B53" w:rsidRPr="00C70BEA" w:rsidRDefault="00057B53" w:rsidP="00C70BEA">
      <w:pPr>
        <w:spacing w:after="200" w:line="240" w:lineRule="auto"/>
        <w:contextualSpacing/>
        <w:rPr>
          <w:rFonts w:eastAsia="Calibri"/>
        </w:rPr>
      </w:pPr>
    </w:p>
    <w:p w:rsidR="00C70BEA" w:rsidRPr="00C70BEA" w:rsidRDefault="00C70BEA" w:rsidP="007B712C">
      <w:pPr>
        <w:spacing w:after="200" w:line="480" w:lineRule="auto"/>
        <w:contextualSpacing/>
        <w:rPr>
          <w:rFonts w:eastAsia="Calibri"/>
        </w:rPr>
      </w:pPr>
      <w:r w:rsidRPr="00C70BEA">
        <w:rPr>
          <w:rFonts w:eastAsia="Calibri"/>
          <w:i/>
        </w:rPr>
        <w:t>Homicide rates.</w:t>
      </w:r>
      <w:r w:rsidRPr="00C70BEA">
        <w:rPr>
          <w:rFonts w:eastAsia="Calibri"/>
        </w:rPr>
        <w:t xml:space="preserve"> The United Nations Office on Drugs and Crime (UNODC) has compiled data on homicide rates. The</w:t>
      </w:r>
      <w:r w:rsidR="00E13EC7">
        <w:rPr>
          <w:rFonts w:eastAsia="Calibri"/>
        </w:rPr>
        <w:t xml:space="preserve"> UNODC </w:t>
      </w:r>
      <w:r w:rsidR="00E13EC7" w:rsidRPr="00525FCF">
        <w:rPr>
          <w:rFonts w:eastAsia="Calibri"/>
          <w:noProof/>
        </w:rPr>
        <w:t>co</w:t>
      </w:r>
      <w:r w:rsidR="00525FCF">
        <w:rPr>
          <w:rFonts w:eastAsia="Calibri"/>
          <w:noProof/>
        </w:rPr>
        <w:t>llect</w:t>
      </w:r>
      <w:r w:rsidR="00E13EC7" w:rsidRPr="00525FCF">
        <w:rPr>
          <w:rFonts w:eastAsia="Calibri"/>
          <w:noProof/>
        </w:rPr>
        <w:t>s</w:t>
      </w:r>
      <w:r w:rsidRPr="00C70BEA">
        <w:rPr>
          <w:rFonts w:eastAsia="Calibri"/>
        </w:rPr>
        <w:t xml:space="preserve"> </w:t>
      </w:r>
      <w:r w:rsidRPr="00525FCF">
        <w:rPr>
          <w:rFonts w:eastAsia="Calibri"/>
          <w:noProof/>
        </w:rPr>
        <w:t>rates</w:t>
      </w:r>
      <w:r w:rsidRPr="00C70BEA">
        <w:rPr>
          <w:rFonts w:eastAsia="Calibri"/>
        </w:rPr>
        <w:t xml:space="preserve"> from reports </w:t>
      </w:r>
      <w:r w:rsidR="00E13EC7">
        <w:rPr>
          <w:rFonts w:eastAsia="Calibri"/>
          <w:noProof/>
        </w:rPr>
        <w:t>of</w:t>
      </w:r>
      <w:r w:rsidRPr="00C70BEA">
        <w:rPr>
          <w:rFonts w:eastAsia="Calibri"/>
        </w:rPr>
        <w:t xml:space="preserve"> the World Health Organization, the UN’s Crime Trends Surveys, Interpol, and national police. </w:t>
      </w:r>
      <w:r w:rsidRPr="00525FCF">
        <w:rPr>
          <w:rFonts w:eastAsia="Calibri"/>
          <w:noProof/>
        </w:rPr>
        <w:t>UNODC defines intentional homicide as unlawful death purposefully inflicted on a person by another person.</w:t>
      </w:r>
      <w:r w:rsidRPr="00C70BEA">
        <w:rPr>
          <w:rFonts w:eastAsia="Calibri"/>
        </w:rPr>
        <w:t xml:space="preserve"> </w:t>
      </w:r>
      <w:r w:rsidR="00D904D0" w:rsidRPr="008D6BD4">
        <w:rPr>
          <w:rFonts w:eastAsia="Calibri"/>
          <w:noProof/>
        </w:rPr>
        <w:t>I</w:t>
      </w:r>
      <w:r w:rsidR="00D904D0">
        <w:rPr>
          <w:rFonts w:eastAsia="Calibri"/>
        </w:rPr>
        <w:t xml:space="preserve"> use h</w:t>
      </w:r>
      <w:r w:rsidR="00E13EC7">
        <w:rPr>
          <w:rFonts w:eastAsia="Calibri"/>
        </w:rPr>
        <w:t>omicide</w:t>
      </w:r>
      <w:r w:rsidR="00BB04E8">
        <w:rPr>
          <w:rFonts w:eastAsia="Calibri"/>
        </w:rPr>
        <w:t xml:space="preserve"> rate</w:t>
      </w:r>
      <w:r w:rsidRPr="00C70BEA">
        <w:rPr>
          <w:rFonts w:eastAsia="Calibri"/>
        </w:rPr>
        <w:t xml:space="preserve">s from </w:t>
      </w:r>
      <w:r w:rsidR="00D904D0">
        <w:rPr>
          <w:rFonts w:eastAsia="Calibri"/>
        </w:rPr>
        <w:t xml:space="preserve">as early as </w:t>
      </w:r>
      <w:r w:rsidRPr="00C70BEA">
        <w:rPr>
          <w:rFonts w:eastAsia="Calibri"/>
        </w:rPr>
        <w:t>199</w:t>
      </w:r>
      <w:r w:rsidR="00D904D0">
        <w:rPr>
          <w:rFonts w:eastAsia="Calibri"/>
        </w:rPr>
        <w:t>0</w:t>
      </w:r>
      <w:r w:rsidRPr="00C70BEA">
        <w:rPr>
          <w:rFonts w:eastAsia="Calibri"/>
        </w:rPr>
        <w:t xml:space="preserve"> through 2011 from the UNODC website</w:t>
      </w:r>
      <w:r w:rsidR="00D904D0">
        <w:rPr>
          <w:rFonts w:eastAsia="Calibri"/>
        </w:rPr>
        <w:t xml:space="preserve"> (UNODC N.d.a; UNODC N.d.b)</w:t>
      </w:r>
      <w:r w:rsidRPr="00C70BEA">
        <w:rPr>
          <w:rFonts w:eastAsia="Calibri"/>
        </w:rPr>
        <w:t xml:space="preserve">. </w:t>
      </w:r>
    </w:p>
    <w:p w:rsidR="00525FCF" w:rsidRDefault="00C70BEA" w:rsidP="00C70BEA">
      <w:pPr>
        <w:spacing w:after="200" w:line="480" w:lineRule="auto"/>
        <w:contextualSpacing/>
      </w:pPr>
      <w:r w:rsidRPr="00C70BEA">
        <w:rPr>
          <w:rFonts w:eastAsia="Calibri"/>
        </w:rPr>
        <w:tab/>
      </w:r>
      <w:r w:rsidRPr="008D6BD4">
        <w:rPr>
          <w:rFonts w:eastAsia="Calibri"/>
          <w:noProof/>
        </w:rPr>
        <w:t>I</w:t>
      </w:r>
      <w:r w:rsidRPr="00C70BEA">
        <w:rPr>
          <w:rFonts w:eastAsia="Calibri"/>
        </w:rPr>
        <w:t xml:space="preserve"> use homicide rates as a proxy for overall crime rates. Homicide is the most consistently </w:t>
      </w:r>
      <w:r w:rsidR="00264315">
        <w:rPr>
          <w:rFonts w:eastAsia="Calibri"/>
        </w:rPr>
        <w:t xml:space="preserve">and broadly </w:t>
      </w:r>
      <w:r w:rsidRPr="00C70BEA">
        <w:rPr>
          <w:rFonts w:eastAsia="Calibri"/>
        </w:rPr>
        <w:t>reported offense, and one least susceptible to differences in crime definition from country to country (Bourgui</w:t>
      </w:r>
      <w:r w:rsidR="00563480">
        <w:rPr>
          <w:rFonts w:eastAsia="Calibri"/>
        </w:rPr>
        <w:t>g</w:t>
      </w:r>
      <w:r w:rsidRPr="00C70BEA">
        <w:rPr>
          <w:rFonts w:eastAsia="Calibri"/>
        </w:rPr>
        <w:t>non 2001:173).</w:t>
      </w:r>
      <w:r w:rsidR="00264315">
        <w:rPr>
          <w:rFonts w:eastAsia="Calibri"/>
        </w:rPr>
        <w:t xml:space="preserve"> Those conducting cross-national studies often use homicide rates as a proxy for overall crime rates for the above reasons (c.f. Neapolitan 2001; Jacobs and Kleban 2003; Ruddell 2005; </w:t>
      </w:r>
      <w:r w:rsidR="00264315">
        <w:t>Lappi-</w:t>
      </w:r>
      <w:r w:rsidR="00264315">
        <w:lastRenderedPageBreak/>
        <w:t xml:space="preserve">Seppälä 2010). </w:t>
      </w:r>
      <w:r w:rsidR="00E00414">
        <w:t>Additionall</w:t>
      </w:r>
      <w:r w:rsidR="00525FCF">
        <w:t xml:space="preserve">y, homicide is deemed wrong in itself, or </w:t>
      </w:r>
      <w:r w:rsidR="00611A9D">
        <w:rPr>
          <w:i/>
        </w:rPr>
        <w:t>malum</w:t>
      </w:r>
      <w:r w:rsidR="00525FCF">
        <w:rPr>
          <w:i/>
        </w:rPr>
        <w:t xml:space="preserve"> in se </w:t>
      </w:r>
      <w:r w:rsidR="00525FCF">
        <w:t xml:space="preserve">(Hill and Hill 2009:261). </w:t>
      </w:r>
    </w:p>
    <w:p w:rsidR="00C70BEA" w:rsidRDefault="00525FCF" w:rsidP="00525FCF">
      <w:pPr>
        <w:spacing w:after="200" w:line="480" w:lineRule="auto"/>
        <w:ind w:firstLine="720"/>
        <w:contextualSpacing/>
        <w:rPr>
          <w:rFonts w:eastAsia="Calibri"/>
        </w:rPr>
      </w:pPr>
      <w:r>
        <w:t>A</w:t>
      </w:r>
      <w:r w:rsidR="00C70BEA" w:rsidRPr="00C70BEA">
        <w:rPr>
          <w:rFonts w:eastAsia="Calibri"/>
        </w:rPr>
        <w:t xml:space="preserve">s this variable is </w:t>
      </w:r>
      <w:r w:rsidR="00AB1C5C">
        <w:rPr>
          <w:rFonts w:eastAsia="Calibri"/>
        </w:rPr>
        <w:t>also skewed, see Figure 10</w:t>
      </w:r>
      <w:r w:rsidR="00C70BEA" w:rsidRPr="00C70BEA">
        <w:rPr>
          <w:rFonts w:eastAsia="Calibri"/>
        </w:rPr>
        <w:t xml:space="preserve"> below, </w:t>
      </w:r>
      <w:r w:rsidR="00C70BEA" w:rsidRPr="008D6BD4">
        <w:rPr>
          <w:rFonts w:eastAsia="Calibri"/>
          <w:noProof/>
        </w:rPr>
        <w:t>I</w:t>
      </w:r>
      <w:r w:rsidR="00C70BEA" w:rsidRPr="00C70BEA">
        <w:rPr>
          <w:rFonts w:eastAsia="Calibri"/>
        </w:rPr>
        <w:t xml:space="preserve"> have added one to each rate and logged the variable to normalize th</w:t>
      </w:r>
      <w:r w:rsidR="00AB1C5C">
        <w:rPr>
          <w:rFonts w:eastAsia="Calibri"/>
        </w:rPr>
        <w:t>e distribution, seen in Figure 11</w:t>
      </w:r>
      <w:r w:rsidR="00C70BEA" w:rsidRPr="00C70BEA">
        <w:rPr>
          <w:rFonts w:eastAsia="Calibri"/>
        </w:rPr>
        <w:t xml:space="preserve"> below. </w:t>
      </w:r>
    </w:p>
    <w:p w:rsidR="00951ABC" w:rsidRDefault="00AB1C5C" w:rsidP="0011582A">
      <w:pPr>
        <w:spacing w:after="200" w:line="240" w:lineRule="auto"/>
        <w:contextualSpacing/>
        <w:rPr>
          <w:rFonts w:eastAsia="Calibri"/>
        </w:rPr>
      </w:pPr>
      <w:r>
        <w:rPr>
          <w:rFonts w:eastAsia="Calibri"/>
        </w:rPr>
        <w:t>Figure 10</w:t>
      </w:r>
      <w:r w:rsidR="00B8055E">
        <w:rPr>
          <w:rFonts w:eastAsia="Calibri"/>
        </w:rPr>
        <w:t xml:space="preserve">. </w:t>
      </w:r>
      <w:r w:rsidR="00C70BEA" w:rsidRPr="00C70BEA">
        <w:rPr>
          <w:rFonts w:eastAsia="Calibri"/>
        </w:rPr>
        <w:t>Homicide Rates.</w:t>
      </w:r>
      <w:r w:rsidR="00C70BEA" w:rsidRPr="00C70BEA">
        <w:rPr>
          <w:rFonts w:eastAsia="Calibri"/>
          <w:noProof/>
        </w:rPr>
        <w:drawing>
          <wp:inline distT="0" distB="0" distL="0" distR="0" wp14:anchorId="4D12EBDE" wp14:editId="69EF8102">
            <wp:extent cx="5117123" cy="3745050"/>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708_histo_hom_rate_normal.em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C70BEA" w:rsidRDefault="00AB1C5C" w:rsidP="0011582A">
      <w:pPr>
        <w:spacing w:after="200" w:line="240" w:lineRule="auto"/>
        <w:contextualSpacing/>
        <w:rPr>
          <w:rFonts w:eastAsia="Calibri"/>
          <w:noProof/>
        </w:rPr>
      </w:pPr>
      <w:r>
        <w:rPr>
          <w:rFonts w:eastAsia="Calibri"/>
        </w:rPr>
        <w:lastRenderedPageBreak/>
        <w:t>Figure 11</w:t>
      </w:r>
      <w:r w:rsidR="00C70BEA" w:rsidRPr="00C70BEA">
        <w:rPr>
          <w:rFonts w:eastAsia="Calibri"/>
        </w:rPr>
        <w:t xml:space="preserve">. </w:t>
      </w:r>
      <w:r w:rsidR="00B31137">
        <w:rPr>
          <w:rFonts w:eastAsia="Calibri"/>
        </w:rPr>
        <w:t>Homicide Rates (</w:t>
      </w:r>
      <w:r w:rsidR="00B31137" w:rsidRPr="008D6BD4">
        <w:rPr>
          <w:rFonts w:eastAsia="Calibri"/>
          <w:noProof/>
        </w:rPr>
        <w:t>log</w:t>
      </w:r>
      <w:r w:rsidR="00B8055E">
        <w:rPr>
          <w:rFonts w:eastAsia="Calibri"/>
          <w:noProof/>
        </w:rPr>
        <w:t>ged).</w:t>
      </w:r>
      <w:r w:rsidR="00C70BEA" w:rsidRPr="00C70BEA">
        <w:rPr>
          <w:rFonts w:eastAsia="Calibri"/>
          <w:noProof/>
        </w:rPr>
        <w:drawing>
          <wp:inline distT="0" distB="0" distL="0" distR="0" wp14:anchorId="24351001" wp14:editId="22B3CDE2">
            <wp:extent cx="5117123" cy="3745050"/>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708_histo_homratelg_normal.em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057B53" w:rsidRDefault="00057B53" w:rsidP="0011582A">
      <w:pPr>
        <w:spacing w:after="200" w:line="240" w:lineRule="auto"/>
        <w:contextualSpacing/>
        <w:rPr>
          <w:rFonts w:eastAsia="Calibri"/>
        </w:rPr>
      </w:pPr>
    </w:p>
    <w:p w:rsidR="00E00414" w:rsidRDefault="00E50734" w:rsidP="00C70BEA">
      <w:pPr>
        <w:spacing w:after="200" w:line="480" w:lineRule="auto"/>
        <w:contextualSpacing/>
        <w:rPr>
          <w:rFonts w:eastAsia="Calibri"/>
        </w:rPr>
      </w:pPr>
      <w:r>
        <w:rPr>
          <w:rFonts w:eastAsia="Calibri"/>
          <w:i/>
        </w:rPr>
        <w:t>Drug offense rates</w:t>
      </w:r>
      <w:r w:rsidR="0026092B">
        <w:rPr>
          <w:rFonts w:eastAsia="Calibri"/>
        </w:rPr>
        <w:t xml:space="preserve">. </w:t>
      </w:r>
      <w:r w:rsidR="00E00414">
        <w:rPr>
          <w:rFonts w:eastAsia="Calibri"/>
        </w:rPr>
        <w:t xml:space="preserve">Unlike the offense of </w:t>
      </w:r>
      <w:r w:rsidR="00E00414" w:rsidRPr="00525FCF">
        <w:rPr>
          <w:rFonts w:eastAsia="Calibri"/>
          <w:noProof/>
        </w:rPr>
        <w:t>homicide</w:t>
      </w:r>
      <w:r w:rsidR="00525FCF">
        <w:rPr>
          <w:rFonts w:eastAsia="Calibri"/>
        </w:rPr>
        <w:t xml:space="preserve">, </w:t>
      </w:r>
      <w:r w:rsidR="00E00414">
        <w:rPr>
          <w:rFonts w:eastAsia="Calibri"/>
        </w:rPr>
        <w:t xml:space="preserve">drug offenses are considered </w:t>
      </w:r>
      <w:r w:rsidR="00E00414">
        <w:rPr>
          <w:rFonts w:eastAsia="Calibri"/>
          <w:i/>
        </w:rPr>
        <w:t>mala prohibita</w:t>
      </w:r>
      <w:r w:rsidR="00E00414">
        <w:rPr>
          <w:rFonts w:eastAsia="Calibri"/>
        </w:rPr>
        <w:t>, illegal at certain times based on societies’ definitions, literally, wrong because we deem them to be so</w:t>
      </w:r>
      <w:r w:rsidR="00525FCF">
        <w:rPr>
          <w:rFonts w:eastAsia="Calibri"/>
        </w:rPr>
        <w:t xml:space="preserve"> (Hill and Hill 2009:261)</w:t>
      </w:r>
      <w:r w:rsidR="00E00414">
        <w:rPr>
          <w:rFonts w:eastAsia="Calibri"/>
        </w:rPr>
        <w:t xml:space="preserve">. </w:t>
      </w:r>
      <w:r w:rsidR="00A63DE0">
        <w:rPr>
          <w:rFonts w:eastAsia="Calibri"/>
        </w:rPr>
        <w:t xml:space="preserve">Although noted as an appropriate indicator of drug problems within countries, drug offenses “are generated by institutional and legal systems that differ across countries, making them even more difficult to compare” (Kilmer, Reuter, and Giommoni 2015:227). </w:t>
      </w:r>
      <w:r w:rsidR="00E00414">
        <w:rPr>
          <w:rFonts w:eastAsia="Calibri"/>
        </w:rPr>
        <w:t xml:space="preserve">The inclusion of this category adds the </w:t>
      </w:r>
      <w:r w:rsidR="00E00414" w:rsidRPr="00525FCF">
        <w:rPr>
          <w:rFonts w:eastAsia="Calibri"/>
          <w:noProof/>
        </w:rPr>
        <w:t>discretionary</w:t>
      </w:r>
      <w:r w:rsidR="00E00414">
        <w:rPr>
          <w:rFonts w:eastAsia="Calibri"/>
        </w:rPr>
        <w:t xml:space="preserve"> component of enforcement and punishment for offenses for which certain groups may </w:t>
      </w:r>
      <w:r w:rsidR="00E00414" w:rsidRPr="00525FCF">
        <w:rPr>
          <w:rFonts w:eastAsia="Calibri"/>
          <w:noProof/>
        </w:rPr>
        <w:t>be disproportionately targeted</w:t>
      </w:r>
      <w:r w:rsidR="00E00414">
        <w:rPr>
          <w:rFonts w:eastAsia="Calibri"/>
        </w:rPr>
        <w:t xml:space="preserve">. </w:t>
      </w:r>
    </w:p>
    <w:p w:rsidR="00C41EDE" w:rsidRDefault="0026092B" w:rsidP="00E00414">
      <w:pPr>
        <w:spacing w:after="200" w:line="480" w:lineRule="auto"/>
        <w:ind w:firstLine="720"/>
        <w:contextualSpacing/>
        <w:rPr>
          <w:rFonts w:eastAsia="Calibri"/>
        </w:rPr>
      </w:pPr>
      <w:r w:rsidRPr="00E00414">
        <w:rPr>
          <w:rFonts w:eastAsia="Calibri"/>
        </w:rPr>
        <w:t>The</w:t>
      </w:r>
      <w:r>
        <w:rPr>
          <w:rFonts w:eastAsia="Calibri"/>
        </w:rPr>
        <w:t xml:space="preserve"> United Nations Office </w:t>
      </w:r>
      <w:r w:rsidR="00A30B00">
        <w:rPr>
          <w:rFonts w:eastAsia="Calibri"/>
        </w:rPr>
        <w:t xml:space="preserve">on Drugs and Crime </w:t>
      </w:r>
      <w:r>
        <w:rPr>
          <w:rFonts w:eastAsia="Calibri"/>
        </w:rPr>
        <w:t>at Vienna</w:t>
      </w:r>
      <w:r w:rsidR="00E50734">
        <w:rPr>
          <w:rFonts w:eastAsia="Calibri"/>
        </w:rPr>
        <w:t xml:space="preserve"> </w:t>
      </w:r>
      <w:r w:rsidR="00E50734" w:rsidRPr="00525FCF">
        <w:rPr>
          <w:rFonts w:eastAsia="Calibri"/>
          <w:noProof/>
        </w:rPr>
        <w:t>has</w:t>
      </w:r>
      <w:r w:rsidR="00E50734">
        <w:rPr>
          <w:rFonts w:eastAsia="Calibri"/>
        </w:rPr>
        <w:t xml:space="preserve"> also compiled data on drug-related offenses in their Surveys of Crime Trends. For waves 1-10 of the </w:t>
      </w:r>
      <w:r w:rsidR="00E50734" w:rsidRPr="00525FCF">
        <w:rPr>
          <w:rFonts w:eastAsia="Calibri"/>
          <w:noProof/>
        </w:rPr>
        <w:t>surveys</w:t>
      </w:r>
      <w:r w:rsidR="00E50734">
        <w:rPr>
          <w:rFonts w:eastAsia="Calibri"/>
        </w:rPr>
        <w:t xml:space="preserve">, data </w:t>
      </w:r>
      <w:r w:rsidR="00A30B00">
        <w:rPr>
          <w:rFonts w:eastAsia="Calibri"/>
        </w:rPr>
        <w:t>are</w:t>
      </w:r>
      <w:r w:rsidR="00E50734">
        <w:rPr>
          <w:rFonts w:eastAsia="Calibri"/>
        </w:rPr>
        <w:t xml:space="preserve"> housed with the Inter-university Consortium for Political and Social Research </w:t>
      </w:r>
      <w:r w:rsidR="00E50734" w:rsidRPr="00E50734">
        <w:rPr>
          <w:rFonts w:eastAsia="Calibri"/>
          <w:noProof/>
        </w:rPr>
        <w:t>(ICPSR</w:t>
      </w:r>
      <w:r w:rsidR="00673A3F">
        <w:rPr>
          <w:rFonts w:eastAsia="Calibri"/>
          <w:noProof/>
        </w:rPr>
        <w:t xml:space="preserve"> 2010</w:t>
      </w:r>
      <w:r w:rsidR="00E50734" w:rsidRPr="00E50734">
        <w:rPr>
          <w:rFonts w:eastAsia="Calibri"/>
          <w:noProof/>
        </w:rPr>
        <w:t>)</w:t>
      </w:r>
      <w:r w:rsidR="00E50734">
        <w:rPr>
          <w:rFonts w:eastAsia="Calibri"/>
        </w:rPr>
        <w:t xml:space="preserve"> and covers years 1970-2006</w:t>
      </w:r>
      <w:r>
        <w:rPr>
          <w:rFonts w:eastAsia="Calibri"/>
        </w:rPr>
        <w:t>, ICPSR data set 26462</w:t>
      </w:r>
      <w:r w:rsidR="00E50734">
        <w:rPr>
          <w:rFonts w:eastAsia="Calibri"/>
        </w:rPr>
        <w:t xml:space="preserve">. </w:t>
      </w:r>
      <w:r w:rsidR="00E50734" w:rsidRPr="00525FCF">
        <w:rPr>
          <w:rFonts w:eastAsia="Calibri"/>
          <w:noProof/>
        </w:rPr>
        <w:t xml:space="preserve">In </w:t>
      </w:r>
      <w:r w:rsidR="00E50734" w:rsidRPr="00525FCF">
        <w:rPr>
          <w:rFonts w:eastAsia="Calibri"/>
          <w:noProof/>
        </w:rPr>
        <w:lastRenderedPageBreak/>
        <w:t>addition</w:t>
      </w:r>
      <w:r w:rsidR="00E50734">
        <w:rPr>
          <w:rFonts w:eastAsia="Calibri"/>
        </w:rPr>
        <w:t xml:space="preserve">, </w:t>
      </w:r>
      <w:r>
        <w:rPr>
          <w:rFonts w:eastAsia="Calibri"/>
        </w:rPr>
        <w:t xml:space="preserve">the </w:t>
      </w:r>
      <w:r w:rsidR="00E50734">
        <w:rPr>
          <w:rFonts w:eastAsia="Calibri"/>
        </w:rPr>
        <w:t>UNODC</w:t>
      </w:r>
      <w:r>
        <w:rPr>
          <w:rFonts w:eastAsia="Calibri"/>
        </w:rPr>
        <w:t xml:space="preserve"> website</w:t>
      </w:r>
      <w:r w:rsidR="00E50734">
        <w:rPr>
          <w:rFonts w:eastAsia="Calibri"/>
        </w:rPr>
        <w:t xml:space="preserve"> has </w:t>
      </w:r>
      <w:r w:rsidR="00E50734" w:rsidRPr="00E50734">
        <w:rPr>
          <w:rFonts w:eastAsia="Calibri"/>
          <w:noProof/>
        </w:rPr>
        <w:t>historic</w:t>
      </w:r>
      <w:r w:rsidR="00E50734">
        <w:rPr>
          <w:rFonts w:eastAsia="Calibri"/>
          <w:noProof/>
        </w:rPr>
        <w:t>al</w:t>
      </w:r>
      <w:r w:rsidR="00E50734">
        <w:rPr>
          <w:rFonts w:eastAsia="Calibri"/>
        </w:rPr>
        <w:t xml:space="preserve"> data covering 2003-2008 for drug-related crime</w:t>
      </w:r>
      <w:r>
        <w:rPr>
          <w:rFonts w:eastAsia="Calibri"/>
        </w:rPr>
        <w:t xml:space="preserve"> rates</w:t>
      </w:r>
      <w:r w:rsidR="00E50734">
        <w:rPr>
          <w:rFonts w:eastAsia="Calibri"/>
        </w:rPr>
        <w:t xml:space="preserve">. </w:t>
      </w:r>
      <w:r w:rsidR="00A30B00">
        <w:rPr>
          <w:rFonts w:eastAsia="Calibri"/>
        </w:rPr>
        <w:t>The UNODC website notes that surveys are sent out to member countries</w:t>
      </w:r>
      <w:r w:rsidR="00525FCF">
        <w:rPr>
          <w:rFonts w:eastAsia="Calibri"/>
        </w:rPr>
        <w:t>, but responses are</w:t>
      </w:r>
      <w:r w:rsidR="00A30B00">
        <w:rPr>
          <w:rFonts w:eastAsia="Calibri"/>
        </w:rPr>
        <w:t xml:space="preserve"> voluntary</w:t>
      </w:r>
      <w:r w:rsidR="00525FCF">
        <w:rPr>
          <w:rFonts w:eastAsia="Calibri"/>
        </w:rPr>
        <w:t>.</w:t>
      </w:r>
      <w:r w:rsidR="00A30B00">
        <w:rPr>
          <w:rFonts w:eastAsia="Calibri"/>
        </w:rPr>
        <w:t xml:space="preserve"> Not all </w:t>
      </w:r>
      <w:r w:rsidR="00A30B00" w:rsidRPr="00525FCF">
        <w:rPr>
          <w:rFonts w:eastAsia="Calibri"/>
          <w:noProof/>
        </w:rPr>
        <w:t>countries</w:t>
      </w:r>
      <w:r w:rsidR="00A30B00">
        <w:rPr>
          <w:rFonts w:eastAsia="Calibri"/>
        </w:rPr>
        <w:t xml:space="preserve"> </w:t>
      </w:r>
      <w:r w:rsidR="00A30B00" w:rsidRPr="00525FCF">
        <w:rPr>
          <w:rFonts w:eastAsia="Calibri"/>
          <w:noProof/>
        </w:rPr>
        <w:t>are covered</w:t>
      </w:r>
      <w:r w:rsidR="00A30B00">
        <w:rPr>
          <w:rFonts w:eastAsia="Calibri"/>
        </w:rPr>
        <w:t xml:space="preserve"> for all of the noted years, and some countries have n</w:t>
      </w:r>
      <w:r w:rsidR="00A618EE">
        <w:rPr>
          <w:rFonts w:eastAsia="Calibri"/>
        </w:rPr>
        <w:t>o data reported.</w:t>
      </w:r>
    </w:p>
    <w:p w:rsidR="00A30B00" w:rsidRDefault="0026092B" w:rsidP="00C70BEA">
      <w:pPr>
        <w:spacing w:after="200" w:line="480" w:lineRule="auto"/>
        <w:contextualSpacing/>
        <w:rPr>
          <w:rFonts w:eastAsia="Calibri"/>
        </w:rPr>
      </w:pPr>
      <w:r>
        <w:rPr>
          <w:rFonts w:eastAsia="Calibri"/>
        </w:rPr>
        <w:tab/>
        <w:t xml:space="preserve">Wave 5 of the Surveys of Crime Trends covers years </w:t>
      </w:r>
      <w:r w:rsidRPr="0026092B">
        <w:rPr>
          <w:rFonts w:eastAsia="Calibri"/>
          <w:noProof/>
        </w:rPr>
        <w:t>1990-1994</w:t>
      </w:r>
      <w:r>
        <w:rPr>
          <w:rFonts w:eastAsia="Calibri"/>
        </w:rPr>
        <w:t xml:space="preserve"> and provides total drug offenses and </w:t>
      </w:r>
      <w:r w:rsidRPr="00525FCF">
        <w:rPr>
          <w:rFonts w:eastAsia="Calibri"/>
          <w:noProof/>
        </w:rPr>
        <w:t>country</w:t>
      </w:r>
      <w:r>
        <w:rPr>
          <w:rFonts w:eastAsia="Calibri"/>
        </w:rPr>
        <w:t xml:space="preserve"> populations for the countries responding to the surveys. </w:t>
      </w:r>
      <w:r w:rsidRPr="0026092B">
        <w:rPr>
          <w:rFonts w:eastAsia="Calibri"/>
          <w:noProof/>
        </w:rPr>
        <w:t>I</w:t>
      </w:r>
      <w:r>
        <w:rPr>
          <w:rFonts w:eastAsia="Calibri"/>
        </w:rPr>
        <w:t xml:space="preserve"> calculate drug offense rates per 100,000 given the data</w:t>
      </w:r>
      <w:r w:rsidR="00AD5C82">
        <w:rPr>
          <w:rFonts w:eastAsia="Calibri"/>
        </w:rPr>
        <w:t xml:space="preserve">. </w:t>
      </w:r>
      <w:r>
        <w:rPr>
          <w:rFonts w:eastAsia="Calibri"/>
        </w:rPr>
        <w:t xml:space="preserve">Wave 6 of the </w:t>
      </w:r>
      <w:r w:rsidRPr="00525FCF">
        <w:rPr>
          <w:rFonts w:eastAsia="Calibri"/>
          <w:noProof/>
        </w:rPr>
        <w:t>survey</w:t>
      </w:r>
      <w:r>
        <w:rPr>
          <w:rFonts w:eastAsia="Calibri"/>
        </w:rPr>
        <w:t xml:space="preserve"> covers years 1995-1997 for 83 countries and reports total recorded drug offenses. However, neither countr</w:t>
      </w:r>
      <w:r w:rsidR="00152DB4">
        <w:rPr>
          <w:rFonts w:eastAsia="Calibri"/>
        </w:rPr>
        <w:t>y populations</w:t>
      </w:r>
      <w:r>
        <w:rPr>
          <w:rFonts w:eastAsia="Calibri"/>
        </w:rPr>
        <w:t>, nor drug offense rates per 100,000 are available for those years.</w:t>
      </w:r>
      <w:r w:rsidR="00152DB4">
        <w:rPr>
          <w:rFonts w:eastAsia="Calibri"/>
        </w:rPr>
        <w:t xml:space="preserve"> </w:t>
      </w:r>
      <w:r w:rsidR="00152DB4" w:rsidRPr="00525FCF">
        <w:rPr>
          <w:rFonts w:eastAsia="Calibri"/>
          <w:noProof/>
        </w:rPr>
        <w:t>In order to</w:t>
      </w:r>
      <w:r w:rsidR="00152DB4">
        <w:rPr>
          <w:rFonts w:eastAsia="Calibri"/>
        </w:rPr>
        <w:t xml:space="preserve"> calculate drug offense rates, I use </w:t>
      </w:r>
      <w:r w:rsidR="00152DB4" w:rsidRPr="00525FCF">
        <w:rPr>
          <w:rFonts w:eastAsia="Calibri"/>
          <w:noProof/>
        </w:rPr>
        <w:t>country</w:t>
      </w:r>
      <w:r w:rsidR="00152DB4">
        <w:rPr>
          <w:rFonts w:eastAsia="Calibri"/>
        </w:rPr>
        <w:t xml:space="preserve"> </w:t>
      </w:r>
      <w:r w:rsidR="00152DB4" w:rsidRPr="00525FCF">
        <w:rPr>
          <w:rFonts w:eastAsia="Calibri"/>
          <w:noProof/>
        </w:rPr>
        <w:t>populations</w:t>
      </w:r>
      <w:r w:rsidR="00152DB4">
        <w:rPr>
          <w:rFonts w:eastAsia="Calibri"/>
        </w:rPr>
        <w:t xml:space="preserve"> for the countries covered during the years 1995-1997 from the World Bank’s World Development </w:t>
      </w:r>
      <w:r w:rsidR="00152DB4" w:rsidRPr="00525FCF">
        <w:rPr>
          <w:rFonts w:eastAsia="Calibri"/>
          <w:noProof/>
        </w:rPr>
        <w:t>Indicators,</w:t>
      </w:r>
      <w:r w:rsidR="00152DB4">
        <w:rPr>
          <w:rFonts w:eastAsia="Calibri"/>
        </w:rPr>
        <w:t xml:space="preserve"> and use the formula noted above.</w:t>
      </w:r>
      <w:r w:rsidR="00A30B00">
        <w:rPr>
          <w:rFonts w:eastAsia="Calibri"/>
        </w:rPr>
        <w:t xml:space="preserve"> Data for the United Kingdom are reported separately for Great Britain and Wales, Northern Ireland, and Scotland. I combine the three and compute the rate for the whole.</w:t>
      </w:r>
      <w:r w:rsidR="00152DB4">
        <w:rPr>
          <w:rFonts w:eastAsia="Calibri"/>
        </w:rPr>
        <w:t xml:space="preserve"> </w:t>
      </w:r>
    </w:p>
    <w:p w:rsidR="0026092B" w:rsidRDefault="0026092B" w:rsidP="00A30B00">
      <w:pPr>
        <w:spacing w:after="200" w:line="480" w:lineRule="auto"/>
        <w:ind w:firstLine="720"/>
        <w:contextualSpacing/>
        <w:rPr>
          <w:rFonts w:eastAsia="Calibri"/>
        </w:rPr>
      </w:pPr>
      <w:r>
        <w:rPr>
          <w:rFonts w:eastAsia="Calibri"/>
        </w:rPr>
        <w:t>Covering years 1998-2000, Wave 7 reports total drug offenses per 100,000</w:t>
      </w:r>
      <w:r w:rsidR="00152DB4">
        <w:rPr>
          <w:rFonts w:eastAsia="Calibri"/>
        </w:rPr>
        <w:t xml:space="preserve"> and provides 180 observations for the countries included in this study. </w:t>
      </w:r>
      <w:r w:rsidR="00A30B00">
        <w:rPr>
          <w:rFonts w:eastAsia="Calibri"/>
        </w:rPr>
        <w:t xml:space="preserve">Wave 8 covers years 2001 and 2002 and </w:t>
      </w:r>
      <w:r w:rsidR="00A30B00" w:rsidRPr="00525FCF">
        <w:rPr>
          <w:rFonts w:eastAsia="Calibri"/>
          <w:noProof/>
        </w:rPr>
        <w:t>provides</w:t>
      </w:r>
      <w:r w:rsidR="00A30B00">
        <w:rPr>
          <w:rFonts w:eastAsia="Calibri"/>
        </w:rPr>
        <w:t xml:space="preserve"> 82 </w:t>
      </w:r>
      <w:r w:rsidR="00A30B00" w:rsidRPr="00525FCF">
        <w:rPr>
          <w:rFonts w:eastAsia="Calibri"/>
          <w:noProof/>
        </w:rPr>
        <w:t>observations</w:t>
      </w:r>
      <w:r w:rsidR="00A30B00">
        <w:rPr>
          <w:rFonts w:eastAsia="Calibri"/>
        </w:rPr>
        <w:t xml:space="preserve">. </w:t>
      </w:r>
    </w:p>
    <w:p w:rsidR="007F1704" w:rsidRDefault="00A30B00" w:rsidP="00A30B00">
      <w:pPr>
        <w:spacing w:after="200" w:line="480" w:lineRule="auto"/>
        <w:ind w:firstLine="720"/>
        <w:contextualSpacing/>
        <w:rPr>
          <w:rFonts w:eastAsia="Calibri"/>
        </w:rPr>
      </w:pPr>
      <w:r>
        <w:rPr>
          <w:rFonts w:eastAsia="Calibri"/>
        </w:rPr>
        <w:t xml:space="preserve">For the years 2003 through 2008, I use a combination of data provided in the next two waves of the CTS and the historical documentation available for those years on the UNODC website. Where conflicting data occur, I use the UNODC historical data for consistency for those years. </w:t>
      </w:r>
    </w:p>
    <w:p w:rsidR="00AD5C82" w:rsidRDefault="007F1704" w:rsidP="00E00414">
      <w:pPr>
        <w:spacing w:after="200" w:line="480" w:lineRule="auto"/>
        <w:ind w:firstLine="720"/>
        <w:contextualSpacing/>
        <w:rPr>
          <w:rFonts w:eastAsia="Calibri"/>
        </w:rPr>
      </w:pPr>
      <w:r>
        <w:rPr>
          <w:rFonts w:eastAsia="Calibri"/>
        </w:rPr>
        <w:t xml:space="preserve">From the above, the U.S. has data for 1995-1999. Additional information regarding drug rates in the U.S. for other available years </w:t>
      </w:r>
      <w:r w:rsidRPr="00525FCF">
        <w:rPr>
          <w:rFonts w:eastAsia="Calibri"/>
          <w:noProof/>
        </w:rPr>
        <w:t>was gathered</w:t>
      </w:r>
      <w:r>
        <w:rPr>
          <w:rFonts w:eastAsia="Calibri"/>
        </w:rPr>
        <w:t xml:space="preserve"> from the Total </w:t>
      </w:r>
      <w:r>
        <w:rPr>
          <w:rFonts w:eastAsia="Calibri"/>
        </w:rPr>
        <w:lastRenderedPageBreak/>
        <w:t xml:space="preserve">Annual Arrests by Year and Category table on the DrugWarFacts.org (N.d) web page. Historical FBI data is sourced on the </w:t>
      </w:r>
      <w:r w:rsidRPr="00525FCF">
        <w:rPr>
          <w:rFonts w:eastAsia="Calibri"/>
          <w:noProof/>
        </w:rPr>
        <w:t>web</w:t>
      </w:r>
      <w:r>
        <w:rPr>
          <w:rFonts w:eastAsia="Calibri"/>
        </w:rPr>
        <w:t xml:space="preserve"> page and covers the following years: 1990 </w:t>
      </w:r>
      <w:r w:rsidR="00C226AF">
        <w:rPr>
          <w:rFonts w:eastAsia="Calibri"/>
        </w:rPr>
        <w:t>and 2000 through 2008. Rates are</w:t>
      </w:r>
      <w:r>
        <w:rPr>
          <w:rFonts w:eastAsia="Calibri"/>
        </w:rPr>
        <w:t xml:space="preserve"> calculated using population totals from World Bank WDI data. </w:t>
      </w:r>
      <w:r w:rsidR="003B6046">
        <w:rPr>
          <w:rFonts w:eastAsia="Calibri"/>
        </w:rPr>
        <w:t xml:space="preserve">See figures 12 and 13 </w:t>
      </w:r>
      <w:r w:rsidR="00A30B00">
        <w:rPr>
          <w:rFonts w:eastAsia="Calibri"/>
        </w:rPr>
        <w:t xml:space="preserve">below for histograms of drug offense rates and the logged variable. </w:t>
      </w:r>
    </w:p>
    <w:p w:rsidR="00A30B00" w:rsidRDefault="003B6046" w:rsidP="00A30B00">
      <w:pPr>
        <w:spacing w:after="200" w:line="240" w:lineRule="auto"/>
        <w:contextualSpacing/>
        <w:rPr>
          <w:rFonts w:eastAsia="Calibri"/>
        </w:rPr>
      </w:pPr>
      <w:r>
        <w:rPr>
          <w:rFonts w:eastAsia="Calibri"/>
        </w:rPr>
        <w:t>Figure 12.</w:t>
      </w:r>
      <w:r w:rsidR="00A30B00">
        <w:rPr>
          <w:rFonts w:eastAsia="Calibri"/>
        </w:rPr>
        <w:t xml:space="preserve"> Histogram of Drug Offense Rates.</w:t>
      </w:r>
    </w:p>
    <w:p w:rsidR="00A30B00" w:rsidRDefault="00D04082" w:rsidP="00A30B00">
      <w:pPr>
        <w:spacing w:after="200" w:line="480" w:lineRule="auto"/>
        <w:contextualSpacing/>
        <w:rPr>
          <w:rFonts w:eastAsia="Calibri"/>
          <w:noProof/>
        </w:rPr>
      </w:pPr>
      <w:r>
        <w:rPr>
          <w:rFonts w:eastAsia="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295.5pt">
            <v:imagedata r:id="rId25" o:title="010516_drgoff"/>
          </v:shape>
        </w:pict>
      </w:r>
    </w:p>
    <w:p w:rsidR="00A30B00" w:rsidRDefault="00E00414" w:rsidP="00264315">
      <w:pPr>
        <w:spacing w:after="200" w:line="240" w:lineRule="auto"/>
        <w:contextualSpacing/>
        <w:rPr>
          <w:rFonts w:eastAsia="Calibri"/>
        </w:rPr>
      </w:pPr>
      <w:r>
        <w:rPr>
          <w:rFonts w:eastAsia="Calibri"/>
        </w:rPr>
        <w:lastRenderedPageBreak/>
        <w:t>F</w:t>
      </w:r>
      <w:r w:rsidR="003B6046">
        <w:rPr>
          <w:rFonts w:eastAsia="Calibri"/>
        </w:rPr>
        <w:t>igure 13.</w:t>
      </w:r>
      <w:r w:rsidR="00A30B00">
        <w:rPr>
          <w:rFonts w:eastAsia="Calibri"/>
        </w:rPr>
        <w:t xml:space="preserve"> Histogram of Drug Offense Rates (Logged).</w:t>
      </w:r>
      <w:r w:rsidR="00D04082">
        <w:rPr>
          <w:rFonts w:eastAsia="Calibri"/>
        </w:rPr>
        <w:pict>
          <v:shape id="_x0000_i1026" type="#_x0000_t75" style="width:403pt;height:295.5pt">
            <v:imagedata r:id="rId26" o:title="010516_drgofflg"/>
          </v:shape>
        </w:pict>
      </w:r>
    </w:p>
    <w:p w:rsidR="00057B53" w:rsidRDefault="00057B53" w:rsidP="00264315">
      <w:pPr>
        <w:spacing w:after="200" w:line="240" w:lineRule="auto"/>
        <w:contextualSpacing/>
        <w:rPr>
          <w:rFonts w:eastAsia="Calibri"/>
        </w:rPr>
      </w:pPr>
    </w:p>
    <w:p w:rsidR="00C70BEA" w:rsidRPr="00C70BEA" w:rsidRDefault="00152DB4" w:rsidP="007B712C">
      <w:pPr>
        <w:spacing w:after="200" w:line="480" w:lineRule="auto"/>
        <w:contextualSpacing/>
        <w:rPr>
          <w:rFonts w:eastAsia="Times New Roman"/>
        </w:rPr>
      </w:pPr>
      <w:r>
        <w:rPr>
          <w:rFonts w:eastAsia="Calibri"/>
          <w:i/>
        </w:rPr>
        <w:t>Ethnic fractionali</w:t>
      </w:r>
      <w:r w:rsidR="00C70BEA" w:rsidRPr="00C70BEA">
        <w:rPr>
          <w:rFonts w:eastAsia="Calibri"/>
          <w:i/>
        </w:rPr>
        <w:t>zation.</w:t>
      </w:r>
      <w:r w:rsidR="00C70BEA" w:rsidRPr="00C70BEA">
        <w:rPr>
          <w:rFonts w:eastAsia="Calibri"/>
        </w:rPr>
        <w:t xml:space="preserve"> Fearon </w:t>
      </w:r>
      <w:r w:rsidR="00067ABA">
        <w:rPr>
          <w:rFonts w:eastAsia="Calibri"/>
        </w:rPr>
        <w:t xml:space="preserve">(2003) </w:t>
      </w:r>
      <w:r w:rsidR="0026092B">
        <w:rPr>
          <w:rFonts w:eastAsia="Calibri"/>
          <w:noProof/>
        </w:rPr>
        <w:t>constructs</w:t>
      </w:r>
      <w:r w:rsidR="00C70BEA" w:rsidRPr="00C70BEA">
        <w:rPr>
          <w:rFonts w:eastAsia="Calibri"/>
        </w:rPr>
        <w:t xml:space="preserve"> a measure of ethnic fractionalization, “defined as the probability that two individuals selected at random from a country will be</w:t>
      </w:r>
      <w:r w:rsidR="00067ABA">
        <w:rPr>
          <w:rFonts w:eastAsia="Calibri"/>
        </w:rPr>
        <w:t xml:space="preserve"> different ethnic groups” (p. </w:t>
      </w:r>
      <w:r w:rsidR="00C70BEA" w:rsidRPr="00C70BEA">
        <w:rPr>
          <w:rFonts w:eastAsia="Calibri"/>
        </w:rPr>
        <w:t>208). T</w:t>
      </w:r>
      <w:r w:rsidR="00067ABA">
        <w:rPr>
          <w:rFonts w:eastAsia="Calibri"/>
        </w:rPr>
        <w:t>he formula used by Fearon (2003:</w:t>
      </w:r>
      <w:r w:rsidR="00C70BEA" w:rsidRPr="00C70BEA">
        <w:rPr>
          <w:rFonts w:eastAsia="Calibri"/>
        </w:rPr>
        <w:t xml:space="preserve">208) for calculating fractionalization, for ethnic groups </w:t>
      </w:r>
      <w:r w:rsidR="00C70BEA" w:rsidRPr="00C70BEA">
        <w:rPr>
          <w:rFonts w:eastAsia="Calibri"/>
          <w:i/>
        </w:rPr>
        <w:t>p</w:t>
      </w:r>
      <w:r w:rsidR="00C70BEA" w:rsidRPr="00C70BEA">
        <w:rPr>
          <w:rFonts w:eastAsia="Calibri"/>
          <w:i/>
          <w:vertAlign w:val="subscript"/>
        </w:rPr>
        <w:t>1</w:t>
      </w:r>
      <w:r w:rsidR="00C70BEA" w:rsidRPr="00C70BEA">
        <w:rPr>
          <w:rFonts w:eastAsia="Calibri"/>
          <w:i/>
        </w:rPr>
        <w:t xml:space="preserve">, </w:t>
      </w:r>
      <w:r w:rsidR="00C70BEA" w:rsidRPr="00525FCF">
        <w:rPr>
          <w:rFonts w:eastAsia="Calibri"/>
          <w:i/>
          <w:noProof/>
        </w:rPr>
        <w:t>p</w:t>
      </w:r>
      <w:r w:rsidR="00C70BEA" w:rsidRPr="00525FCF">
        <w:rPr>
          <w:rFonts w:eastAsia="Calibri"/>
          <w:i/>
          <w:noProof/>
          <w:vertAlign w:val="subscript"/>
        </w:rPr>
        <w:t xml:space="preserve">2, </w:t>
      </w:r>
      <w:r w:rsidR="00C70BEA" w:rsidRPr="00525FCF">
        <w:rPr>
          <w:rFonts w:eastAsia="Calibri"/>
          <w:i/>
          <w:noProof/>
        </w:rPr>
        <w:t>.</w:t>
      </w:r>
      <w:r w:rsidR="00C70BEA" w:rsidRPr="00C70BEA">
        <w:rPr>
          <w:rFonts w:eastAsia="Calibri"/>
          <w:i/>
        </w:rPr>
        <w:t xml:space="preserve"> . ., </w:t>
      </w:r>
      <w:r w:rsidR="00C70BEA" w:rsidRPr="00525FCF">
        <w:rPr>
          <w:rFonts w:eastAsia="Calibri"/>
          <w:i/>
          <w:noProof/>
        </w:rPr>
        <w:t>p</w:t>
      </w:r>
      <w:r w:rsidR="00C70BEA" w:rsidRPr="00525FCF">
        <w:rPr>
          <w:rFonts w:eastAsia="Calibri"/>
          <w:i/>
          <w:noProof/>
          <w:vertAlign w:val="subscript"/>
        </w:rPr>
        <w:t>n</w:t>
      </w:r>
      <w:r w:rsidR="00C70BEA" w:rsidRPr="00C70BEA">
        <w:rPr>
          <w:rFonts w:eastAsia="Calibri"/>
        </w:rPr>
        <w:t xml:space="preserve"> is:</w:t>
      </w:r>
      <m:oMath>
        <m:r>
          <m:rPr>
            <m:sty m:val="p"/>
          </m:rPr>
          <w:rPr>
            <w:rFonts w:ascii="Cambria Math" w:eastAsia="Calibri" w:hAnsi="Cambria Math"/>
          </w:rPr>
          <w:br/>
        </m:r>
      </m:oMath>
      <m:oMathPara>
        <m:oMath>
          <m:r>
            <w:rPr>
              <w:rFonts w:ascii="Cambria Math" w:eastAsia="Calibri" w:hAnsi="Cambria Math"/>
            </w:rPr>
            <m:t>F≡1-</m:t>
          </m:r>
          <m:nary>
            <m:naryPr>
              <m:chr m:val="∑"/>
              <m:limLoc m:val="subSup"/>
              <m:ctrlPr>
                <w:rPr>
                  <w:rFonts w:ascii="Cambria Math" w:eastAsia="Calibri" w:hAnsi="Cambria Math"/>
                  <w:i/>
                </w:rPr>
              </m:ctrlPr>
            </m:naryPr>
            <m:sub>
              <m:r>
                <w:rPr>
                  <w:rFonts w:ascii="Cambria Math" w:eastAsia="Calibri" w:hAnsi="Cambria Math"/>
                </w:rPr>
                <m:t>i=1</m:t>
              </m:r>
            </m:sub>
            <m:sup>
              <m:r>
                <w:rPr>
                  <w:rFonts w:ascii="Cambria Math" w:eastAsia="Calibri" w:hAnsi="Cambria Math"/>
                </w:rPr>
                <m:t>n</m:t>
              </m:r>
            </m:sup>
            <m:e>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i</m:t>
                  </m:r>
                </m:sub>
                <m:sup>
                  <m:r>
                    <w:rPr>
                      <w:rFonts w:ascii="Cambria Math" w:eastAsia="Calibri" w:hAnsi="Cambria Math"/>
                    </w:rPr>
                    <m:t>2</m:t>
                  </m:r>
                </m:sup>
              </m:sSubSup>
            </m:e>
          </m:nary>
        </m:oMath>
      </m:oMathPara>
    </w:p>
    <w:p w:rsidR="00F83555" w:rsidRDefault="00C70BEA" w:rsidP="00C70BEA">
      <w:pPr>
        <w:spacing w:after="200" w:line="480" w:lineRule="auto"/>
        <w:contextualSpacing/>
        <w:rPr>
          <w:rFonts w:eastAsia="Calibri"/>
        </w:rPr>
      </w:pPr>
      <w:r w:rsidRPr="00C70BEA">
        <w:rPr>
          <w:rFonts w:eastAsia="Calibri"/>
        </w:rPr>
        <w:t xml:space="preserve">Each country’s ethnic fractionalization </w:t>
      </w:r>
      <w:r w:rsidRPr="00525FCF">
        <w:rPr>
          <w:rFonts w:eastAsia="Calibri"/>
          <w:noProof/>
        </w:rPr>
        <w:t>is computed</w:t>
      </w:r>
      <w:r w:rsidRPr="00C70BEA">
        <w:rPr>
          <w:rFonts w:eastAsia="Calibri"/>
        </w:rPr>
        <w:t xml:space="preserve"> on the number of ethnic groups larger than one percent of that country’s population. Fearon </w:t>
      </w:r>
      <w:r w:rsidR="00067ABA">
        <w:rPr>
          <w:rFonts w:eastAsia="Calibri"/>
        </w:rPr>
        <w:t xml:space="preserve">(2003) </w:t>
      </w:r>
      <w:r w:rsidRPr="00C70BEA">
        <w:rPr>
          <w:rFonts w:eastAsia="Calibri"/>
        </w:rPr>
        <w:t>use</w:t>
      </w:r>
      <w:r w:rsidR="00067ABA">
        <w:rPr>
          <w:rFonts w:eastAsia="Calibri"/>
        </w:rPr>
        <w:t>s</w:t>
      </w:r>
      <w:r w:rsidRPr="00C70BEA">
        <w:rPr>
          <w:rFonts w:eastAsia="Calibri"/>
        </w:rPr>
        <w:t xml:space="preserve"> 822 ethnic groups in 160 countries for his calculations for an average of five ethnic g</w:t>
      </w:r>
      <w:r w:rsidR="00C41EDE">
        <w:rPr>
          <w:rFonts w:eastAsia="Calibri"/>
        </w:rPr>
        <w:t>roups</w:t>
      </w:r>
      <w:r w:rsidR="00067ABA">
        <w:rPr>
          <w:rFonts w:eastAsia="Calibri"/>
        </w:rPr>
        <w:t xml:space="preserve"> (p. </w:t>
      </w:r>
      <w:r w:rsidRPr="00C70BEA">
        <w:rPr>
          <w:rFonts w:eastAsia="Calibri"/>
        </w:rPr>
        <w:t xml:space="preserve">204). The resulting fractionalization scores are .953 and 1, respectively. Fractionalization scores range from .004 (Republic of Korea) to 1 and are time invariant in this analysis. </w:t>
      </w:r>
      <w:r w:rsidR="00F83555" w:rsidRPr="00E50734">
        <w:rPr>
          <w:rFonts w:eastAsia="Calibri"/>
          <w:noProof/>
        </w:rPr>
        <w:t>I</w:t>
      </w:r>
      <w:r w:rsidR="00F83555">
        <w:rPr>
          <w:rFonts w:eastAsia="Calibri"/>
        </w:rPr>
        <w:t xml:space="preserve"> interact ethnic fractionalization with standardized time in </w:t>
      </w:r>
      <w:r w:rsidR="00F83555" w:rsidRPr="00E50734">
        <w:rPr>
          <w:rFonts w:eastAsia="Calibri"/>
          <w:noProof/>
        </w:rPr>
        <w:t>my</w:t>
      </w:r>
      <w:r w:rsidR="00F83555">
        <w:rPr>
          <w:rFonts w:eastAsia="Calibri"/>
        </w:rPr>
        <w:t xml:space="preserve"> fixed-</w:t>
      </w:r>
      <w:r w:rsidR="00F83555">
        <w:rPr>
          <w:rFonts w:eastAsia="Calibri"/>
        </w:rPr>
        <w:lastRenderedPageBreak/>
        <w:t xml:space="preserve">effect regression to show the impact of ethnic fractionalization on incarceration rates at the mid-point of the </w:t>
      </w:r>
      <w:r w:rsidR="00F83555" w:rsidRPr="00525FCF">
        <w:rPr>
          <w:rFonts w:eastAsia="Calibri"/>
          <w:noProof/>
        </w:rPr>
        <w:t>analysis</w:t>
      </w:r>
      <w:r w:rsidR="00F83555">
        <w:rPr>
          <w:rFonts w:eastAsia="Calibri"/>
        </w:rPr>
        <w:t xml:space="preserve">. </w:t>
      </w:r>
    </w:p>
    <w:p w:rsidR="00C70BEA" w:rsidRDefault="00C70BEA" w:rsidP="00F83555">
      <w:pPr>
        <w:spacing w:after="200" w:line="480" w:lineRule="auto"/>
        <w:ind w:firstLine="720"/>
        <w:contextualSpacing/>
        <w:rPr>
          <w:rFonts w:eastAsia="Calibri"/>
        </w:rPr>
      </w:pPr>
      <w:r w:rsidRPr="00C70BEA">
        <w:rPr>
          <w:rFonts w:eastAsia="Calibri"/>
        </w:rPr>
        <w:t xml:space="preserve">Papua New Guinea has highly fractionalized ethnic groups that do not meet the one percent of the country population threshold in place for Fearon (2003:205). No </w:t>
      </w:r>
      <w:r w:rsidRPr="008D6BD4">
        <w:rPr>
          <w:rFonts w:eastAsia="Calibri"/>
          <w:noProof/>
        </w:rPr>
        <w:t>ethnic fractionalization</w:t>
      </w:r>
      <w:r w:rsidRPr="00C70BEA">
        <w:rPr>
          <w:rFonts w:eastAsia="Calibri"/>
        </w:rPr>
        <w:t xml:space="preserve"> scores were available for Hong Kong, Serbia, or Timor-Leste. </w:t>
      </w:r>
      <w:r w:rsidR="00EA3315">
        <w:rPr>
          <w:rFonts w:eastAsia="Calibri"/>
        </w:rPr>
        <w:t xml:space="preserve">According to Jacobs and Kleban </w:t>
      </w:r>
      <w:r w:rsidR="00EA3315" w:rsidRPr="00E50734">
        <w:rPr>
          <w:rFonts w:eastAsia="Calibri"/>
          <w:noProof/>
        </w:rPr>
        <w:t>(2003)</w:t>
      </w:r>
      <w:r w:rsidR="00E50734">
        <w:rPr>
          <w:rFonts w:eastAsia="Calibri"/>
          <w:noProof/>
        </w:rPr>
        <w:t>,</w:t>
      </w:r>
      <w:r w:rsidR="00EA3315">
        <w:rPr>
          <w:rFonts w:eastAsia="Calibri"/>
        </w:rPr>
        <w:t xml:space="preserve"> perceptions of racial or </w:t>
      </w:r>
      <w:r w:rsidR="00EA3315" w:rsidRPr="00E50734">
        <w:rPr>
          <w:rFonts w:eastAsia="Calibri"/>
          <w:noProof/>
        </w:rPr>
        <w:t>ethnic</w:t>
      </w:r>
      <w:r w:rsidR="00EA3315">
        <w:rPr>
          <w:rFonts w:eastAsia="Calibri"/>
        </w:rPr>
        <w:t xml:space="preserve"> threat increased incarceration rates (p. 725). </w:t>
      </w:r>
      <w:r w:rsidR="003B6046">
        <w:rPr>
          <w:rFonts w:eastAsia="Calibri"/>
        </w:rPr>
        <w:t>See Figure 14</w:t>
      </w:r>
      <w:r w:rsidRPr="00C70BEA">
        <w:rPr>
          <w:rFonts w:eastAsia="Calibri"/>
        </w:rPr>
        <w:t xml:space="preserve"> for the distribution of </w:t>
      </w:r>
      <w:r w:rsidRPr="008D6BD4">
        <w:rPr>
          <w:rFonts w:eastAsia="Calibri"/>
          <w:noProof/>
        </w:rPr>
        <w:t>ethnic fractionalization</w:t>
      </w:r>
      <w:r w:rsidRPr="00C70BEA">
        <w:rPr>
          <w:rFonts w:eastAsia="Calibri"/>
        </w:rPr>
        <w:t xml:space="preserve"> scores. </w:t>
      </w:r>
    </w:p>
    <w:p w:rsidR="00C70BEA" w:rsidRDefault="003B6046" w:rsidP="00B8055E">
      <w:pPr>
        <w:spacing w:after="200" w:line="240" w:lineRule="auto"/>
        <w:contextualSpacing/>
        <w:rPr>
          <w:rFonts w:eastAsia="Calibri"/>
        </w:rPr>
      </w:pPr>
      <w:r>
        <w:rPr>
          <w:rFonts w:eastAsia="Calibri"/>
        </w:rPr>
        <w:t>Figure 14</w:t>
      </w:r>
      <w:r w:rsidR="00B8055E">
        <w:rPr>
          <w:rFonts w:eastAsia="Calibri"/>
        </w:rPr>
        <w:t xml:space="preserve">. </w:t>
      </w:r>
      <w:r w:rsidR="00C70BEA" w:rsidRPr="00C70BEA">
        <w:rPr>
          <w:rFonts w:eastAsia="Calibri"/>
        </w:rPr>
        <w:t>Ethnic Fractionalization.</w:t>
      </w:r>
      <w:r w:rsidR="00C70BEA" w:rsidRPr="00C70BEA">
        <w:rPr>
          <w:rFonts w:eastAsia="Calibri"/>
          <w:noProof/>
        </w:rPr>
        <w:drawing>
          <wp:inline distT="0" distB="0" distL="0" distR="0" wp14:anchorId="66EE1092" wp14:editId="55FE9717">
            <wp:extent cx="5117123" cy="3745050"/>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708_histo_eth_frac_normal.em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17123" cy="3745050"/>
                    </a:xfrm>
                    <a:prstGeom prst="rect">
                      <a:avLst/>
                    </a:prstGeom>
                  </pic:spPr>
                </pic:pic>
              </a:graphicData>
            </a:graphic>
          </wp:inline>
        </w:drawing>
      </w:r>
    </w:p>
    <w:p w:rsidR="00057B53" w:rsidRPr="00C70BEA" w:rsidRDefault="00057B53" w:rsidP="00B8055E">
      <w:pPr>
        <w:spacing w:after="200" w:line="240" w:lineRule="auto"/>
        <w:contextualSpacing/>
        <w:rPr>
          <w:rFonts w:eastAsia="Calibri"/>
        </w:rPr>
      </w:pPr>
    </w:p>
    <w:p w:rsidR="00D41425" w:rsidRDefault="00D41425" w:rsidP="007B712C">
      <w:pPr>
        <w:spacing w:after="200" w:line="480" w:lineRule="auto"/>
        <w:contextualSpacing/>
        <w:rPr>
          <w:rFonts w:eastAsia="Calibri"/>
        </w:rPr>
      </w:pPr>
      <w:r>
        <w:rPr>
          <w:rFonts w:eastAsia="Calibri"/>
          <w:i/>
        </w:rPr>
        <w:t>Percentage male.</w:t>
      </w:r>
      <w:r>
        <w:rPr>
          <w:rFonts w:eastAsia="Calibri"/>
        </w:rPr>
        <w:t xml:space="preserve"> From the World Bank</w:t>
      </w:r>
      <w:r w:rsidR="003A38B0">
        <w:rPr>
          <w:rFonts w:eastAsia="Calibri"/>
        </w:rPr>
        <w:t xml:space="preserve"> </w:t>
      </w:r>
      <w:r>
        <w:rPr>
          <w:rFonts w:eastAsia="Calibri"/>
        </w:rPr>
        <w:t>World Developm</w:t>
      </w:r>
      <w:r w:rsidR="00067ABA">
        <w:rPr>
          <w:rFonts w:eastAsia="Calibri"/>
        </w:rPr>
        <w:t xml:space="preserve">ent </w:t>
      </w:r>
      <w:r w:rsidR="00067ABA" w:rsidRPr="00E13EC7">
        <w:rPr>
          <w:rFonts w:eastAsia="Calibri"/>
          <w:noProof/>
        </w:rPr>
        <w:t>Indicators</w:t>
      </w:r>
      <w:r w:rsidR="003A38B0">
        <w:rPr>
          <w:rFonts w:eastAsia="Calibri"/>
          <w:noProof/>
        </w:rPr>
        <w:t xml:space="preserve"> (N.d.c)</w:t>
      </w:r>
      <w:r w:rsidR="00E13EC7">
        <w:rPr>
          <w:rFonts w:eastAsia="Calibri"/>
          <w:noProof/>
        </w:rPr>
        <w:t>,</w:t>
      </w:r>
      <w:r w:rsidR="00BB04E8">
        <w:rPr>
          <w:rFonts w:eastAsia="Calibri"/>
        </w:rPr>
        <w:t xml:space="preserve"> I use</w:t>
      </w:r>
      <w:r w:rsidR="00067ABA">
        <w:rPr>
          <w:rFonts w:eastAsia="Calibri"/>
        </w:rPr>
        <w:t xml:space="preserve"> the</w:t>
      </w:r>
      <w:r>
        <w:rPr>
          <w:rFonts w:eastAsia="Calibri"/>
        </w:rPr>
        <w:t xml:space="preserve"> percentage of the total population that is female, by country</w:t>
      </w:r>
      <w:r w:rsidR="00BB04E8">
        <w:rPr>
          <w:rFonts w:eastAsia="Calibri"/>
        </w:rPr>
        <w:t>,</w:t>
      </w:r>
      <w:r>
        <w:rPr>
          <w:rFonts w:eastAsia="Calibri"/>
        </w:rPr>
        <w:t xml:space="preserve"> for 1</w:t>
      </w:r>
      <w:r w:rsidR="00BB04E8">
        <w:rPr>
          <w:rFonts w:eastAsia="Calibri"/>
        </w:rPr>
        <w:t>990-2013 for 138 countries. D</w:t>
      </w:r>
      <w:r w:rsidR="00E00414">
        <w:rPr>
          <w:rFonts w:eastAsia="Calibri"/>
        </w:rPr>
        <w:t>ata for Taiwan are</w:t>
      </w:r>
      <w:r w:rsidR="00BB04E8">
        <w:rPr>
          <w:rFonts w:eastAsia="Calibri"/>
        </w:rPr>
        <w:t xml:space="preserve"> not</w:t>
      </w:r>
      <w:r>
        <w:rPr>
          <w:rFonts w:eastAsia="Calibri"/>
        </w:rPr>
        <w:t xml:space="preserve"> available. </w:t>
      </w:r>
      <w:r w:rsidRPr="008D6BD4">
        <w:rPr>
          <w:rFonts w:eastAsia="Calibri"/>
          <w:noProof/>
        </w:rPr>
        <w:t>I</w:t>
      </w:r>
      <w:r>
        <w:rPr>
          <w:rFonts w:eastAsia="Calibri"/>
        </w:rPr>
        <w:t xml:space="preserve"> then construct the percentage of the population that is male by subtracting percentage female from 100 for each country. </w:t>
      </w:r>
      <w:r>
        <w:rPr>
          <w:rFonts w:eastAsia="Calibri"/>
        </w:rPr>
        <w:lastRenderedPageBreak/>
        <w:t xml:space="preserve">The distribution is </w:t>
      </w:r>
      <w:r w:rsidR="00525FCF" w:rsidRPr="00525FCF">
        <w:rPr>
          <w:rFonts w:eastAsia="Calibri"/>
          <w:noProof/>
        </w:rPr>
        <w:t>relative</w:t>
      </w:r>
      <w:r w:rsidRPr="00525FCF">
        <w:rPr>
          <w:rFonts w:eastAsia="Calibri"/>
          <w:noProof/>
        </w:rPr>
        <w:t>ly</w:t>
      </w:r>
      <w:r>
        <w:rPr>
          <w:rFonts w:eastAsia="Calibri"/>
        </w:rPr>
        <w:t xml:space="preserve"> normal. </w:t>
      </w:r>
      <w:r w:rsidR="008D6BD4">
        <w:rPr>
          <w:rFonts w:eastAsia="Calibri"/>
          <w:noProof/>
        </w:rPr>
        <w:t>T</w:t>
      </w:r>
      <w:r w:rsidR="00EA2D8F" w:rsidRPr="008D6BD4">
        <w:rPr>
          <w:rFonts w:eastAsia="Calibri"/>
          <w:noProof/>
        </w:rPr>
        <w:t>he</w:t>
      </w:r>
      <w:r>
        <w:rPr>
          <w:rFonts w:eastAsia="Calibri"/>
        </w:rPr>
        <w:t xml:space="preserve"> larger the percentage male, the greater the incidence of </w:t>
      </w:r>
      <w:r w:rsidR="00EA2D8F">
        <w:rPr>
          <w:rFonts w:eastAsia="Calibri"/>
        </w:rPr>
        <w:t xml:space="preserve">violent crime and </w:t>
      </w:r>
      <w:r>
        <w:rPr>
          <w:rFonts w:eastAsia="Calibri"/>
        </w:rPr>
        <w:t xml:space="preserve">incarceration. </w:t>
      </w:r>
    </w:p>
    <w:p w:rsidR="00A110A1" w:rsidRDefault="00951ABC" w:rsidP="00264315">
      <w:pPr>
        <w:spacing w:after="200" w:line="480" w:lineRule="auto"/>
        <w:ind w:firstLine="720"/>
        <w:contextualSpacing/>
        <w:rPr>
          <w:rFonts w:eastAsia="Calibri"/>
        </w:rPr>
      </w:pPr>
      <w:r>
        <w:rPr>
          <w:rFonts w:eastAsia="Calibri"/>
        </w:rPr>
        <w:t xml:space="preserve">As noted, </w:t>
      </w:r>
      <w:r w:rsidRPr="00525FCF">
        <w:rPr>
          <w:rFonts w:eastAsia="Calibri"/>
          <w:noProof/>
        </w:rPr>
        <w:t>country</w:t>
      </w:r>
      <w:r>
        <w:rPr>
          <w:rFonts w:eastAsia="Calibri"/>
        </w:rPr>
        <w:t xml:space="preserve"> coverage for many of the listed variables </w:t>
      </w:r>
      <w:r w:rsidRPr="00BC59A1">
        <w:rPr>
          <w:rFonts w:eastAsia="Calibri"/>
          <w:noProof/>
        </w:rPr>
        <w:t>varies</w:t>
      </w:r>
      <w:r>
        <w:rPr>
          <w:rFonts w:eastAsia="Calibri"/>
        </w:rPr>
        <w:t xml:space="preserve"> and limits the final sample size. When examined for incarceration rates, each listed explanatory/control variable, </w:t>
      </w:r>
      <w:r w:rsidRPr="00525FCF">
        <w:rPr>
          <w:rFonts w:eastAsia="Calibri"/>
          <w:noProof/>
        </w:rPr>
        <w:t>region</w:t>
      </w:r>
      <w:r>
        <w:rPr>
          <w:rFonts w:eastAsia="Calibri"/>
        </w:rPr>
        <w:t xml:space="preserve"> of the world, and world-system position, my </w:t>
      </w:r>
      <w:r w:rsidRPr="00525FCF">
        <w:rPr>
          <w:rFonts w:eastAsia="Calibri"/>
          <w:noProof/>
        </w:rPr>
        <w:t>final</w:t>
      </w:r>
      <w:r>
        <w:rPr>
          <w:rFonts w:eastAsia="Calibri"/>
        </w:rPr>
        <w:t xml:space="preserve"> sample size consists of 77 countries. </w:t>
      </w:r>
      <w:r w:rsidR="003B6046">
        <w:rPr>
          <w:rFonts w:eastAsia="Calibri"/>
        </w:rPr>
        <w:t>See Table 4</w:t>
      </w:r>
      <w:r w:rsidR="00AB1C5C">
        <w:rPr>
          <w:rFonts w:eastAsia="Calibri"/>
        </w:rPr>
        <w:t xml:space="preserve"> below for the descriptive statistics for the variables listed above. </w:t>
      </w:r>
    </w:p>
    <w:p w:rsidR="00566527" w:rsidRPr="00D41425" w:rsidRDefault="003B6046" w:rsidP="00566527">
      <w:pPr>
        <w:spacing w:after="200" w:line="240" w:lineRule="auto"/>
        <w:contextualSpacing/>
        <w:rPr>
          <w:rFonts w:eastAsia="Calibri"/>
        </w:rPr>
      </w:pPr>
      <w:r>
        <w:rPr>
          <w:rFonts w:eastAsia="Calibri"/>
        </w:rPr>
        <w:t>Table 4</w:t>
      </w:r>
      <w:r w:rsidR="00566527">
        <w:rPr>
          <w:rFonts w:eastAsia="Calibri"/>
        </w:rPr>
        <w:t xml:space="preserve">. </w:t>
      </w:r>
      <w:r w:rsidR="00BB04E8" w:rsidRPr="008D6BD4">
        <w:rPr>
          <w:rFonts w:eastAsia="Calibri"/>
          <w:noProof/>
        </w:rPr>
        <w:t>Descriptive</w:t>
      </w:r>
      <w:r w:rsidR="00566527" w:rsidRPr="008D6BD4">
        <w:rPr>
          <w:rFonts w:eastAsia="Calibri"/>
          <w:noProof/>
        </w:rPr>
        <w:t xml:space="preserve"> </w:t>
      </w:r>
      <w:r w:rsidR="00295E9C">
        <w:rPr>
          <w:rFonts w:eastAsia="Calibri"/>
          <w:noProof/>
        </w:rPr>
        <w:t>Statistics</w:t>
      </w:r>
      <w:r w:rsidR="00566527">
        <w:rPr>
          <w:rFonts w:eastAsia="Calibri"/>
        </w:rPr>
        <w:t>.</w:t>
      </w:r>
    </w:p>
    <w:tbl>
      <w:tblPr>
        <w:tblStyle w:val="TableGrid"/>
        <w:tblW w:w="0" w:type="auto"/>
        <w:tblLook w:val="04A0" w:firstRow="1" w:lastRow="0" w:firstColumn="1" w:lastColumn="0" w:noHBand="0" w:noVBand="1"/>
      </w:tblPr>
      <w:tblGrid>
        <w:gridCol w:w="2695"/>
        <w:gridCol w:w="1440"/>
        <w:gridCol w:w="1080"/>
        <w:gridCol w:w="1080"/>
        <w:gridCol w:w="1017"/>
        <w:gridCol w:w="1053"/>
      </w:tblGrid>
      <w:tr w:rsidR="00AD5C82" w:rsidTr="00AD5C82">
        <w:tc>
          <w:tcPr>
            <w:tcW w:w="2695" w:type="dxa"/>
            <w:tcBorders>
              <w:bottom w:val="single" w:sz="4" w:space="0" w:color="auto"/>
              <w:right w:val="nil"/>
            </w:tcBorders>
          </w:tcPr>
          <w:p w:rsidR="00AD5C82" w:rsidRPr="00D37A19" w:rsidRDefault="00AD5C82" w:rsidP="00BF0408">
            <w:pPr>
              <w:contextualSpacing/>
              <w:jc w:val="right"/>
              <w:rPr>
                <w:sz w:val="20"/>
                <w:szCs w:val="20"/>
              </w:rPr>
            </w:pPr>
            <w:r w:rsidRPr="00D37A19">
              <w:rPr>
                <w:sz w:val="20"/>
                <w:szCs w:val="20"/>
              </w:rPr>
              <w:t>Variable</w:t>
            </w:r>
          </w:p>
        </w:tc>
        <w:tc>
          <w:tcPr>
            <w:tcW w:w="1440" w:type="dxa"/>
            <w:tcBorders>
              <w:left w:val="nil"/>
              <w:bottom w:val="single" w:sz="4" w:space="0" w:color="auto"/>
              <w:right w:val="nil"/>
            </w:tcBorders>
          </w:tcPr>
          <w:p w:rsidR="00AD5C82" w:rsidRPr="00D37A19" w:rsidRDefault="00AD5C82" w:rsidP="00BF0408">
            <w:pPr>
              <w:contextualSpacing/>
              <w:jc w:val="right"/>
              <w:rPr>
                <w:sz w:val="20"/>
                <w:szCs w:val="20"/>
              </w:rPr>
            </w:pPr>
            <w:r>
              <w:rPr>
                <w:sz w:val="20"/>
                <w:szCs w:val="20"/>
              </w:rPr>
              <w:t>Observations</w:t>
            </w:r>
          </w:p>
        </w:tc>
        <w:tc>
          <w:tcPr>
            <w:tcW w:w="1080" w:type="dxa"/>
            <w:tcBorders>
              <w:left w:val="nil"/>
              <w:bottom w:val="single" w:sz="4" w:space="0" w:color="auto"/>
              <w:right w:val="nil"/>
            </w:tcBorders>
          </w:tcPr>
          <w:p w:rsidR="00AD5C82" w:rsidRPr="00D37A19" w:rsidRDefault="00AD5C82" w:rsidP="00BF0408">
            <w:pPr>
              <w:contextualSpacing/>
              <w:jc w:val="right"/>
              <w:rPr>
                <w:sz w:val="20"/>
                <w:szCs w:val="20"/>
              </w:rPr>
            </w:pPr>
            <w:r>
              <w:rPr>
                <w:sz w:val="20"/>
                <w:szCs w:val="20"/>
              </w:rPr>
              <w:t>Mean</w:t>
            </w:r>
          </w:p>
        </w:tc>
        <w:tc>
          <w:tcPr>
            <w:tcW w:w="1080" w:type="dxa"/>
            <w:tcBorders>
              <w:left w:val="nil"/>
              <w:bottom w:val="single" w:sz="4" w:space="0" w:color="auto"/>
              <w:right w:val="nil"/>
            </w:tcBorders>
          </w:tcPr>
          <w:p w:rsidR="00AD5C82" w:rsidRPr="00D37A19" w:rsidRDefault="00AD5C82" w:rsidP="00BF0408">
            <w:pPr>
              <w:contextualSpacing/>
              <w:jc w:val="right"/>
              <w:rPr>
                <w:sz w:val="20"/>
                <w:szCs w:val="20"/>
              </w:rPr>
            </w:pPr>
            <w:r>
              <w:rPr>
                <w:sz w:val="20"/>
                <w:szCs w:val="20"/>
              </w:rPr>
              <w:t>Std. Dev.</w:t>
            </w:r>
          </w:p>
        </w:tc>
        <w:tc>
          <w:tcPr>
            <w:tcW w:w="1017" w:type="dxa"/>
            <w:tcBorders>
              <w:left w:val="nil"/>
              <w:bottom w:val="single" w:sz="4" w:space="0" w:color="auto"/>
              <w:right w:val="nil"/>
            </w:tcBorders>
          </w:tcPr>
          <w:p w:rsidR="00AD5C82" w:rsidRPr="00D37A19" w:rsidRDefault="00AD5C82" w:rsidP="00BF0408">
            <w:pPr>
              <w:contextualSpacing/>
              <w:jc w:val="right"/>
              <w:rPr>
                <w:sz w:val="20"/>
                <w:szCs w:val="20"/>
              </w:rPr>
            </w:pPr>
            <w:r>
              <w:rPr>
                <w:sz w:val="20"/>
                <w:szCs w:val="20"/>
              </w:rPr>
              <w:t>Minimum</w:t>
            </w:r>
          </w:p>
        </w:tc>
        <w:tc>
          <w:tcPr>
            <w:tcW w:w="1053" w:type="dxa"/>
            <w:tcBorders>
              <w:left w:val="nil"/>
              <w:bottom w:val="single" w:sz="4" w:space="0" w:color="auto"/>
            </w:tcBorders>
          </w:tcPr>
          <w:p w:rsidR="00AD5C82" w:rsidRPr="00D37A19" w:rsidRDefault="00AD5C82" w:rsidP="00BF0408">
            <w:pPr>
              <w:contextualSpacing/>
              <w:jc w:val="right"/>
              <w:rPr>
                <w:sz w:val="20"/>
                <w:szCs w:val="20"/>
              </w:rPr>
            </w:pPr>
            <w:r>
              <w:rPr>
                <w:sz w:val="20"/>
                <w:szCs w:val="20"/>
              </w:rPr>
              <w:t>Maximum</w:t>
            </w:r>
          </w:p>
        </w:tc>
      </w:tr>
      <w:tr w:rsidR="00AD5C82" w:rsidTr="00AD5C82">
        <w:tc>
          <w:tcPr>
            <w:tcW w:w="2695" w:type="dxa"/>
            <w:tcBorders>
              <w:bottom w:val="nil"/>
            </w:tcBorders>
            <w:shd w:val="clear" w:color="auto" w:fill="E7E6E6" w:themeFill="background2"/>
          </w:tcPr>
          <w:p w:rsidR="00AD5C82" w:rsidRPr="00D37A19" w:rsidRDefault="00AD5C82" w:rsidP="00BF0408">
            <w:pPr>
              <w:contextualSpacing/>
              <w:jc w:val="right"/>
              <w:rPr>
                <w:sz w:val="20"/>
                <w:szCs w:val="20"/>
              </w:rPr>
            </w:pPr>
            <w:r w:rsidRPr="00D37A19">
              <w:rPr>
                <w:sz w:val="20"/>
                <w:szCs w:val="20"/>
              </w:rPr>
              <w:t>Incarceration Rates</w:t>
            </w:r>
          </w:p>
        </w:tc>
        <w:tc>
          <w:tcPr>
            <w:tcW w:w="1440" w:type="dxa"/>
            <w:tcBorders>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325</w:t>
            </w:r>
          </w:p>
        </w:tc>
        <w:tc>
          <w:tcPr>
            <w:tcW w:w="1080" w:type="dxa"/>
            <w:tcBorders>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 xml:space="preserve">  172.0</w:t>
            </w:r>
          </w:p>
        </w:tc>
        <w:tc>
          <w:tcPr>
            <w:tcW w:w="1080" w:type="dxa"/>
            <w:tcBorders>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137.14</w:t>
            </w:r>
          </w:p>
        </w:tc>
        <w:tc>
          <w:tcPr>
            <w:tcW w:w="1017" w:type="dxa"/>
            <w:tcBorders>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25</w:t>
            </w:r>
          </w:p>
        </w:tc>
        <w:tc>
          <w:tcPr>
            <w:tcW w:w="1053" w:type="dxa"/>
            <w:tcBorders>
              <w:left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756</w:t>
            </w:r>
          </w:p>
        </w:tc>
      </w:tr>
      <w:tr w:rsidR="00AD5C82" w:rsidTr="00AD5C82">
        <w:tc>
          <w:tcPr>
            <w:tcW w:w="2695" w:type="dxa"/>
            <w:tcBorders>
              <w:top w:val="nil"/>
              <w:bottom w:val="nil"/>
            </w:tcBorders>
          </w:tcPr>
          <w:p w:rsidR="00AD5C82" w:rsidRPr="00D37A19" w:rsidRDefault="00AD5C82" w:rsidP="00BF0408">
            <w:pPr>
              <w:contextualSpacing/>
              <w:jc w:val="right"/>
              <w:rPr>
                <w:sz w:val="20"/>
                <w:szCs w:val="20"/>
              </w:rPr>
            </w:pPr>
            <w:r w:rsidRPr="00D37A19">
              <w:rPr>
                <w:sz w:val="20"/>
                <w:szCs w:val="20"/>
              </w:rPr>
              <w:t>Incarceration Rates (logged)</w:t>
            </w:r>
          </w:p>
        </w:tc>
        <w:tc>
          <w:tcPr>
            <w:tcW w:w="1440" w:type="dxa"/>
            <w:tcBorders>
              <w:top w:val="nil"/>
              <w:bottom w:val="nil"/>
              <w:right w:val="nil"/>
            </w:tcBorders>
          </w:tcPr>
          <w:p w:rsidR="00AD5C82" w:rsidRDefault="00AD5C82" w:rsidP="00BF0408">
            <w:pPr>
              <w:jc w:val="right"/>
            </w:pPr>
            <w:r w:rsidRPr="001363AA">
              <w:rPr>
                <w:sz w:val="20"/>
                <w:szCs w:val="20"/>
              </w:rPr>
              <w:t>325</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4.9</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.68</w:t>
            </w:r>
          </w:p>
        </w:tc>
        <w:tc>
          <w:tcPr>
            <w:tcW w:w="1017"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3.2</w:t>
            </w:r>
          </w:p>
        </w:tc>
        <w:tc>
          <w:tcPr>
            <w:tcW w:w="1053" w:type="dxa"/>
            <w:tcBorders>
              <w:top w:val="nil"/>
              <w:left w:val="nil"/>
              <w:bottom w:val="nil"/>
            </w:tcBorders>
          </w:tcPr>
          <w:p w:rsidR="00AD5C82" w:rsidRPr="00D37A19" w:rsidRDefault="00AD5C82" w:rsidP="00BF0408">
            <w:pPr>
              <w:contextualSpacing/>
              <w:jc w:val="right"/>
              <w:rPr>
                <w:sz w:val="20"/>
                <w:szCs w:val="20"/>
              </w:rPr>
            </w:pPr>
            <w:r>
              <w:rPr>
                <w:sz w:val="20"/>
                <w:szCs w:val="20"/>
              </w:rPr>
              <w:t>6.6</w:t>
            </w:r>
          </w:p>
        </w:tc>
      </w:tr>
      <w:tr w:rsidR="00AD5C82" w:rsidTr="00AD5C82">
        <w:tc>
          <w:tcPr>
            <w:tcW w:w="2695" w:type="dxa"/>
            <w:tcBorders>
              <w:top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Inequality</w:t>
            </w:r>
          </w:p>
        </w:tc>
        <w:tc>
          <w:tcPr>
            <w:tcW w:w="1440" w:type="dxa"/>
            <w:tcBorders>
              <w:top w:val="nil"/>
              <w:bottom w:val="nil"/>
              <w:right w:val="nil"/>
            </w:tcBorders>
            <w:shd w:val="clear" w:color="auto" w:fill="E7E6E6" w:themeFill="background2"/>
          </w:tcPr>
          <w:p w:rsidR="00AD5C82" w:rsidRDefault="00AD5C82" w:rsidP="00BF0408">
            <w:pPr>
              <w:jc w:val="right"/>
            </w:pPr>
            <w:r w:rsidRPr="001363AA">
              <w:rPr>
                <w:sz w:val="20"/>
                <w:szCs w:val="20"/>
              </w:rPr>
              <w:t>325</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34.6</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9.60</w:t>
            </w:r>
          </w:p>
        </w:tc>
        <w:tc>
          <w:tcPr>
            <w:tcW w:w="1017"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16.2</w:t>
            </w:r>
          </w:p>
        </w:tc>
        <w:tc>
          <w:tcPr>
            <w:tcW w:w="1053" w:type="dxa"/>
            <w:tcBorders>
              <w:top w:val="nil"/>
              <w:left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75.3</w:t>
            </w:r>
          </w:p>
        </w:tc>
      </w:tr>
      <w:tr w:rsidR="00AD5C82" w:rsidTr="00AD5C82">
        <w:tc>
          <w:tcPr>
            <w:tcW w:w="2695" w:type="dxa"/>
            <w:tcBorders>
              <w:top w:val="nil"/>
              <w:bottom w:val="nil"/>
            </w:tcBorders>
          </w:tcPr>
          <w:p w:rsidR="00AD5C82" w:rsidRPr="00D37A19" w:rsidRDefault="00AD5C82" w:rsidP="00BF0408">
            <w:pPr>
              <w:contextualSpacing/>
              <w:jc w:val="right"/>
              <w:rPr>
                <w:sz w:val="20"/>
                <w:szCs w:val="20"/>
              </w:rPr>
            </w:pPr>
            <w:r>
              <w:rPr>
                <w:sz w:val="20"/>
                <w:szCs w:val="20"/>
              </w:rPr>
              <w:t>GDPPC</w:t>
            </w:r>
          </w:p>
        </w:tc>
        <w:tc>
          <w:tcPr>
            <w:tcW w:w="1440" w:type="dxa"/>
            <w:tcBorders>
              <w:top w:val="nil"/>
              <w:bottom w:val="nil"/>
              <w:right w:val="nil"/>
            </w:tcBorders>
          </w:tcPr>
          <w:p w:rsidR="00AD5C82" w:rsidRDefault="00AD5C82" w:rsidP="00BF0408">
            <w:pPr>
              <w:jc w:val="right"/>
            </w:pPr>
            <w:r w:rsidRPr="001363AA">
              <w:rPr>
                <w:sz w:val="20"/>
                <w:szCs w:val="20"/>
              </w:rPr>
              <w:t>325</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22789.7</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sidRPr="004A5748">
              <w:rPr>
                <w:sz w:val="20"/>
                <w:szCs w:val="20"/>
              </w:rPr>
              <w:t>15062.51</w:t>
            </w:r>
          </w:p>
        </w:tc>
        <w:tc>
          <w:tcPr>
            <w:tcW w:w="1017"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1040.2</w:t>
            </w:r>
          </w:p>
        </w:tc>
        <w:tc>
          <w:tcPr>
            <w:tcW w:w="1053" w:type="dxa"/>
            <w:tcBorders>
              <w:top w:val="nil"/>
              <w:left w:val="nil"/>
              <w:bottom w:val="nil"/>
            </w:tcBorders>
          </w:tcPr>
          <w:p w:rsidR="00AD5C82" w:rsidRPr="00D37A19" w:rsidRDefault="00AD5C82" w:rsidP="00BF0408">
            <w:pPr>
              <w:contextualSpacing/>
              <w:jc w:val="right"/>
              <w:rPr>
                <w:sz w:val="20"/>
                <w:szCs w:val="20"/>
              </w:rPr>
            </w:pPr>
            <w:r>
              <w:rPr>
                <w:sz w:val="20"/>
                <w:szCs w:val="20"/>
              </w:rPr>
              <w:t>64573.2</w:t>
            </w:r>
          </w:p>
        </w:tc>
      </w:tr>
      <w:tr w:rsidR="00AD5C82" w:rsidTr="00AD5C82">
        <w:tc>
          <w:tcPr>
            <w:tcW w:w="2695" w:type="dxa"/>
            <w:tcBorders>
              <w:top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GDPPC (log)</w:t>
            </w:r>
          </w:p>
        </w:tc>
        <w:tc>
          <w:tcPr>
            <w:tcW w:w="1440" w:type="dxa"/>
            <w:tcBorders>
              <w:top w:val="nil"/>
              <w:bottom w:val="nil"/>
              <w:right w:val="nil"/>
            </w:tcBorders>
            <w:shd w:val="clear" w:color="auto" w:fill="E7E6E6" w:themeFill="background2"/>
          </w:tcPr>
          <w:p w:rsidR="00AD5C82" w:rsidRDefault="00AD5C82" w:rsidP="00BF0408">
            <w:pPr>
              <w:jc w:val="right"/>
            </w:pPr>
            <w:r w:rsidRPr="001363AA">
              <w:rPr>
                <w:sz w:val="20"/>
                <w:szCs w:val="20"/>
              </w:rPr>
              <w:t>325</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9.7</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.90</w:t>
            </w:r>
          </w:p>
        </w:tc>
        <w:tc>
          <w:tcPr>
            <w:tcW w:w="1017"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6.94</w:t>
            </w:r>
          </w:p>
        </w:tc>
        <w:tc>
          <w:tcPr>
            <w:tcW w:w="1053" w:type="dxa"/>
            <w:tcBorders>
              <w:top w:val="nil"/>
              <w:left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11.07</w:t>
            </w:r>
          </w:p>
        </w:tc>
      </w:tr>
      <w:tr w:rsidR="00AD5C82" w:rsidTr="00AD5C82">
        <w:tc>
          <w:tcPr>
            <w:tcW w:w="2695" w:type="dxa"/>
            <w:tcBorders>
              <w:top w:val="nil"/>
              <w:bottom w:val="nil"/>
            </w:tcBorders>
          </w:tcPr>
          <w:p w:rsidR="00AD5C82" w:rsidRPr="00D37A19" w:rsidRDefault="00AD5C82" w:rsidP="00BF0408">
            <w:pPr>
              <w:contextualSpacing/>
              <w:jc w:val="right"/>
              <w:rPr>
                <w:sz w:val="20"/>
                <w:szCs w:val="20"/>
              </w:rPr>
            </w:pPr>
            <w:r>
              <w:rPr>
                <w:sz w:val="20"/>
                <w:szCs w:val="20"/>
              </w:rPr>
              <w:t>Democracy</w:t>
            </w:r>
          </w:p>
        </w:tc>
        <w:tc>
          <w:tcPr>
            <w:tcW w:w="1440" w:type="dxa"/>
            <w:tcBorders>
              <w:top w:val="nil"/>
              <w:bottom w:val="nil"/>
              <w:right w:val="nil"/>
            </w:tcBorders>
          </w:tcPr>
          <w:p w:rsidR="00AD5C82" w:rsidRDefault="00AD5C82" w:rsidP="00BF0408">
            <w:pPr>
              <w:jc w:val="right"/>
            </w:pPr>
            <w:r w:rsidRPr="001363AA">
              <w:rPr>
                <w:sz w:val="20"/>
                <w:szCs w:val="20"/>
              </w:rPr>
              <w:t>325</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5.9</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1.33</w:t>
            </w:r>
          </w:p>
        </w:tc>
        <w:tc>
          <w:tcPr>
            <w:tcW w:w="1017"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1</w:t>
            </w:r>
          </w:p>
        </w:tc>
        <w:tc>
          <w:tcPr>
            <w:tcW w:w="1053" w:type="dxa"/>
            <w:tcBorders>
              <w:top w:val="nil"/>
              <w:left w:val="nil"/>
              <w:bottom w:val="nil"/>
            </w:tcBorders>
          </w:tcPr>
          <w:p w:rsidR="00AD5C82" w:rsidRPr="00D37A19" w:rsidRDefault="00AD5C82" w:rsidP="00BF0408">
            <w:pPr>
              <w:contextualSpacing/>
              <w:jc w:val="right"/>
              <w:rPr>
                <w:sz w:val="20"/>
                <w:szCs w:val="20"/>
              </w:rPr>
            </w:pPr>
            <w:r>
              <w:rPr>
                <w:sz w:val="20"/>
                <w:szCs w:val="20"/>
              </w:rPr>
              <w:t>7</w:t>
            </w:r>
          </w:p>
        </w:tc>
      </w:tr>
      <w:tr w:rsidR="00AD5C82" w:rsidTr="00AD5C82">
        <w:tc>
          <w:tcPr>
            <w:tcW w:w="2695" w:type="dxa"/>
            <w:tcBorders>
              <w:top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Percentage Between 15-64</w:t>
            </w:r>
          </w:p>
        </w:tc>
        <w:tc>
          <w:tcPr>
            <w:tcW w:w="1440" w:type="dxa"/>
            <w:tcBorders>
              <w:top w:val="nil"/>
              <w:bottom w:val="nil"/>
              <w:right w:val="nil"/>
            </w:tcBorders>
            <w:shd w:val="clear" w:color="auto" w:fill="E7E6E6" w:themeFill="background2"/>
          </w:tcPr>
          <w:p w:rsidR="00AD5C82" w:rsidRDefault="00AD5C82" w:rsidP="00BF0408">
            <w:pPr>
              <w:jc w:val="right"/>
            </w:pPr>
            <w:r w:rsidRPr="001363AA">
              <w:rPr>
                <w:sz w:val="20"/>
                <w:szCs w:val="20"/>
              </w:rPr>
              <w:t>325</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66.1</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3.77</w:t>
            </w:r>
          </w:p>
        </w:tc>
        <w:tc>
          <w:tcPr>
            <w:tcW w:w="1017"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48.3</w:t>
            </w:r>
          </w:p>
        </w:tc>
        <w:tc>
          <w:tcPr>
            <w:tcW w:w="1053" w:type="dxa"/>
            <w:tcBorders>
              <w:top w:val="nil"/>
              <w:left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70.7</w:t>
            </w:r>
          </w:p>
        </w:tc>
      </w:tr>
      <w:tr w:rsidR="00AD5C82" w:rsidTr="00AD5C82">
        <w:tc>
          <w:tcPr>
            <w:tcW w:w="2695" w:type="dxa"/>
            <w:tcBorders>
              <w:top w:val="nil"/>
              <w:bottom w:val="nil"/>
            </w:tcBorders>
          </w:tcPr>
          <w:p w:rsidR="00AD5C82" w:rsidRPr="00D37A19" w:rsidRDefault="00AD5C82" w:rsidP="00BF0408">
            <w:pPr>
              <w:contextualSpacing/>
              <w:jc w:val="right"/>
              <w:rPr>
                <w:sz w:val="20"/>
                <w:szCs w:val="20"/>
              </w:rPr>
            </w:pPr>
            <w:r>
              <w:rPr>
                <w:sz w:val="20"/>
                <w:szCs w:val="20"/>
              </w:rPr>
              <w:t>Percent Urban</w:t>
            </w:r>
          </w:p>
        </w:tc>
        <w:tc>
          <w:tcPr>
            <w:tcW w:w="1440" w:type="dxa"/>
            <w:tcBorders>
              <w:top w:val="nil"/>
              <w:bottom w:val="nil"/>
              <w:right w:val="nil"/>
            </w:tcBorders>
          </w:tcPr>
          <w:p w:rsidR="00AD5C82" w:rsidRDefault="00AD5C82" w:rsidP="00BF0408">
            <w:pPr>
              <w:jc w:val="right"/>
            </w:pPr>
            <w:r w:rsidRPr="001363AA">
              <w:rPr>
                <w:sz w:val="20"/>
                <w:szCs w:val="20"/>
              </w:rPr>
              <w:t>325</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66.7</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17.09</w:t>
            </w:r>
          </w:p>
        </w:tc>
        <w:tc>
          <w:tcPr>
            <w:tcW w:w="1017"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13.5</w:t>
            </w:r>
          </w:p>
        </w:tc>
        <w:tc>
          <w:tcPr>
            <w:tcW w:w="1053" w:type="dxa"/>
            <w:tcBorders>
              <w:top w:val="nil"/>
              <w:left w:val="nil"/>
              <w:bottom w:val="nil"/>
            </w:tcBorders>
          </w:tcPr>
          <w:p w:rsidR="00AD5C82" w:rsidRPr="00D37A19" w:rsidRDefault="00AD5C82" w:rsidP="00BF0408">
            <w:pPr>
              <w:contextualSpacing/>
              <w:jc w:val="right"/>
              <w:rPr>
                <w:sz w:val="20"/>
                <w:szCs w:val="20"/>
              </w:rPr>
            </w:pPr>
            <w:r>
              <w:rPr>
                <w:sz w:val="20"/>
                <w:szCs w:val="20"/>
              </w:rPr>
              <w:t>100</w:t>
            </w:r>
          </w:p>
        </w:tc>
      </w:tr>
      <w:tr w:rsidR="00AD5C82" w:rsidTr="00AD5C82">
        <w:tc>
          <w:tcPr>
            <w:tcW w:w="2695" w:type="dxa"/>
            <w:tcBorders>
              <w:top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Physical Integrity</w:t>
            </w:r>
          </w:p>
        </w:tc>
        <w:tc>
          <w:tcPr>
            <w:tcW w:w="1440" w:type="dxa"/>
            <w:tcBorders>
              <w:top w:val="nil"/>
              <w:bottom w:val="nil"/>
              <w:right w:val="nil"/>
            </w:tcBorders>
            <w:shd w:val="clear" w:color="auto" w:fill="E7E6E6" w:themeFill="background2"/>
          </w:tcPr>
          <w:p w:rsidR="00AD5C82" w:rsidRDefault="00AD5C82" w:rsidP="00BF0408">
            <w:pPr>
              <w:jc w:val="right"/>
            </w:pPr>
            <w:r w:rsidRPr="001363AA">
              <w:rPr>
                <w:sz w:val="20"/>
                <w:szCs w:val="20"/>
              </w:rPr>
              <w:t>325</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5.9</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1.98</w:t>
            </w:r>
          </w:p>
        </w:tc>
        <w:tc>
          <w:tcPr>
            <w:tcW w:w="1017"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0</w:t>
            </w:r>
          </w:p>
        </w:tc>
        <w:tc>
          <w:tcPr>
            <w:tcW w:w="1053" w:type="dxa"/>
            <w:tcBorders>
              <w:top w:val="nil"/>
              <w:left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8</w:t>
            </w:r>
          </w:p>
        </w:tc>
      </w:tr>
      <w:tr w:rsidR="00AD5C82" w:rsidTr="00AD5C82">
        <w:tc>
          <w:tcPr>
            <w:tcW w:w="2695" w:type="dxa"/>
            <w:tcBorders>
              <w:top w:val="nil"/>
              <w:bottom w:val="nil"/>
            </w:tcBorders>
          </w:tcPr>
          <w:p w:rsidR="00AD5C82" w:rsidRPr="00D37A19" w:rsidRDefault="00AD5C82" w:rsidP="00BF0408">
            <w:pPr>
              <w:contextualSpacing/>
              <w:jc w:val="right"/>
              <w:rPr>
                <w:sz w:val="20"/>
                <w:szCs w:val="20"/>
              </w:rPr>
            </w:pPr>
            <w:r>
              <w:rPr>
                <w:sz w:val="20"/>
                <w:szCs w:val="20"/>
              </w:rPr>
              <w:t>Percent Completed Sec Ed</w:t>
            </w:r>
          </w:p>
        </w:tc>
        <w:tc>
          <w:tcPr>
            <w:tcW w:w="1440" w:type="dxa"/>
            <w:tcBorders>
              <w:top w:val="nil"/>
              <w:bottom w:val="nil"/>
              <w:right w:val="nil"/>
            </w:tcBorders>
          </w:tcPr>
          <w:p w:rsidR="00AD5C82" w:rsidRDefault="00AD5C82" w:rsidP="00BF0408">
            <w:pPr>
              <w:jc w:val="right"/>
            </w:pPr>
            <w:r w:rsidRPr="001363AA">
              <w:rPr>
                <w:sz w:val="20"/>
                <w:szCs w:val="20"/>
              </w:rPr>
              <w:t>325</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33.9</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14.37</w:t>
            </w:r>
          </w:p>
        </w:tc>
        <w:tc>
          <w:tcPr>
            <w:tcW w:w="1017"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4.6</w:t>
            </w:r>
          </w:p>
        </w:tc>
        <w:tc>
          <w:tcPr>
            <w:tcW w:w="1053" w:type="dxa"/>
            <w:tcBorders>
              <w:top w:val="nil"/>
              <w:left w:val="nil"/>
              <w:bottom w:val="nil"/>
            </w:tcBorders>
          </w:tcPr>
          <w:p w:rsidR="00AD5C82" w:rsidRPr="00D37A19" w:rsidRDefault="00AD5C82" w:rsidP="00BF0408">
            <w:pPr>
              <w:contextualSpacing/>
              <w:jc w:val="right"/>
              <w:rPr>
                <w:sz w:val="20"/>
                <w:szCs w:val="20"/>
              </w:rPr>
            </w:pPr>
            <w:r>
              <w:rPr>
                <w:sz w:val="20"/>
                <w:szCs w:val="20"/>
              </w:rPr>
              <w:t>71.8</w:t>
            </w:r>
          </w:p>
        </w:tc>
      </w:tr>
      <w:tr w:rsidR="00AD5C82" w:rsidTr="00AD5C82">
        <w:tc>
          <w:tcPr>
            <w:tcW w:w="2695" w:type="dxa"/>
            <w:tcBorders>
              <w:top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Homicide Rate</w:t>
            </w:r>
          </w:p>
        </w:tc>
        <w:tc>
          <w:tcPr>
            <w:tcW w:w="1440" w:type="dxa"/>
            <w:tcBorders>
              <w:top w:val="nil"/>
              <w:bottom w:val="nil"/>
              <w:right w:val="nil"/>
            </w:tcBorders>
            <w:shd w:val="clear" w:color="auto" w:fill="E7E6E6" w:themeFill="background2"/>
          </w:tcPr>
          <w:p w:rsidR="00AD5C82" w:rsidRDefault="00AD5C82" w:rsidP="00BF0408">
            <w:pPr>
              <w:jc w:val="right"/>
            </w:pPr>
            <w:r w:rsidRPr="001363AA">
              <w:rPr>
                <w:sz w:val="20"/>
                <w:szCs w:val="20"/>
              </w:rPr>
              <w:t>325</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5.6</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9.85</w:t>
            </w:r>
          </w:p>
        </w:tc>
        <w:tc>
          <w:tcPr>
            <w:tcW w:w="1017"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.46</w:t>
            </w:r>
          </w:p>
        </w:tc>
        <w:tc>
          <w:tcPr>
            <w:tcW w:w="1053" w:type="dxa"/>
            <w:tcBorders>
              <w:top w:val="nil"/>
              <w:left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62.5</w:t>
            </w:r>
          </w:p>
        </w:tc>
      </w:tr>
      <w:tr w:rsidR="00AD5C82" w:rsidTr="00AD5C82">
        <w:tc>
          <w:tcPr>
            <w:tcW w:w="2695" w:type="dxa"/>
            <w:tcBorders>
              <w:top w:val="nil"/>
              <w:bottom w:val="nil"/>
            </w:tcBorders>
          </w:tcPr>
          <w:p w:rsidR="00AD5C82" w:rsidRPr="00D37A19" w:rsidRDefault="00AD5C82" w:rsidP="00BF0408">
            <w:pPr>
              <w:contextualSpacing/>
              <w:jc w:val="right"/>
              <w:rPr>
                <w:sz w:val="20"/>
                <w:szCs w:val="20"/>
              </w:rPr>
            </w:pPr>
            <w:r>
              <w:rPr>
                <w:sz w:val="20"/>
                <w:szCs w:val="20"/>
              </w:rPr>
              <w:t>Homicide Rate (log)</w:t>
            </w:r>
          </w:p>
        </w:tc>
        <w:tc>
          <w:tcPr>
            <w:tcW w:w="1440" w:type="dxa"/>
            <w:tcBorders>
              <w:top w:val="nil"/>
              <w:bottom w:val="nil"/>
              <w:right w:val="nil"/>
            </w:tcBorders>
          </w:tcPr>
          <w:p w:rsidR="00AD5C82" w:rsidRDefault="00AD5C82" w:rsidP="00BF0408">
            <w:pPr>
              <w:jc w:val="right"/>
            </w:pPr>
            <w:r w:rsidRPr="001363AA">
              <w:rPr>
                <w:sz w:val="20"/>
                <w:szCs w:val="20"/>
              </w:rPr>
              <w:t>325</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1.4</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.82</w:t>
            </w:r>
          </w:p>
        </w:tc>
        <w:tc>
          <w:tcPr>
            <w:tcW w:w="1017"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.38</w:t>
            </w:r>
          </w:p>
        </w:tc>
        <w:tc>
          <w:tcPr>
            <w:tcW w:w="1053" w:type="dxa"/>
            <w:tcBorders>
              <w:top w:val="nil"/>
              <w:left w:val="nil"/>
              <w:bottom w:val="nil"/>
            </w:tcBorders>
          </w:tcPr>
          <w:p w:rsidR="00AD5C82" w:rsidRPr="00D37A19" w:rsidRDefault="00AD5C82" w:rsidP="00BF0408">
            <w:pPr>
              <w:contextualSpacing/>
              <w:jc w:val="right"/>
              <w:rPr>
                <w:sz w:val="20"/>
                <w:szCs w:val="20"/>
              </w:rPr>
            </w:pPr>
            <w:r>
              <w:rPr>
                <w:sz w:val="20"/>
                <w:szCs w:val="20"/>
              </w:rPr>
              <w:t>4.2</w:t>
            </w:r>
          </w:p>
        </w:tc>
      </w:tr>
      <w:tr w:rsidR="00AD5C82" w:rsidTr="00AD5C82">
        <w:tc>
          <w:tcPr>
            <w:tcW w:w="2695" w:type="dxa"/>
            <w:tcBorders>
              <w:top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Drug Offense Rates</w:t>
            </w:r>
          </w:p>
        </w:tc>
        <w:tc>
          <w:tcPr>
            <w:tcW w:w="1440" w:type="dxa"/>
            <w:tcBorders>
              <w:top w:val="nil"/>
              <w:bottom w:val="nil"/>
              <w:right w:val="nil"/>
            </w:tcBorders>
            <w:shd w:val="clear" w:color="auto" w:fill="E7E6E6" w:themeFill="background2"/>
          </w:tcPr>
          <w:p w:rsidR="00AD5C82" w:rsidRDefault="00AD5C82" w:rsidP="00BF0408">
            <w:pPr>
              <w:jc w:val="right"/>
            </w:pPr>
            <w:r w:rsidRPr="001363AA">
              <w:rPr>
                <w:sz w:val="20"/>
                <w:szCs w:val="20"/>
              </w:rPr>
              <w:t>325</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148.5</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197.76</w:t>
            </w:r>
          </w:p>
        </w:tc>
        <w:tc>
          <w:tcPr>
            <w:tcW w:w="1017"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.12</w:t>
            </w:r>
          </w:p>
        </w:tc>
        <w:tc>
          <w:tcPr>
            <w:tcW w:w="1053" w:type="dxa"/>
            <w:tcBorders>
              <w:top w:val="nil"/>
              <w:left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987.1</w:t>
            </w:r>
          </w:p>
        </w:tc>
      </w:tr>
      <w:tr w:rsidR="00AD5C82" w:rsidTr="00AD5C82">
        <w:tc>
          <w:tcPr>
            <w:tcW w:w="2695" w:type="dxa"/>
            <w:tcBorders>
              <w:top w:val="nil"/>
              <w:bottom w:val="nil"/>
            </w:tcBorders>
          </w:tcPr>
          <w:p w:rsidR="00AD5C82" w:rsidRPr="00D37A19" w:rsidRDefault="00AD5C82" w:rsidP="00BF0408">
            <w:pPr>
              <w:contextualSpacing/>
              <w:jc w:val="right"/>
              <w:rPr>
                <w:sz w:val="20"/>
                <w:szCs w:val="20"/>
              </w:rPr>
            </w:pPr>
            <w:r>
              <w:rPr>
                <w:sz w:val="20"/>
                <w:szCs w:val="20"/>
              </w:rPr>
              <w:t>Drug Offense Rates (log)</w:t>
            </w:r>
          </w:p>
        </w:tc>
        <w:tc>
          <w:tcPr>
            <w:tcW w:w="1440" w:type="dxa"/>
            <w:tcBorders>
              <w:top w:val="nil"/>
              <w:bottom w:val="nil"/>
              <w:right w:val="nil"/>
            </w:tcBorders>
          </w:tcPr>
          <w:p w:rsidR="00AD5C82" w:rsidRDefault="00AD5C82" w:rsidP="00BF0408">
            <w:pPr>
              <w:jc w:val="right"/>
            </w:pPr>
            <w:r w:rsidRPr="001363AA">
              <w:rPr>
                <w:sz w:val="20"/>
                <w:szCs w:val="20"/>
              </w:rPr>
              <w:t>325</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4.1</w:t>
            </w:r>
          </w:p>
        </w:tc>
        <w:tc>
          <w:tcPr>
            <w:tcW w:w="1080"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1.52</w:t>
            </w:r>
          </w:p>
        </w:tc>
        <w:tc>
          <w:tcPr>
            <w:tcW w:w="1017" w:type="dxa"/>
            <w:tcBorders>
              <w:top w:val="nil"/>
              <w:left w:val="nil"/>
              <w:bottom w:val="nil"/>
              <w:right w:val="nil"/>
            </w:tcBorders>
          </w:tcPr>
          <w:p w:rsidR="00AD5C82" w:rsidRPr="00D37A19" w:rsidRDefault="00AD5C82" w:rsidP="00BF0408">
            <w:pPr>
              <w:contextualSpacing/>
              <w:jc w:val="right"/>
              <w:rPr>
                <w:sz w:val="20"/>
                <w:szCs w:val="20"/>
              </w:rPr>
            </w:pPr>
            <w:r>
              <w:rPr>
                <w:sz w:val="20"/>
                <w:szCs w:val="20"/>
              </w:rPr>
              <w:t>.11</w:t>
            </w:r>
          </w:p>
        </w:tc>
        <w:tc>
          <w:tcPr>
            <w:tcW w:w="1053" w:type="dxa"/>
            <w:tcBorders>
              <w:top w:val="nil"/>
              <w:left w:val="nil"/>
              <w:bottom w:val="nil"/>
            </w:tcBorders>
          </w:tcPr>
          <w:p w:rsidR="00AD5C82" w:rsidRPr="00D37A19" w:rsidRDefault="00AD5C82" w:rsidP="00BF0408">
            <w:pPr>
              <w:contextualSpacing/>
              <w:jc w:val="right"/>
              <w:rPr>
                <w:sz w:val="20"/>
                <w:szCs w:val="20"/>
              </w:rPr>
            </w:pPr>
            <w:r>
              <w:rPr>
                <w:sz w:val="20"/>
                <w:szCs w:val="20"/>
              </w:rPr>
              <w:t>6.9</w:t>
            </w:r>
          </w:p>
        </w:tc>
      </w:tr>
      <w:tr w:rsidR="00AD5C82" w:rsidTr="00AD5C82">
        <w:tc>
          <w:tcPr>
            <w:tcW w:w="2695" w:type="dxa"/>
            <w:tcBorders>
              <w:top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Ethnic Fractionalization</w:t>
            </w:r>
          </w:p>
        </w:tc>
        <w:tc>
          <w:tcPr>
            <w:tcW w:w="1440" w:type="dxa"/>
            <w:tcBorders>
              <w:top w:val="nil"/>
              <w:bottom w:val="nil"/>
              <w:right w:val="nil"/>
            </w:tcBorders>
            <w:shd w:val="clear" w:color="auto" w:fill="E7E6E6" w:themeFill="background2"/>
          </w:tcPr>
          <w:p w:rsidR="00AD5C82" w:rsidRDefault="00AD5C82" w:rsidP="00BF0408">
            <w:pPr>
              <w:jc w:val="right"/>
            </w:pPr>
            <w:r w:rsidRPr="001363AA">
              <w:rPr>
                <w:sz w:val="20"/>
                <w:szCs w:val="20"/>
              </w:rPr>
              <w:t>325</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.3</w:t>
            </w:r>
          </w:p>
        </w:tc>
        <w:tc>
          <w:tcPr>
            <w:tcW w:w="1080"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.23</w:t>
            </w:r>
          </w:p>
        </w:tc>
        <w:tc>
          <w:tcPr>
            <w:tcW w:w="1017" w:type="dxa"/>
            <w:tcBorders>
              <w:top w:val="nil"/>
              <w:left w:val="nil"/>
              <w:bottom w:val="nil"/>
              <w:right w:val="nil"/>
            </w:tcBorders>
            <w:shd w:val="clear" w:color="auto" w:fill="E7E6E6" w:themeFill="background2"/>
          </w:tcPr>
          <w:p w:rsidR="00AD5C82" w:rsidRPr="00D37A19" w:rsidRDefault="00AD5C82" w:rsidP="00BF0408">
            <w:pPr>
              <w:contextualSpacing/>
              <w:jc w:val="right"/>
              <w:rPr>
                <w:sz w:val="20"/>
                <w:szCs w:val="20"/>
              </w:rPr>
            </w:pPr>
            <w:r>
              <w:rPr>
                <w:sz w:val="20"/>
                <w:szCs w:val="20"/>
              </w:rPr>
              <w:t>.004</w:t>
            </w:r>
          </w:p>
        </w:tc>
        <w:tc>
          <w:tcPr>
            <w:tcW w:w="1053" w:type="dxa"/>
            <w:tcBorders>
              <w:top w:val="nil"/>
              <w:left w:val="nil"/>
              <w:bottom w:val="nil"/>
            </w:tcBorders>
            <w:shd w:val="clear" w:color="auto" w:fill="E7E6E6" w:themeFill="background2"/>
          </w:tcPr>
          <w:p w:rsidR="00AD5C82" w:rsidRPr="00D37A19" w:rsidRDefault="00AD5C82" w:rsidP="00BF0408">
            <w:pPr>
              <w:contextualSpacing/>
              <w:jc w:val="right"/>
              <w:rPr>
                <w:sz w:val="20"/>
                <w:szCs w:val="20"/>
              </w:rPr>
            </w:pPr>
            <w:r>
              <w:rPr>
                <w:sz w:val="20"/>
                <w:szCs w:val="20"/>
              </w:rPr>
              <w:t>1</w:t>
            </w:r>
          </w:p>
        </w:tc>
      </w:tr>
      <w:tr w:rsidR="00AD5C82" w:rsidTr="00AD5C82">
        <w:tc>
          <w:tcPr>
            <w:tcW w:w="2695" w:type="dxa"/>
            <w:tcBorders>
              <w:top w:val="nil"/>
            </w:tcBorders>
            <w:shd w:val="clear" w:color="auto" w:fill="FFFFFF" w:themeFill="background1"/>
          </w:tcPr>
          <w:p w:rsidR="00AD5C82" w:rsidRDefault="00AD5C82" w:rsidP="00BF0408">
            <w:pPr>
              <w:contextualSpacing/>
              <w:jc w:val="right"/>
              <w:rPr>
                <w:sz w:val="20"/>
                <w:szCs w:val="20"/>
              </w:rPr>
            </w:pPr>
            <w:r>
              <w:rPr>
                <w:sz w:val="20"/>
                <w:szCs w:val="20"/>
              </w:rPr>
              <w:t>Percent Male</w:t>
            </w:r>
          </w:p>
        </w:tc>
        <w:tc>
          <w:tcPr>
            <w:tcW w:w="1440" w:type="dxa"/>
            <w:tcBorders>
              <w:top w:val="nil"/>
              <w:right w:val="nil"/>
            </w:tcBorders>
            <w:shd w:val="clear" w:color="auto" w:fill="FFFFFF" w:themeFill="background1"/>
          </w:tcPr>
          <w:p w:rsidR="00AD5C82" w:rsidRDefault="00AD5C82" w:rsidP="00BF0408">
            <w:pPr>
              <w:jc w:val="right"/>
            </w:pPr>
            <w:r w:rsidRPr="001363AA">
              <w:rPr>
                <w:sz w:val="20"/>
                <w:szCs w:val="20"/>
              </w:rPr>
              <w:t>325</w:t>
            </w:r>
          </w:p>
        </w:tc>
        <w:tc>
          <w:tcPr>
            <w:tcW w:w="1080" w:type="dxa"/>
            <w:tcBorders>
              <w:top w:val="nil"/>
              <w:left w:val="nil"/>
              <w:right w:val="nil"/>
            </w:tcBorders>
            <w:shd w:val="clear" w:color="auto" w:fill="FFFFFF" w:themeFill="background1"/>
          </w:tcPr>
          <w:p w:rsidR="00AD5C82" w:rsidRDefault="00AD5C82" w:rsidP="00BF0408">
            <w:pPr>
              <w:contextualSpacing/>
              <w:jc w:val="right"/>
              <w:rPr>
                <w:sz w:val="20"/>
                <w:szCs w:val="20"/>
              </w:rPr>
            </w:pPr>
            <w:r>
              <w:rPr>
                <w:sz w:val="20"/>
                <w:szCs w:val="20"/>
              </w:rPr>
              <w:t>48.9</w:t>
            </w:r>
          </w:p>
        </w:tc>
        <w:tc>
          <w:tcPr>
            <w:tcW w:w="1080" w:type="dxa"/>
            <w:tcBorders>
              <w:top w:val="nil"/>
              <w:left w:val="nil"/>
              <w:right w:val="nil"/>
            </w:tcBorders>
            <w:shd w:val="clear" w:color="auto" w:fill="FFFFFF" w:themeFill="background1"/>
          </w:tcPr>
          <w:p w:rsidR="00AD5C82" w:rsidRDefault="00AD5C82" w:rsidP="00BF0408">
            <w:pPr>
              <w:contextualSpacing/>
              <w:jc w:val="right"/>
              <w:rPr>
                <w:sz w:val="20"/>
                <w:szCs w:val="20"/>
              </w:rPr>
            </w:pPr>
            <w:r>
              <w:rPr>
                <w:sz w:val="20"/>
                <w:szCs w:val="20"/>
              </w:rPr>
              <w:t>1.09</w:t>
            </w:r>
          </w:p>
        </w:tc>
        <w:tc>
          <w:tcPr>
            <w:tcW w:w="1017" w:type="dxa"/>
            <w:tcBorders>
              <w:top w:val="nil"/>
              <w:left w:val="nil"/>
              <w:right w:val="nil"/>
            </w:tcBorders>
            <w:shd w:val="clear" w:color="auto" w:fill="FFFFFF" w:themeFill="background1"/>
          </w:tcPr>
          <w:p w:rsidR="00AD5C82" w:rsidRDefault="00AD5C82" w:rsidP="00BF0408">
            <w:pPr>
              <w:contextualSpacing/>
              <w:jc w:val="right"/>
              <w:rPr>
                <w:sz w:val="20"/>
                <w:szCs w:val="20"/>
              </w:rPr>
            </w:pPr>
            <w:r>
              <w:rPr>
                <w:sz w:val="20"/>
                <w:szCs w:val="20"/>
              </w:rPr>
              <w:t>45.8</w:t>
            </w:r>
          </w:p>
        </w:tc>
        <w:tc>
          <w:tcPr>
            <w:tcW w:w="1053" w:type="dxa"/>
            <w:tcBorders>
              <w:top w:val="nil"/>
              <w:left w:val="nil"/>
            </w:tcBorders>
            <w:shd w:val="clear" w:color="auto" w:fill="FFFFFF" w:themeFill="background1"/>
          </w:tcPr>
          <w:p w:rsidR="00AD5C82" w:rsidRDefault="00AD5C82" w:rsidP="00BF0408">
            <w:pPr>
              <w:contextualSpacing/>
              <w:jc w:val="right"/>
              <w:rPr>
                <w:sz w:val="20"/>
                <w:szCs w:val="20"/>
              </w:rPr>
            </w:pPr>
            <w:r>
              <w:rPr>
                <w:sz w:val="20"/>
                <w:szCs w:val="20"/>
              </w:rPr>
              <w:t>51.8</w:t>
            </w:r>
          </w:p>
        </w:tc>
      </w:tr>
    </w:tbl>
    <w:p w:rsidR="006F0D5D" w:rsidRDefault="006F0D5D" w:rsidP="00295E9C">
      <w:pPr>
        <w:spacing w:after="200" w:line="480" w:lineRule="auto"/>
        <w:contextualSpacing/>
        <w:rPr>
          <w:rFonts w:eastAsia="Calibri"/>
          <w:i/>
        </w:rPr>
      </w:pPr>
    </w:p>
    <w:p w:rsidR="00AD5C82" w:rsidRDefault="00C70BEA" w:rsidP="00295E9C">
      <w:pPr>
        <w:spacing w:after="200" w:line="480" w:lineRule="auto"/>
        <w:contextualSpacing/>
        <w:rPr>
          <w:rFonts w:eastAsia="Calibri"/>
        </w:rPr>
      </w:pPr>
      <w:r w:rsidRPr="00C70BEA">
        <w:rPr>
          <w:rFonts w:eastAsia="Calibri"/>
          <w:i/>
        </w:rPr>
        <w:t>Regions.</w:t>
      </w:r>
      <w:r w:rsidRPr="00C70BEA">
        <w:rPr>
          <w:rFonts w:eastAsia="Calibri"/>
        </w:rPr>
        <w:t xml:space="preserve"> </w:t>
      </w:r>
      <w:r w:rsidRPr="00525FCF">
        <w:rPr>
          <w:rFonts w:eastAsia="Calibri"/>
          <w:noProof/>
        </w:rPr>
        <w:t>Following Clark (2011; 2012), I construct six regional dummy variables: (1) the West (excluded as the ref</w:t>
      </w:r>
      <w:r w:rsidR="00E00414" w:rsidRPr="00525FCF">
        <w:rPr>
          <w:rFonts w:eastAsia="Calibri"/>
          <w:noProof/>
        </w:rPr>
        <w:t>erent category) consisting of 18</w:t>
      </w:r>
      <w:r w:rsidRPr="00525FCF">
        <w:rPr>
          <w:rFonts w:eastAsia="Calibri"/>
          <w:noProof/>
        </w:rPr>
        <w:t xml:space="preserve"> countries, (2) East Asia and the Pacific </w:t>
      </w:r>
      <w:r w:rsidR="00B62848" w:rsidRPr="00525FCF">
        <w:rPr>
          <w:rFonts w:eastAsia="Calibri"/>
          <w:noProof/>
        </w:rPr>
        <w:t xml:space="preserve">(EAP) </w:t>
      </w:r>
      <w:r w:rsidR="00E00414" w:rsidRPr="00525FCF">
        <w:rPr>
          <w:rFonts w:eastAsia="Calibri"/>
          <w:noProof/>
        </w:rPr>
        <w:t>consisting of 14</w:t>
      </w:r>
      <w:r w:rsidRPr="00525FCF">
        <w:rPr>
          <w:rFonts w:eastAsia="Calibri"/>
          <w:noProof/>
        </w:rPr>
        <w:t xml:space="preserve"> countries, (3) Eastern Europe and Central Asia </w:t>
      </w:r>
      <w:r w:rsidR="00B62848" w:rsidRPr="00525FCF">
        <w:rPr>
          <w:rFonts w:eastAsia="Calibri"/>
          <w:noProof/>
        </w:rPr>
        <w:t xml:space="preserve">(EECA) </w:t>
      </w:r>
      <w:r w:rsidR="00E00414" w:rsidRPr="00525FCF">
        <w:rPr>
          <w:rFonts w:eastAsia="Calibri"/>
          <w:noProof/>
        </w:rPr>
        <w:t>with 20</w:t>
      </w:r>
      <w:r w:rsidRPr="00525FCF">
        <w:rPr>
          <w:rFonts w:eastAsia="Calibri"/>
          <w:noProof/>
        </w:rPr>
        <w:t xml:space="preserve"> countries, (4) Latin America </w:t>
      </w:r>
      <w:r w:rsidR="00B62848" w:rsidRPr="00525FCF">
        <w:rPr>
          <w:rFonts w:eastAsia="Calibri"/>
          <w:noProof/>
        </w:rPr>
        <w:t xml:space="preserve">(LA) </w:t>
      </w:r>
      <w:r w:rsidR="00E00414" w:rsidRPr="00525FCF">
        <w:rPr>
          <w:rFonts w:eastAsia="Calibri"/>
          <w:noProof/>
        </w:rPr>
        <w:t>with 15</w:t>
      </w:r>
      <w:r w:rsidRPr="00525FCF">
        <w:rPr>
          <w:rFonts w:eastAsia="Calibri"/>
          <w:noProof/>
        </w:rPr>
        <w:t xml:space="preserve"> countries, (5) the Middle East and North Africa </w:t>
      </w:r>
      <w:r w:rsidR="00B62848" w:rsidRPr="00525FCF">
        <w:rPr>
          <w:rFonts w:eastAsia="Calibri"/>
          <w:noProof/>
        </w:rPr>
        <w:t xml:space="preserve">(MENA) </w:t>
      </w:r>
      <w:r w:rsidR="00E00414" w:rsidRPr="00525FCF">
        <w:rPr>
          <w:rFonts w:eastAsia="Calibri"/>
          <w:noProof/>
        </w:rPr>
        <w:t>consisting of 4</w:t>
      </w:r>
      <w:r w:rsidRPr="00525FCF">
        <w:rPr>
          <w:rFonts w:eastAsia="Calibri"/>
          <w:noProof/>
        </w:rPr>
        <w:t xml:space="preserve"> countries, and (6) Sub-Saharan Africa </w:t>
      </w:r>
      <w:r w:rsidR="00B62848" w:rsidRPr="00525FCF">
        <w:rPr>
          <w:rFonts w:eastAsia="Calibri"/>
          <w:noProof/>
        </w:rPr>
        <w:t xml:space="preserve">(SSA) </w:t>
      </w:r>
      <w:r w:rsidR="001C1CE8" w:rsidRPr="00525FCF">
        <w:rPr>
          <w:rFonts w:eastAsia="Calibri"/>
          <w:noProof/>
        </w:rPr>
        <w:t>with</w:t>
      </w:r>
      <w:r w:rsidR="00E00414" w:rsidRPr="00525FCF">
        <w:rPr>
          <w:rFonts w:eastAsia="Calibri"/>
          <w:noProof/>
        </w:rPr>
        <w:t xml:space="preserve"> 6</w:t>
      </w:r>
      <w:r w:rsidRPr="00525FCF">
        <w:rPr>
          <w:rFonts w:eastAsia="Calibri"/>
          <w:noProof/>
        </w:rPr>
        <w:t xml:space="preserve"> countries.</w:t>
      </w:r>
      <w:r w:rsidRPr="00C70BEA">
        <w:rPr>
          <w:rFonts w:eastAsia="Calibri"/>
        </w:rPr>
        <w:t xml:space="preserve"> See Table </w:t>
      </w:r>
      <w:r w:rsidR="003B6046">
        <w:rPr>
          <w:rFonts w:eastAsia="Calibri"/>
        </w:rPr>
        <w:t>5</w:t>
      </w:r>
      <w:r w:rsidR="00F821E6">
        <w:rPr>
          <w:rFonts w:eastAsia="Calibri"/>
        </w:rPr>
        <w:t xml:space="preserve"> below for </w:t>
      </w:r>
      <w:r w:rsidRPr="001C1CE8">
        <w:rPr>
          <w:rFonts w:eastAsia="Calibri"/>
          <w:noProof/>
        </w:rPr>
        <w:t>countries</w:t>
      </w:r>
      <w:r w:rsidRPr="00C70BEA">
        <w:rPr>
          <w:rFonts w:eastAsia="Calibri"/>
        </w:rPr>
        <w:t xml:space="preserve"> in each of the listed regions. </w:t>
      </w:r>
    </w:p>
    <w:p w:rsidR="00057B53" w:rsidRDefault="00057B53" w:rsidP="000C1BD6">
      <w:pPr>
        <w:spacing w:line="240" w:lineRule="auto"/>
        <w:contextualSpacing/>
        <w:rPr>
          <w:rFonts w:eastAsia="Calibri"/>
        </w:rPr>
      </w:pPr>
    </w:p>
    <w:p w:rsidR="006F0D5D" w:rsidRDefault="006F0D5D" w:rsidP="000C1BD6">
      <w:pPr>
        <w:spacing w:line="240" w:lineRule="auto"/>
        <w:contextualSpacing/>
        <w:rPr>
          <w:rFonts w:eastAsia="Calibri"/>
        </w:rPr>
      </w:pPr>
    </w:p>
    <w:p w:rsidR="006F0D5D" w:rsidRDefault="006F0D5D" w:rsidP="000C1BD6">
      <w:pPr>
        <w:spacing w:line="240" w:lineRule="auto"/>
        <w:contextualSpacing/>
        <w:rPr>
          <w:rFonts w:eastAsia="Calibri"/>
        </w:rPr>
      </w:pPr>
    </w:p>
    <w:p w:rsidR="00C70BEA" w:rsidRPr="00C70BEA" w:rsidRDefault="003B6046" w:rsidP="000C1BD6">
      <w:pPr>
        <w:spacing w:line="240" w:lineRule="auto"/>
        <w:contextualSpacing/>
        <w:rPr>
          <w:rFonts w:eastAsia="Calibri"/>
        </w:rPr>
      </w:pPr>
      <w:r>
        <w:rPr>
          <w:rFonts w:eastAsia="Calibri"/>
        </w:rPr>
        <w:lastRenderedPageBreak/>
        <w:t>Table 5</w:t>
      </w:r>
      <w:r w:rsidR="00C70BEA" w:rsidRPr="00C70BEA">
        <w:rPr>
          <w:rFonts w:eastAsia="Calibri"/>
        </w:rPr>
        <w:t xml:space="preserve">. </w:t>
      </w:r>
      <w:r w:rsidR="00C70BEA" w:rsidRPr="008D6BD4">
        <w:rPr>
          <w:rFonts w:eastAsia="Calibri"/>
          <w:noProof/>
        </w:rPr>
        <w:t>Countries</w:t>
      </w:r>
      <w:r w:rsidR="00C70BEA" w:rsidRPr="00C70BEA">
        <w:rPr>
          <w:rFonts w:eastAsia="Calibri"/>
        </w:rPr>
        <w:t xml:space="preserve"> by Region</w:t>
      </w:r>
      <w:r w:rsidR="00152132">
        <w:rPr>
          <w:rFonts w:eastAsia="Calibri"/>
        </w:rPr>
        <w:t>.</w:t>
      </w:r>
    </w:p>
    <w:tbl>
      <w:tblPr>
        <w:tblStyle w:val="TableGrid9"/>
        <w:tblW w:w="8365" w:type="dxa"/>
        <w:tblLayout w:type="fixed"/>
        <w:tblLook w:val="04A0" w:firstRow="1" w:lastRow="0" w:firstColumn="1" w:lastColumn="0" w:noHBand="0" w:noVBand="1"/>
      </w:tblPr>
      <w:tblGrid>
        <w:gridCol w:w="1345"/>
        <w:gridCol w:w="1350"/>
        <w:gridCol w:w="1800"/>
        <w:gridCol w:w="1440"/>
        <w:gridCol w:w="990"/>
        <w:gridCol w:w="1440"/>
      </w:tblGrid>
      <w:tr w:rsidR="00AD5C82" w:rsidRPr="00C70BEA" w:rsidTr="00AD5C82">
        <w:tc>
          <w:tcPr>
            <w:tcW w:w="1345" w:type="dxa"/>
            <w:tcBorders>
              <w:bottom w:val="single" w:sz="4" w:space="0" w:color="auto"/>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West</w:t>
            </w:r>
          </w:p>
        </w:tc>
        <w:tc>
          <w:tcPr>
            <w:tcW w:w="1350" w:type="dxa"/>
            <w:tcBorders>
              <w:left w:val="nil"/>
              <w:bottom w:val="single" w:sz="4" w:space="0" w:color="auto"/>
              <w:right w:val="nil"/>
            </w:tcBorders>
          </w:tcPr>
          <w:p w:rsidR="00AD5C82" w:rsidRPr="00C70BEA" w:rsidRDefault="00AD5C82" w:rsidP="00BF0408">
            <w:pPr>
              <w:rPr>
                <w:rFonts w:eastAsia="Calibri"/>
                <w:sz w:val="20"/>
                <w:szCs w:val="20"/>
              </w:rPr>
            </w:pPr>
            <w:r w:rsidRPr="00C70BEA">
              <w:rPr>
                <w:rFonts w:eastAsia="Calibri"/>
                <w:sz w:val="20"/>
                <w:szCs w:val="20"/>
              </w:rPr>
              <w:t>EAP</w:t>
            </w:r>
          </w:p>
        </w:tc>
        <w:tc>
          <w:tcPr>
            <w:tcW w:w="1800" w:type="dxa"/>
            <w:tcBorders>
              <w:left w:val="nil"/>
              <w:bottom w:val="single" w:sz="4" w:space="0" w:color="auto"/>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EECA</w:t>
            </w:r>
          </w:p>
        </w:tc>
        <w:tc>
          <w:tcPr>
            <w:tcW w:w="1440" w:type="dxa"/>
            <w:tcBorders>
              <w:left w:val="nil"/>
              <w:bottom w:val="single" w:sz="4" w:space="0" w:color="auto"/>
              <w:right w:val="nil"/>
            </w:tcBorders>
          </w:tcPr>
          <w:p w:rsidR="00AD5C82" w:rsidRPr="00C70BEA" w:rsidRDefault="00AD5C82" w:rsidP="00BF0408">
            <w:pPr>
              <w:rPr>
                <w:rFonts w:eastAsia="Calibri"/>
                <w:sz w:val="20"/>
                <w:szCs w:val="20"/>
              </w:rPr>
            </w:pPr>
            <w:r w:rsidRPr="00C70BEA">
              <w:rPr>
                <w:rFonts w:eastAsia="Calibri"/>
                <w:sz w:val="20"/>
                <w:szCs w:val="20"/>
              </w:rPr>
              <w:t>Latin America</w:t>
            </w:r>
          </w:p>
        </w:tc>
        <w:tc>
          <w:tcPr>
            <w:tcW w:w="990" w:type="dxa"/>
            <w:tcBorders>
              <w:left w:val="nil"/>
              <w:bottom w:val="single" w:sz="4" w:space="0" w:color="auto"/>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MENA</w:t>
            </w:r>
          </w:p>
        </w:tc>
        <w:tc>
          <w:tcPr>
            <w:tcW w:w="1440" w:type="dxa"/>
            <w:tcBorders>
              <w:left w:val="nil"/>
              <w:bottom w:val="single" w:sz="4" w:space="0" w:color="auto"/>
            </w:tcBorders>
          </w:tcPr>
          <w:p w:rsidR="00AD5C82" w:rsidRPr="00C70BEA" w:rsidRDefault="00AD5C82" w:rsidP="00BF0408">
            <w:pPr>
              <w:rPr>
                <w:rFonts w:eastAsia="Calibri"/>
                <w:sz w:val="20"/>
                <w:szCs w:val="20"/>
              </w:rPr>
            </w:pPr>
            <w:r w:rsidRPr="00C70BEA">
              <w:rPr>
                <w:rFonts w:eastAsia="Calibri"/>
                <w:sz w:val="20"/>
                <w:szCs w:val="20"/>
              </w:rPr>
              <w:t>SSA</w:t>
            </w: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Austria</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China</w:t>
            </w:r>
          </w:p>
        </w:tc>
        <w:tc>
          <w:tcPr>
            <w:tcW w:w="1800" w:type="dxa"/>
            <w:tcBorders>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Albania</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Bolivia</w:t>
            </w:r>
          </w:p>
        </w:tc>
        <w:tc>
          <w:tcPr>
            <w:tcW w:w="990" w:type="dxa"/>
            <w:tcBorders>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Algeria</w:t>
            </w:r>
          </w:p>
        </w:tc>
        <w:tc>
          <w:tcPr>
            <w:tcW w:w="1440" w:type="dxa"/>
            <w:tcBorders>
              <w:left w:val="nil"/>
              <w:bottom w:val="nil"/>
            </w:tcBorders>
          </w:tcPr>
          <w:p w:rsidR="00AD5C82" w:rsidRPr="00C70BEA" w:rsidRDefault="00AD5C82" w:rsidP="00BF0408">
            <w:pPr>
              <w:rPr>
                <w:rFonts w:eastAsia="Calibri"/>
                <w:sz w:val="20"/>
                <w:szCs w:val="20"/>
              </w:rPr>
            </w:pPr>
            <w:r w:rsidRPr="00C70BEA">
              <w:rPr>
                <w:rFonts w:eastAsia="Calibri"/>
                <w:sz w:val="20"/>
                <w:szCs w:val="20"/>
              </w:rPr>
              <w:t>Cote d'Ivoire</w:t>
            </w: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Belgium</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India</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Armenia</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Chile</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Israel</w:t>
            </w:r>
          </w:p>
        </w:tc>
        <w:tc>
          <w:tcPr>
            <w:tcW w:w="1440" w:type="dxa"/>
            <w:tcBorders>
              <w:top w:val="nil"/>
              <w:left w:val="nil"/>
              <w:bottom w:val="nil"/>
            </w:tcBorders>
          </w:tcPr>
          <w:p w:rsidR="00AD5C82" w:rsidRPr="00C70BEA" w:rsidRDefault="00AD5C82" w:rsidP="00BF0408">
            <w:pPr>
              <w:rPr>
                <w:rFonts w:eastAsia="Calibri"/>
                <w:sz w:val="20"/>
                <w:szCs w:val="20"/>
              </w:rPr>
            </w:pPr>
            <w:r w:rsidRPr="00C70BEA">
              <w:rPr>
                <w:rFonts w:eastAsia="Calibri"/>
                <w:sz w:val="20"/>
                <w:szCs w:val="20"/>
              </w:rPr>
              <w:t>Kenya</w:t>
            </w: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Canada</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Indonesia</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Bulgaria</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Colombia</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Morocco</w:t>
            </w:r>
          </w:p>
        </w:tc>
        <w:tc>
          <w:tcPr>
            <w:tcW w:w="1440" w:type="dxa"/>
            <w:tcBorders>
              <w:top w:val="nil"/>
              <w:left w:val="nil"/>
              <w:bottom w:val="nil"/>
            </w:tcBorders>
          </w:tcPr>
          <w:p w:rsidR="00AD5C82" w:rsidRPr="00C70BEA" w:rsidRDefault="00AD5C82" w:rsidP="00BF0408">
            <w:pPr>
              <w:rPr>
                <w:rFonts w:eastAsia="Calibri"/>
                <w:sz w:val="20"/>
                <w:szCs w:val="20"/>
              </w:rPr>
            </w:pPr>
            <w:r w:rsidRPr="00C70BEA">
              <w:rPr>
                <w:rFonts w:eastAsia="Calibri"/>
                <w:sz w:val="20"/>
                <w:szCs w:val="20"/>
              </w:rPr>
              <w:t>Mauritius</w:t>
            </w: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Denmark</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Japan</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Croatia</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Costa Rica</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Turkey</w:t>
            </w:r>
          </w:p>
        </w:tc>
        <w:tc>
          <w:tcPr>
            <w:tcW w:w="1440" w:type="dxa"/>
            <w:tcBorders>
              <w:top w:val="nil"/>
              <w:left w:val="nil"/>
              <w:bottom w:val="nil"/>
            </w:tcBorders>
          </w:tcPr>
          <w:p w:rsidR="00AD5C82" w:rsidRPr="00C70BEA" w:rsidRDefault="00AD5C82" w:rsidP="00BF0408">
            <w:pPr>
              <w:rPr>
                <w:rFonts w:eastAsia="Calibri"/>
                <w:sz w:val="20"/>
                <w:szCs w:val="20"/>
              </w:rPr>
            </w:pPr>
            <w:r w:rsidRPr="00C70BEA">
              <w:rPr>
                <w:rFonts w:eastAsia="Calibri"/>
                <w:sz w:val="20"/>
                <w:szCs w:val="20"/>
              </w:rPr>
              <w:t>South Africa</w:t>
            </w: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Finland</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Rep of Korea</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Czech Rep</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Dom Rep</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r w:rsidRPr="00C70BEA">
              <w:rPr>
                <w:rFonts w:eastAsia="Calibri"/>
                <w:sz w:val="20"/>
                <w:szCs w:val="20"/>
              </w:rPr>
              <w:t>Uganda</w:t>
            </w: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France</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Malaysia</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Estonia</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Ecuador</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r w:rsidRPr="00C70BEA">
              <w:rPr>
                <w:rFonts w:eastAsia="Calibri"/>
                <w:sz w:val="20"/>
                <w:szCs w:val="20"/>
              </w:rPr>
              <w:t>Zambia</w:t>
            </w: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Germany</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Mongolia</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Greece</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El Salvador</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Ireland</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Nepal</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Hungary</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Jamaica</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Italy</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Pakistan</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Kazakhstan</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Mexico</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Netherlands</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PNG</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Kyrgyzstan</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Nicaragua</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New Zealand</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Philippines</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Latvia</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Panama</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Norway</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Singapore</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Lithuania</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Paraguay</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Portugal</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Sri Lanka</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Moldova</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Peru</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Spain</w:t>
            </w:r>
          </w:p>
        </w:tc>
        <w:tc>
          <w:tcPr>
            <w:tcW w:w="135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Thailand</w:t>
            </w: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Poland</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Uruguay</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Sweden</w:t>
            </w:r>
          </w:p>
        </w:tc>
        <w:tc>
          <w:tcPr>
            <w:tcW w:w="1350" w:type="dxa"/>
            <w:tcBorders>
              <w:top w:val="nil"/>
              <w:left w:val="nil"/>
              <w:bottom w:val="nil"/>
              <w:right w:val="nil"/>
            </w:tcBorders>
          </w:tcPr>
          <w:p w:rsidR="00AD5C82" w:rsidRPr="00C70BEA" w:rsidRDefault="00AD5C82" w:rsidP="00BF0408">
            <w:pPr>
              <w:rPr>
                <w:rFonts w:eastAsia="Calibri"/>
                <w:sz w:val="20"/>
                <w:szCs w:val="20"/>
              </w:rPr>
            </w:pP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Romania</w:t>
            </w:r>
          </w:p>
        </w:tc>
        <w:tc>
          <w:tcPr>
            <w:tcW w:w="1440" w:type="dxa"/>
            <w:tcBorders>
              <w:top w:val="nil"/>
              <w:left w:val="nil"/>
              <w:bottom w:val="nil"/>
              <w:right w:val="nil"/>
            </w:tcBorders>
          </w:tcPr>
          <w:p w:rsidR="00AD5C82" w:rsidRPr="00C70BEA" w:rsidRDefault="00AD5C82" w:rsidP="00BF0408">
            <w:pPr>
              <w:rPr>
                <w:rFonts w:eastAsia="Calibri"/>
                <w:sz w:val="20"/>
                <w:szCs w:val="20"/>
              </w:rPr>
            </w:pPr>
            <w:r w:rsidRPr="00C70BEA">
              <w:rPr>
                <w:rFonts w:eastAsia="Calibri"/>
                <w:sz w:val="20"/>
                <w:szCs w:val="20"/>
              </w:rPr>
              <w:t>Venezuela</w:t>
            </w: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Switzerland</w:t>
            </w:r>
          </w:p>
        </w:tc>
        <w:tc>
          <w:tcPr>
            <w:tcW w:w="1350" w:type="dxa"/>
            <w:tcBorders>
              <w:top w:val="nil"/>
              <w:left w:val="nil"/>
              <w:bottom w:val="nil"/>
              <w:right w:val="nil"/>
            </w:tcBorders>
          </w:tcPr>
          <w:p w:rsidR="00AD5C82" w:rsidRPr="00C70BEA" w:rsidRDefault="00AD5C82" w:rsidP="00BF0408">
            <w:pPr>
              <w:rPr>
                <w:rFonts w:eastAsia="Calibri"/>
                <w:sz w:val="20"/>
                <w:szCs w:val="20"/>
              </w:rPr>
            </w:pP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Russian Federation</w:t>
            </w:r>
          </w:p>
        </w:tc>
        <w:tc>
          <w:tcPr>
            <w:tcW w:w="1440" w:type="dxa"/>
            <w:tcBorders>
              <w:top w:val="nil"/>
              <w:left w:val="nil"/>
              <w:bottom w:val="nil"/>
              <w:right w:val="nil"/>
            </w:tcBorders>
          </w:tcPr>
          <w:p w:rsidR="00AD5C82" w:rsidRPr="00C70BEA" w:rsidRDefault="00AD5C82" w:rsidP="00BF0408">
            <w:pPr>
              <w:rPr>
                <w:rFonts w:eastAsia="Calibri"/>
                <w:sz w:val="20"/>
                <w:szCs w:val="20"/>
              </w:rPr>
            </w:pP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UK</w:t>
            </w:r>
          </w:p>
        </w:tc>
        <w:tc>
          <w:tcPr>
            <w:tcW w:w="1350" w:type="dxa"/>
            <w:tcBorders>
              <w:top w:val="nil"/>
              <w:left w:val="nil"/>
              <w:bottom w:val="nil"/>
              <w:right w:val="nil"/>
            </w:tcBorders>
          </w:tcPr>
          <w:p w:rsidR="00AD5C82" w:rsidRPr="00C70BEA" w:rsidRDefault="00AD5C82" w:rsidP="00BF0408">
            <w:pPr>
              <w:rPr>
                <w:rFonts w:eastAsia="Calibri"/>
                <w:sz w:val="20"/>
                <w:szCs w:val="20"/>
              </w:rPr>
            </w:pP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Slovakia</w:t>
            </w:r>
          </w:p>
        </w:tc>
        <w:tc>
          <w:tcPr>
            <w:tcW w:w="1440" w:type="dxa"/>
            <w:tcBorders>
              <w:top w:val="nil"/>
              <w:left w:val="nil"/>
              <w:bottom w:val="nil"/>
              <w:right w:val="nil"/>
            </w:tcBorders>
          </w:tcPr>
          <w:p w:rsidR="00AD5C82" w:rsidRPr="00C70BEA" w:rsidRDefault="00AD5C82" w:rsidP="00BF0408">
            <w:pPr>
              <w:rPr>
                <w:rFonts w:eastAsia="Calibri"/>
                <w:sz w:val="20"/>
                <w:szCs w:val="20"/>
              </w:rPr>
            </w:pP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USA</w:t>
            </w:r>
          </w:p>
        </w:tc>
        <w:tc>
          <w:tcPr>
            <w:tcW w:w="1350" w:type="dxa"/>
            <w:tcBorders>
              <w:top w:val="nil"/>
              <w:left w:val="nil"/>
              <w:bottom w:val="nil"/>
              <w:right w:val="nil"/>
            </w:tcBorders>
          </w:tcPr>
          <w:p w:rsidR="00AD5C82" w:rsidRPr="00C70BEA" w:rsidRDefault="00AD5C82" w:rsidP="00BF0408">
            <w:pPr>
              <w:rPr>
                <w:rFonts w:eastAsia="Calibri"/>
                <w:sz w:val="20"/>
                <w:szCs w:val="20"/>
              </w:rPr>
            </w:pP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Slovenia</w:t>
            </w:r>
          </w:p>
        </w:tc>
        <w:tc>
          <w:tcPr>
            <w:tcW w:w="1440" w:type="dxa"/>
            <w:tcBorders>
              <w:top w:val="nil"/>
              <w:left w:val="nil"/>
              <w:bottom w:val="nil"/>
              <w:right w:val="nil"/>
            </w:tcBorders>
          </w:tcPr>
          <w:p w:rsidR="00AD5C82" w:rsidRPr="00C70BEA" w:rsidRDefault="00AD5C82" w:rsidP="00BF0408">
            <w:pPr>
              <w:rPr>
                <w:rFonts w:eastAsia="Calibri"/>
                <w:sz w:val="20"/>
                <w:szCs w:val="20"/>
              </w:rPr>
            </w:pP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350" w:type="dxa"/>
            <w:tcBorders>
              <w:top w:val="nil"/>
              <w:left w:val="nil"/>
              <w:bottom w:val="nil"/>
              <w:right w:val="nil"/>
            </w:tcBorders>
          </w:tcPr>
          <w:p w:rsidR="00AD5C82" w:rsidRPr="00C70BEA" w:rsidRDefault="00AD5C82" w:rsidP="00BF0408">
            <w:pPr>
              <w:rPr>
                <w:rFonts w:eastAsia="Calibri"/>
                <w:sz w:val="20"/>
                <w:szCs w:val="20"/>
              </w:rPr>
            </w:pP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Tajikistan</w:t>
            </w:r>
          </w:p>
        </w:tc>
        <w:tc>
          <w:tcPr>
            <w:tcW w:w="1440" w:type="dxa"/>
            <w:tcBorders>
              <w:top w:val="nil"/>
              <w:left w:val="nil"/>
              <w:bottom w:val="nil"/>
              <w:right w:val="nil"/>
            </w:tcBorders>
          </w:tcPr>
          <w:p w:rsidR="00AD5C82" w:rsidRPr="00C70BEA" w:rsidRDefault="00AD5C82" w:rsidP="00BF0408">
            <w:pPr>
              <w:rPr>
                <w:rFonts w:eastAsia="Calibri"/>
                <w:sz w:val="20"/>
                <w:szCs w:val="20"/>
              </w:rPr>
            </w:pP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350" w:type="dxa"/>
            <w:tcBorders>
              <w:top w:val="nil"/>
              <w:left w:val="nil"/>
              <w:bottom w:val="nil"/>
              <w:right w:val="nil"/>
            </w:tcBorders>
          </w:tcPr>
          <w:p w:rsidR="00AD5C82" w:rsidRPr="00C70BEA" w:rsidRDefault="00AD5C82" w:rsidP="00BF0408">
            <w:pPr>
              <w:rPr>
                <w:rFonts w:eastAsia="Calibri"/>
                <w:sz w:val="20"/>
                <w:szCs w:val="20"/>
              </w:rPr>
            </w:pPr>
          </w:p>
        </w:tc>
        <w:tc>
          <w:tcPr>
            <w:tcW w:w="180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r w:rsidRPr="00C70BEA">
              <w:rPr>
                <w:rFonts w:eastAsia="Calibri"/>
                <w:sz w:val="20"/>
                <w:szCs w:val="20"/>
              </w:rPr>
              <w:t>Ukraine</w:t>
            </w:r>
          </w:p>
        </w:tc>
        <w:tc>
          <w:tcPr>
            <w:tcW w:w="1440" w:type="dxa"/>
            <w:tcBorders>
              <w:top w:val="nil"/>
              <w:left w:val="nil"/>
              <w:bottom w:val="nil"/>
              <w:right w:val="nil"/>
            </w:tcBorders>
          </w:tcPr>
          <w:p w:rsidR="00AD5C82" w:rsidRPr="00C70BEA" w:rsidRDefault="00AD5C82" w:rsidP="00BF0408">
            <w:pPr>
              <w:rPr>
                <w:rFonts w:eastAsia="Calibri"/>
                <w:sz w:val="20"/>
                <w:szCs w:val="20"/>
              </w:rPr>
            </w:pPr>
          </w:p>
        </w:tc>
        <w:tc>
          <w:tcPr>
            <w:tcW w:w="990" w:type="dxa"/>
            <w:tcBorders>
              <w:top w:val="nil"/>
              <w:left w:val="nil"/>
              <w:bottom w:val="nil"/>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nil"/>
            </w:tcBorders>
          </w:tcPr>
          <w:p w:rsidR="00AD5C82" w:rsidRPr="00C70BEA" w:rsidRDefault="00AD5C82" w:rsidP="00BF0408">
            <w:pPr>
              <w:rPr>
                <w:rFonts w:eastAsia="Calibri"/>
                <w:sz w:val="20"/>
                <w:szCs w:val="20"/>
              </w:rPr>
            </w:pPr>
          </w:p>
        </w:tc>
      </w:tr>
      <w:tr w:rsidR="00AD5C82" w:rsidRPr="00C70BEA" w:rsidTr="00AD5C82">
        <w:tc>
          <w:tcPr>
            <w:tcW w:w="1345" w:type="dxa"/>
            <w:tcBorders>
              <w:top w:val="nil"/>
              <w:bottom w:val="single" w:sz="4" w:space="0" w:color="auto"/>
              <w:right w:val="nil"/>
            </w:tcBorders>
            <w:shd w:val="clear" w:color="auto" w:fill="E7E6E6" w:themeFill="background2"/>
          </w:tcPr>
          <w:p w:rsidR="00AD5C82" w:rsidRPr="00C70BEA" w:rsidRDefault="00AD5C82" w:rsidP="00BF0408">
            <w:pPr>
              <w:rPr>
                <w:rFonts w:eastAsia="Calibri"/>
                <w:sz w:val="20"/>
                <w:szCs w:val="20"/>
              </w:rPr>
            </w:pPr>
          </w:p>
        </w:tc>
        <w:tc>
          <w:tcPr>
            <w:tcW w:w="1350" w:type="dxa"/>
            <w:tcBorders>
              <w:top w:val="nil"/>
              <w:left w:val="nil"/>
              <w:bottom w:val="single" w:sz="4" w:space="0" w:color="auto"/>
              <w:right w:val="nil"/>
            </w:tcBorders>
          </w:tcPr>
          <w:p w:rsidR="00AD5C82" w:rsidRPr="00C70BEA" w:rsidRDefault="00AD5C82" w:rsidP="00BF0408">
            <w:pPr>
              <w:rPr>
                <w:rFonts w:eastAsia="Calibri"/>
                <w:sz w:val="20"/>
                <w:szCs w:val="20"/>
              </w:rPr>
            </w:pPr>
          </w:p>
        </w:tc>
        <w:tc>
          <w:tcPr>
            <w:tcW w:w="1800" w:type="dxa"/>
            <w:tcBorders>
              <w:top w:val="nil"/>
              <w:left w:val="nil"/>
              <w:bottom w:val="single" w:sz="4" w:space="0" w:color="auto"/>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single" w:sz="4" w:space="0" w:color="auto"/>
              <w:right w:val="nil"/>
            </w:tcBorders>
          </w:tcPr>
          <w:p w:rsidR="00AD5C82" w:rsidRPr="00C70BEA" w:rsidRDefault="00AD5C82" w:rsidP="00BF0408">
            <w:pPr>
              <w:rPr>
                <w:rFonts w:eastAsia="Calibri"/>
                <w:sz w:val="20"/>
                <w:szCs w:val="20"/>
              </w:rPr>
            </w:pPr>
          </w:p>
        </w:tc>
        <w:tc>
          <w:tcPr>
            <w:tcW w:w="990" w:type="dxa"/>
            <w:tcBorders>
              <w:top w:val="nil"/>
              <w:left w:val="nil"/>
              <w:bottom w:val="single" w:sz="4" w:space="0" w:color="auto"/>
              <w:right w:val="nil"/>
            </w:tcBorders>
            <w:shd w:val="clear" w:color="auto" w:fill="E7E6E6" w:themeFill="background2"/>
          </w:tcPr>
          <w:p w:rsidR="00AD5C82" w:rsidRPr="00C70BEA" w:rsidRDefault="00AD5C82" w:rsidP="00BF0408">
            <w:pPr>
              <w:rPr>
                <w:rFonts w:eastAsia="Calibri"/>
                <w:sz w:val="20"/>
                <w:szCs w:val="20"/>
              </w:rPr>
            </w:pPr>
          </w:p>
        </w:tc>
        <w:tc>
          <w:tcPr>
            <w:tcW w:w="1440" w:type="dxa"/>
            <w:tcBorders>
              <w:top w:val="nil"/>
              <w:left w:val="nil"/>
              <w:bottom w:val="single" w:sz="4" w:space="0" w:color="auto"/>
            </w:tcBorders>
          </w:tcPr>
          <w:p w:rsidR="00AD5C82" w:rsidRPr="00C70BEA" w:rsidRDefault="00AD5C82" w:rsidP="00BF0408">
            <w:pPr>
              <w:rPr>
                <w:rFonts w:eastAsia="Calibri"/>
                <w:sz w:val="20"/>
                <w:szCs w:val="20"/>
              </w:rPr>
            </w:pPr>
          </w:p>
        </w:tc>
      </w:tr>
    </w:tbl>
    <w:p w:rsidR="00C70BEA" w:rsidRPr="00C70BEA" w:rsidRDefault="00C70BEA" w:rsidP="00C70BEA">
      <w:pPr>
        <w:spacing w:after="200" w:line="480" w:lineRule="auto"/>
        <w:contextualSpacing/>
        <w:rPr>
          <w:rFonts w:eastAsia="Calibri"/>
          <w:sz w:val="16"/>
          <w:szCs w:val="16"/>
        </w:rPr>
      </w:pPr>
      <w:r w:rsidRPr="00C70BEA">
        <w:rPr>
          <w:rFonts w:eastAsia="Calibri"/>
          <w:sz w:val="16"/>
          <w:szCs w:val="16"/>
        </w:rPr>
        <w:t>Source: Clark (2011)</w:t>
      </w:r>
    </w:p>
    <w:p w:rsidR="00AD5C82" w:rsidRDefault="00C70BEA" w:rsidP="00AD5C82">
      <w:pPr>
        <w:spacing w:after="200" w:line="480" w:lineRule="auto"/>
        <w:contextualSpacing/>
        <w:rPr>
          <w:rFonts w:eastAsia="Calibri"/>
        </w:rPr>
      </w:pPr>
      <w:r w:rsidRPr="00C70BEA">
        <w:rPr>
          <w:rFonts w:eastAsia="Calibri"/>
          <w:i/>
        </w:rPr>
        <w:t xml:space="preserve">Year. </w:t>
      </w:r>
      <w:r w:rsidRPr="00E13EC7">
        <w:rPr>
          <w:rFonts w:eastAsia="Calibri"/>
          <w:noProof/>
        </w:rPr>
        <w:t>My</w:t>
      </w:r>
      <w:r w:rsidRPr="00C70BEA">
        <w:rPr>
          <w:rFonts w:eastAsia="Calibri"/>
        </w:rPr>
        <w:t xml:space="preserve"> data contain up to 24 consecutive years (1990-2013) for </w:t>
      </w:r>
      <w:r w:rsidR="004272CC">
        <w:rPr>
          <w:rFonts w:eastAsia="Calibri"/>
        </w:rPr>
        <w:t xml:space="preserve">most of </w:t>
      </w:r>
      <w:r w:rsidRPr="00C70BEA">
        <w:rPr>
          <w:rFonts w:eastAsia="Calibri"/>
        </w:rPr>
        <w:t xml:space="preserve">my independent variables. </w:t>
      </w:r>
      <w:r w:rsidR="00525FCF" w:rsidRPr="00525FCF">
        <w:rPr>
          <w:rFonts w:eastAsia="Calibri"/>
          <w:noProof/>
        </w:rPr>
        <w:t>T</w:t>
      </w:r>
      <w:r w:rsidRPr="00525FCF">
        <w:rPr>
          <w:rFonts w:eastAsia="Calibri"/>
          <w:noProof/>
        </w:rPr>
        <w:t>o</w:t>
      </w:r>
      <w:r w:rsidRPr="00C70BEA">
        <w:rPr>
          <w:rFonts w:eastAsia="Calibri"/>
        </w:rPr>
        <w:t xml:space="preserve"> evaluate or control for </w:t>
      </w:r>
      <w:r w:rsidRPr="00E13EC7">
        <w:rPr>
          <w:rFonts w:eastAsia="Calibri"/>
          <w:noProof/>
        </w:rPr>
        <w:t>my</w:t>
      </w:r>
      <w:r w:rsidRPr="00C70BEA">
        <w:rPr>
          <w:rFonts w:eastAsia="Calibri"/>
        </w:rPr>
        <w:t xml:space="preserve"> time-invariant independent variables</w:t>
      </w:r>
      <w:r w:rsidR="00A618EE">
        <w:rPr>
          <w:rFonts w:eastAsia="Calibri"/>
        </w:rPr>
        <w:t xml:space="preserve"> in fixed-effects models</w:t>
      </w:r>
      <w:r w:rsidRPr="00C70BEA">
        <w:rPr>
          <w:rFonts w:eastAsia="Calibri"/>
        </w:rPr>
        <w:t xml:space="preserve">, </w:t>
      </w:r>
      <w:r w:rsidRPr="00E13EC7">
        <w:rPr>
          <w:rFonts w:eastAsia="Calibri"/>
          <w:noProof/>
        </w:rPr>
        <w:t>I</w:t>
      </w:r>
      <w:r w:rsidRPr="00C70BEA">
        <w:rPr>
          <w:rFonts w:eastAsia="Calibri"/>
        </w:rPr>
        <w:t xml:space="preserve"> interact the variable with </w:t>
      </w:r>
      <w:r w:rsidRPr="00E13EC7">
        <w:rPr>
          <w:rFonts w:eastAsia="Calibri"/>
          <w:noProof/>
        </w:rPr>
        <w:t>my</w:t>
      </w:r>
      <w:r w:rsidRPr="00C70BEA">
        <w:rPr>
          <w:rFonts w:eastAsia="Calibri"/>
        </w:rPr>
        <w:t xml:space="preserve"> standardized </w:t>
      </w:r>
      <w:r w:rsidRPr="00E13EC7">
        <w:rPr>
          <w:rFonts w:eastAsia="Calibri"/>
          <w:noProof/>
        </w:rPr>
        <w:t>year</w:t>
      </w:r>
      <w:r w:rsidRPr="00C70BEA">
        <w:rPr>
          <w:rFonts w:eastAsia="Calibri"/>
        </w:rPr>
        <w:t xml:space="preserve"> (mean = 0). </w:t>
      </w:r>
      <w:r w:rsidRPr="00E13EC7">
        <w:rPr>
          <w:rFonts w:eastAsia="Calibri"/>
          <w:noProof/>
        </w:rPr>
        <w:t>This enables</w:t>
      </w:r>
      <w:r w:rsidRPr="00C70BEA">
        <w:rPr>
          <w:rFonts w:eastAsia="Calibri"/>
        </w:rPr>
        <w:t xml:space="preserve"> </w:t>
      </w:r>
      <w:r w:rsidRPr="00E13EC7">
        <w:rPr>
          <w:rFonts w:eastAsia="Calibri"/>
          <w:noProof/>
        </w:rPr>
        <w:t>me</w:t>
      </w:r>
      <w:r w:rsidRPr="00C70BEA">
        <w:rPr>
          <w:rFonts w:eastAsia="Calibri"/>
        </w:rPr>
        <w:t xml:space="preserve"> to </w:t>
      </w:r>
      <w:r w:rsidR="001C1CE8">
        <w:rPr>
          <w:rFonts w:eastAsia="Calibri"/>
          <w:noProof/>
        </w:rPr>
        <w:t>assess</w:t>
      </w:r>
      <w:r w:rsidR="008D6BD4">
        <w:rPr>
          <w:rFonts w:eastAsia="Calibri"/>
        </w:rPr>
        <w:t xml:space="preserve"> WSP</w:t>
      </w:r>
      <w:r w:rsidRPr="00C70BEA">
        <w:rPr>
          <w:rFonts w:eastAsia="Calibri"/>
        </w:rPr>
        <w:t>, and control for ethnic fractionalization, and region using fixed-effects modeling. The main effect of the time-invariant variables refers to the middle of the sample period (cf. Clark 2012:376).</w:t>
      </w:r>
      <w:r w:rsidR="00AD5C82" w:rsidRPr="00AD5C82">
        <w:rPr>
          <w:rFonts w:eastAsia="Calibri"/>
        </w:rPr>
        <w:t xml:space="preserve"> </w:t>
      </w:r>
      <w:r w:rsidR="00AD5C82">
        <w:rPr>
          <w:rFonts w:eastAsia="Calibri"/>
        </w:rPr>
        <w:tab/>
      </w:r>
    </w:p>
    <w:p w:rsidR="0014564D" w:rsidRDefault="00AD5C82" w:rsidP="00C70BEA">
      <w:pPr>
        <w:spacing w:after="200" w:line="480" w:lineRule="auto"/>
        <w:ind w:firstLine="720"/>
        <w:contextualSpacing/>
        <w:rPr>
          <w:rFonts w:eastAsia="Calibri"/>
        </w:rPr>
      </w:pPr>
      <w:r>
        <w:rPr>
          <w:rFonts w:eastAsia="Calibri"/>
        </w:rPr>
        <w:t>While I begin this data set with as many as 139 countries providing incarceration rates fr</w:t>
      </w:r>
      <w:r w:rsidR="00BC59A1">
        <w:rPr>
          <w:rFonts w:eastAsia="Calibri"/>
        </w:rPr>
        <w:t xml:space="preserve">om 1993 through 2013, each time I add </w:t>
      </w:r>
      <w:r>
        <w:rPr>
          <w:rFonts w:eastAsia="Calibri"/>
        </w:rPr>
        <w:t xml:space="preserve">variables, the sample size decreases. This limitation is noted by many, but </w:t>
      </w:r>
      <w:r w:rsidRPr="00BC59A1">
        <w:rPr>
          <w:rFonts w:eastAsia="Calibri"/>
          <w:noProof/>
        </w:rPr>
        <w:t>specifically</w:t>
      </w:r>
      <w:r w:rsidR="00BC59A1">
        <w:rPr>
          <w:rFonts w:eastAsia="Calibri"/>
          <w:noProof/>
        </w:rPr>
        <w:t>,</w:t>
      </w:r>
      <w:r>
        <w:rPr>
          <w:rFonts w:eastAsia="Calibri"/>
        </w:rPr>
        <w:t xml:space="preserve"> I note Neapolitan’s (2001) study in which his initial sample </w:t>
      </w:r>
      <w:r w:rsidR="00BC59A1">
        <w:rPr>
          <w:rFonts w:eastAsia="Calibri"/>
          <w:noProof/>
        </w:rPr>
        <w:t>decreases</w:t>
      </w:r>
      <w:r w:rsidR="00BC59A1">
        <w:rPr>
          <w:rFonts w:eastAsia="Calibri"/>
        </w:rPr>
        <w:t xml:space="preserve"> due to the lack of coverage by</w:t>
      </w:r>
      <w:r>
        <w:rPr>
          <w:rFonts w:eastAsia="Calibri"/>
        </w:rPr>
        <w:t xml:space="preserve"> his independent variable. </w:t>
      </w:r>
      <w:r w:rsidR="00BC59A1">
        <w:rPr>
          <w:rFonts w:eastAsia="Calibri"/>
        </w:rPr>
        <w:t>In m</w:t>
      </w:r>
      <w:r>
        <w:rPr>
          <w:rFonts w:eastAsia="Calibri"/>
        </w:rPr>
        <w:t xml:space="preserve">y final </w:t>
      </w:r>
      <w:r w:rsidRPr="00BC59A1">
        <w:rPr>
          <w:rFonts w:eastAsia="Calibri"/>
          <w:noProof/>
        </w:rPr>
        <w:t>analyses</w:t>
      </w:r>
      <w:r w:rsidR="00BC59A1">
        <w:rPr>
          <w:rFonts w:eastAsia="Calibri"/>
          <w:noProof/>
        </w:rPr>
        <w:t>,</w:t>
      </w:r>
      <w:r>
        <w:rPr>
          <w:rFonts w:eastAsia="Calibri"/>
        </w:rPr>
        <w:t xml:space="preserve"> </w:t>
      </w:r>
      <w:r w:rsidR="00BC59A1" w:rsidRPr="00BC59A1">
        <w:rPr>
          <w:rFonts w:eastAsia="Calibri"/>
          <w:noProof/>
        </w:rPr>
        <w:t xml:space="preserve">I </w:t>
      </w:r>
      <w:r w:rsidR="00BC59A1">
        <w:rPr>
          <w:rFonts w:eastAsia="Calibri"/>
          <w:noProof/>
        </w:rPr>
        <w:t xml:space="preserve">use </w:t>
      </w:r>
      <w:r>
        <w:rPr>
          <w:rFonts w:eastAsia="Calibri"/>
        </w:rPr>
        <w:t xml:space="preserve">325 observations for 77 countries. Each of my regions </w:t>
      </w:r>
      <w:r w:rsidRPr="00525FCF">
        <w:rPr>
          <w:rFonts w:eastAsia="Calibri"/>
          <w:noProof/>
        </w:rPr>
        <w:t>is represented</w:t>
      </w:r>
      <w:r>
        <w:rPr>
          <w:rFonts w:eastAsia="Calibri"/>
        </w:rPr>
        <w:t xml:space="preserve"> and each world-systems position </w:t>
      </w:r>
      <w:r w:rsidRPr="00525FCF">
        <w:rPr>
          <w:rFonts w:eastAsia="Calibri"/>
          <w:noProof/>
        </w:rPr>
        <w:t>is represented</w:t>
      </w:r>
      <w:r>
        <w:rPr>
          <w:rFonts w:eastAsia="Calibri"/>
        </w:rPr>
        <w:t xml:space="preserve">, as </w:t>
      </w:r>
      <w:r>
        <w:rPr>
          <w:rFonts w:eastAsia="Calibri"/>
        </w:rPr>
        <w:lastRenderedPageBreak/>
        <w:t xml:space="preserve">well. </w:t>
      </w:r>
      <w:r w:rsidR="00A618EE">
        <w:rPr>
          <w:rFonts w:eastAsia="Calibri"/>
        </w:rPr>
        <w:t>Please see table below for the pairwise correlation matrix for all variables included in this study.</w:t>
      </w: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p w:rsidR="00057B53" w:rsidRDefault="00057B53" w:rsidP="00C70BEA">
      <w:pPr>
        <w:spacing w:after="200" w:line="480" w:lineRule="auto"/>
        <w:ind w:firstLine="720"/>
        <w:contextualSpacing/>
        <w:rPr>
          <w:rFonts w:eastAsia="Calibri"/>
        </w:rPr>
      </w:pPr>
    </w:p>
    <w:tbl>
      <w:tblPr>
        <w:tblStyle w:val="TableGrid6"/>
        <w:tblW w:w="6201" w:type="dxa"/>
        <w:tblCellMar>
          <w:left w:w="0" w:type="dxa"/>
          <w:right w:w="0" w:type="dxa"/>
        </w:tblCellMar>
        <w:tblLook w:val="04A0" w:firstRow="1" w:lastRow="0" w:firstColumn="1" w:lastColumn="0" w:noHBand="0" w:noVBand="1"/>
      </w:tblPr>
      <w:tblGrid>
        <w:gridCol w:w="182"/>
        <w:gridCol w:w="188"/>
        <w:gridCol w:w="165"/>
        <w:gridCol w:w="164"/>
        <w:gridCol w:w="165"/>
        <w:gridCol w:w="164"/>
        <w:gridCol w:w="165"/>
        <w:gridCol w:w="164"/>
        <w:gridCol w:w="165"/>
        <w:gridCol w:w="164"/>
        <w:gridCol w:w="165"/>
        <w:gridCol w:w="164"/>
        <w:gridCol w:w="165"/>
        <w:gridCol w:w="164"/>
        <w:gridCol w:w="165"/>
        <w:gridCol w:w="164"/>
        <w:gridCol w:w="165"/>
        <w:gridCol w:w="164"/>
        <w:gridCol w:w="165"/>
        <w:gridCol w:w="164"/>
        <w:gridCol w:w="165"/>
        <w:gridCol w:w="164"/>
        <w:gridCol w:w="165"/>
        <w:gridCol w:w="164"/>
        <w:gridCol w:w="160"/>
        <w:gridCol w:w="182"/>
        <w:gridCol w:w="187"/>
        <w:gridCol w:w="187"/>
        <w:gridCol w:w="187"/>
        <w:gridCol w:w="187"/>
        <w:gridCol w:w="187"/>
        <w:gridCol w:w="187"/>
        <w:gridCol w:w="187"/>
        <w:gridCol w:w="187"/>
        <w:gridCol w:w="187"/>
        <w:gridCol w:w="187"/>
      </w:tblGrid>
      <w:tr w:rsidR="0014564D" w:rsidRPr="00415CC5" w:rsidTr="00AD2687">
        <w:trPr>
          <w:gridAfter w:val="10"/>
          <w:wAfter w:w="1870" w:type="dxa"/>
          <w:cantSplit/>
          <w:trHeight w:val="710"/>
        </w:trPr>
        <w:tc>
          <w:tcPr>
            <w:tcW w:w="182" w:type="dxa"/>
            <w:vMerge w:val="restart"/>
            <w:tcBorders>
              <w:top w:val="nil"/>
              <w:left w:val="nil"/>
              <w:bottom w:val="nil"/>
            </w:tcBorders>
            <w:textDirection w:val="btLr"/>
            <w:vAlign w:val="bottom"/>
          </w:tcPr>
          <w:p w:rsidR="0014564D" w:rsidRPr="00CD73C2" w:rsidRDefault="003B6046" w:rsidP="00AD2687">
            <w:pPr>
              <w:ind w:left="113" w:right="113"/>
              <w:rPr>
                <w:sz w:val="12"/>
                <w:szCs w:val="12"/>
              </w:rPr>
            </w:pPr>
            <w:r>
              <w:rPr>
                <w:sz w:val="12"/>
                <w:szCs w:val="12"/>
              </w:rPr>
              <w:lastRenderedPageBreak/>
              <w:t xml:space="preserve">Table 6. </w:t>
            </w:r>
            <w:r w:rsidR="00A618EE">
              <w:rPr>
                <w:sz w:val="12"/>
                <w:szCs w:val="12"/>
              </w:rPr>
              <w:t>Pairwise Correlation Matrix.</w:t>
            </w:r>
          </w:p>
        </w:tc>
        <w:tc>
          <w:tcPr>
            <w:tcW w:w="188" w:type="dxa"/>
            <w:tcBorders>
              <w:top w:val="single" w:sz="4" w:space="0" w:color="auto"/>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13.</w:t>
            </w:r>
          </w:p>
        </w:tc>
        <w:tc>
          <w:tcPr>
            <w:tcW w:w="165" w:type="dxa"/>
            <w:tcBorders>
              <w:top w:val="single" w:sz="4" w:space="0" w:color="auto"/>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single" w:sz="4" w:space="0" w:color="auto"/>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single" w:sz="4" w:space="0" w:color="auto"/>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single" w:sz="4" w:space="0" w:color="auto"/>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single" w:sz="4" w:space="0" w:color="auto"/>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single" w:sz="4" w:space="0" w:color="auto"/>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single" w:sz="4" w:space="0" w:color="auto"/>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single" w:sz="4" w:space="0" w:color="auto"/>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single" w:sz="4" w:space="0" w:color="auto"/>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single" w:sz="4" w:space="0" w:color="auto"/>
              <w:left w:val="nil"/>
              <w:bottom w:val="nil"/>
              <w:right w:val="nil"/>
            </w:tcBorders>
            <w:noWrap/>
            <w:textDirection w:val="btLr"/>
            <w:tcFitText/>
          </w:tcPr>
          <w:p w:rsidR="0014564D" w:rsidRPr="00415CC5" w:rsidRDefault="0014564D" w:rsidP="00AD2687">
            <w:pPr>
              <w:ind w:left="113" w:right="113"/>
              <w:jc w:val="right"/>
              <w:rPr>
                <w:sz w:val="12"/>
                <w:szCs w:val="12"/>
              </w:rPr>
            </w:pPr>
          </w:p>
        </w:tc>
        <w:tc>
          <w:tcPr>
            <w:tcW w:w="165" w:type="dxa"/>
            <w:tcBorders>
              <w:top w:val="single" w:sz="4" w:space="0" w:color="auto"/>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single" w:sz="4" w:space="0" w:color="auto"/>
              <w:left w:val="nil"/>
              <w:bottom w:val="nil"/>
              <w:right w:val="nil"/>
            </w:tcBorders>
            <w:shd w:val="clear" w:color="auto" w:fill="FFFFFF" w:themeFill="background1"/>
            <w:noWrap/>
            <w:textDirection w:val="btLr"/>
            <w:tcFitText/>
          </w:tcPr>
          <w:p w:rsidR="0014564D" w:rsidRPr="00415CC5" w:rsidRDefault="0014564D" w:rsidP="00AD2687">
            <w:pPr>
              <w:ind w:left="113" w:right="113"/>
              <w:jc w:val="right"/>
              <w:rPr>
                <w:sz w:val="12"/>
                <w:szCs w:val="12"/>
              </w:rPr>
            </w:pPr>
          </w:p>
        </w:tc>
        <w:tc>
          <w:tcPr>
            <w:tcW w:w="165" w:type="dxa"/>
            <w:tcBorders>
              <w:top w:val="single" w:sz="4" w:space="0" w:color="auto"/>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1.00</w:t>
            </w:r>
          </w:p>
        </w:tc>
        <w:tc>
          <w:tcPr>
            <w:tcW w:w="164" w:type="dxa"/>
            <w:tcBorders>
              <w:top w:val="single" w:sz="4" w:space="0" w:color="auto"/>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-0.02</w:t>
            </w:r>
          </w:p>
        </w:tc>
        <w:tc>
          <w:tcPr>
            <w:tcW w:w="165" w:type="dxa"/>
            <w:tcBorders>
              <w:top w:val="single" w:sz="4" w:space="0" w:color="auto"/>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-0.09</w:t>
            </w:r>
          </w:p>
        </w:tc>
        <w:tc>
          <w:tcPr>
            <w:tcW w:w="164" w:type="dxa"/>
            <w:tcBorders>
              <w:top w:val="single" w:sz="4" w:space="0" w:color="auto"/>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0.06</w:t>
            </w:r>
          </w:p>
        </w:tc>
        <w:tc>
          <w:tcPr>
            <w:tcW w:w="165" w:type="dxa"/>
            <w:tcBorders>
              <w:top w:val="single" w:sz="4" w:space="0" w:color="auto"/>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-0.02</w:t>
            </w:r>
          </w:p>
        </w:tc>
        <w:tc>
          <w:tcPr>
            <w:tcW w:w="164" w:type="dxa"/>
            <w:tcBorders>
              <w:top w:val="single" w:sz="4" w:space="0" w:color="auto"/>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0.11</w:t>
            </w:r>
          </w:p>
        </w:tc>
        <w:tc>
          <w:tcPr>
            <w:tcW w:w="165" w:type="dxa"/>
            <w:tcBorders>
              <w:top w:val="single" w:sz="4" w:space="0" w:color="auto"/>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-0.02</w:t>
            </w:r>
          </w:p>
        </w:tc>
        <w:tc>
          <w:tcPr>
            <w:tcW w:w="164" w:type="dxa"/>
            <w:tcBorders>
              <w:top w:val="single" w:sz="4" w:space="0" w:color="auto"/>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-0.07</w:t>
            </w:r>
          </w:p>
        </w:tc>
        <w:tc>
          <w:tcPr>
            <w:tcW w:w="165" w:type="dxa"/>
            <w:tcBorders>
              <w:top w:val="single" w:sz="4" w:space="0" w:color="auto"/>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Pr>
                <w:sz w:val="12"/>
                <w:szCs w:val="12"/>
              </w:rPr>
              <w:t>0.04</w:t>
            </w:r>
          </w:p>
        </w:tc>
        <w:tc>
          <w:tcPr>
            <w:tcW w:w="164" w:type="dxa"/>
            <w:tcBorders>
              <w:top w:val="single" w:sz="4" w:space="0" w:color="auto"/>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0.05</w:t>
            </w:r>
          </w:p>
        </w:tc>
        <w:tc>
          <w:tcPr>
            <w:tcW w:w="160" w:type="dxa"/>
            <w:vMerge w:val="restart"/>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r>
      <w:tr w:rsidR="0014564D" w:rsidRPr="00415CC5" w:rsidTr="00AD2687">
        <w:trPr>
          <w:gridAfter w:val="10"/>
          <w:wAfter w:w="1870" w:type="dxa"/>
          <w:cantSplit/>
          <w:trHeight w:val="674"/>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12.</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Pr>
                <w:sz w:val="12"/>
                <w:szCs w:val="12"/>
              </w:rPr>
              <w:t>1.00</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-0.05</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0.01</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-0.05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0.18</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0.05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0.39</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-0.31</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Pr>
                <w:sz w:val="12"/>
                <w:szCs w:val="12"/>
              </w:rPr>
              <w:t>0.20</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0.19</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r>
      <w:tr w:rsidR="0014564D" w:rsidRPr="00415CC5" w:rsidTr="00AD2687">
        <w:trPr>
          <w:gridAfter w:val="10"/>
          <w:wAfter w:w="1870" w:type="dxa"/>
          <w:cantSplit/>
          <w:trHeight w:val="629"/>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11.</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1.00</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sidRPr="000B7DA4">
              <w:rPr>
                <w:sz w:val="12"/>
                <w:szCs w:val="12"/>
              </w:rPr>
              <w:t>0.08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-0.04</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0.38</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0.21</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0.10</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0.13</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0.06</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Pr>
                <w:sz w:val="12"/>
                <w:szCs w:val="12"/>
              </w:rPr>
              <w:t>-0.03</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-0.04</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r>
      <w:tr w:rsidR="0014564D" w:rsidRPr="00415CC5" w:rsidTr="00AD2687">
        <w:trPr>
          <w:gridAfter w:val="10"/>
          <w:wAfter w:w="1870" w:type="dxa"/>
          <w:cantSplit/>
          <w:trHeight w:val="692"/>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10.</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tcPr>
          <w:p w:rsidR="0014564D" w:rsidRPr="00415CC5" w:rsidRDefault="000B7DA4" w:rsidP="00AD2687">
            <w:pPr>
              <w:ind w:left="113" w:right="113"/>
              <w:jc w:val="right"/>
              <w:rPr>
                <w:sz w:val="12"/>
                <w:szCs w:val="12"/>
              </w:rPr>
            </w:pPr>
            <w:r>
              <w:rPr>
                <w:sz w:val="12"/>
                <w:szCs w:val="12"/>
              </w:rPr>
              <w:t>1.00</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-0.19</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sidRPr="000B7DA4">
              <w:rPr>
                <w:sz w:val="12"/>
                <w:szCs w:val="12"/>
              </w:rPr>
              <w:t>-0.03</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0.03</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0.59</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-0.36</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-0.20</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-0.04</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-0.03</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0.32</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sidRPr="000B7DA4">
              <w:rPr>
                <w:sz w:val="12"/>
                <w:szCs w:val="12"/>
              </w:rPr>
              <w:t>-0.13</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-0.28</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r>
      <w:tr w:rsidR="0014564D" w:rsidRPr="00CD73C2" w:rsidTr="00AD2687">
        <w:trPr>
          <w:cantSplit/>
          <w:trHeight w:val="737"/>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9.</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1.00</w:t>
            </w:r>
          </w:p>
        </w:tc>
        <w:tc>
          <w:tcPr>
            <w:tcW w:w="164" w:type="dxa"/>
            <w:tcBorders>
              <w:top w:val="nil"/>
              <w:left w:val="nil"/>
              <w:bottom w:val="nil"/>
              <w:right w:val="nil"/>
            </w:tcBorders>
            <w:noWrap/>
            <w:textDirection w:val="btLr"/>
            <w:tcFitText/>
          </w:tcPr>
          <w:p w:rsidR="0014564D" w:rsidRPr="00415CC5" w:rsidRDefault="000B7DA4" w:rsidP="00AD2687">
            <w:pPr>
              <w:ind w:left="113" w:right="113"/>
              <w:jc w:val="right"/>
              <w:rPr>
                <w:sz w:val="12"/>
                <w:szCs w:val="12"/>
              </w:rPr>
            </w:pPr>
            <w:r w:rsidRPr="000B7DA4">
              <w:rPr>
                <w:sz w:val="12"/>
                <w:szCs w:val="12"/>
              </w:rPr>
              <w:t>-0.22</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-0.08</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sidRPr="000B7DA4">
              <w:rPr>
                <w:sz w:val="12"/>
                <w:szCs w:val="12"/>
              </w:rPr>
              <w:t>0.51</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-0.13</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-0.44</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-0.05</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0.10</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0.47</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-0.09</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0.30</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-0.47</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Pr>
                <w:sz w:val="12"/>
                <w:szCs w:val="12"/>
              </w:rPr>
              <w:t>0.24</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0.36</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22.</w:t>
            </w:r>
          </w:p>
        </w:tc>
        <w:tc>
          <w:tcPr>
            <w:tcW w:w="187" w:type="dxa"/>
            <w:tcBorders>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left w:val="nil"/>
              <w:bottom w:val="nil"/>
              <w:right w:val="nil"/>
            </w:tcBorders>
            <w:shd w:val="clear" w:color="auto" w:fill="E7E6E6" w:themeFill="background2"/>
            <w:textDirection w:val="btLr"/>
            <w:tcFitText/>
          </w:tcPr>
          <w:p w:rsidR="0014564D" w:rsidRPr="00415CC5" w:rsidRDefault="0014564D" w:rsidP="00AD2687">
            <w:pPr>
              <w:ind w:left="113" w:right="113"/>
              <w:jc w:val="right"/>
              <w:rPr>
                <w:sz w:val="12"/>
                <w:szCs w:val="12"/>
              </w:rPr>
            </w:pPr>
          </w:p>
        </w:tc>
        <w:tc>
          <w:tcPr>
            <w:tcW w:w="187" w:type="dxa"/>
            <w:tcBorders>
              <w:left w:val="nil"/>
              <w:bottom w:val="nil"/>
              <w:right w:val="nil"/>
            </w:tcBorders>
            <w:textDirection w:val="btLr"/>
            <w:tcFitText/>
          </w:tcPr>
          <w:p w:rsidR="0014564D" w:rsidRPr="00415CC5" w:rsidRDefault="0014564D" w:rsidP="00AD2687">
            <w:pPr>
              <w:ind w:left="113" w:right="113"/>
              <w:jc w:val="right"/>
              <w:rPr>
                <w:sz w:val="12"/>
                <w:szCs w:val="12"/>
              </w:rPr>
            </w:pPr>
          </w:p>
        </w:tc>
        <w:tc>
          <w:tcPr>
            <w:tcW w:w="187" w:type="dxa"/>
            <w:tcBorders>
              <w:left w:val="nil"/>
              <w:bottom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Pr>
                <w:sz w:val="12"/>
                <w:szCs w:val="12"/>
              </w:rPr>
              <w:t>1.00</w:t>
            </w:r>
          </w:p>
        </w:tc>
      </w:tr>
      <w:tr w:rsidR="0014564D" w:rsidRPr="00CD73C2" w:rsidTr="00AD2687">
        <w:trPr>
          <w:cantSplit/>
          <w:trHeight w:val="710"/>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8.</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1.00</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-0.19</w:t>
            </w:r>
          </w:p>
        </w:tc>
        <w:tc>
          <w:tcPr>
            <w:tcW w:w="164" w:type="dxa"/>
            <w:tcBorders>
              <w:top w:val="nil"/>
              <w:left w:val="nil"/>
              <w:bottom w:val="nil"/>
              <w:right w:val="nil"/>
            </w:tcBorders>
            <w:noWrap/>
            <w:textDirection w:val="btLr"/>
            <w:tcFitText/>
          </w:tcPr>
          <w:p w:rsidR="0014564D" w:rsidRPr="00415CC5" w:rsidRDefault="000B7DA4" w:rsidP="00AD2687">
            <w:pPr>
              <w:ind w:left="113" w:right="113"/>
              <w:jc w:val="right"/>
              <w:rPr>
                <w:sz w:val="12"/>
                <w:szCs w:val="12"/>
              </w:rPr>
            </w:pPr>
            <w:r w:rsidRPr="000B7DA4">
              <w:rPr>
                <w:sz w:val="12"/>
                <w:szCs w:val="12"/>
              </w:rPr>
              <w:t>0.06</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-0.33</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sidRPr="000B7DA4">
              <w:rPr>
                <w:sz w:val="12"/>
                <w:szCs w:val="12"/>
              </w:rPr>
              <w:t>-0.24</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0.18</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-0.16</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-0.15</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0.63</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-0.31</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-0.21</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-0.21</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-0.07</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Pr>
                <w:sz w:val="12"/>
                <w:szCs w:val="12"/>
              </w:rPr>
              <w:t>0.02</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0.07</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21.</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tcPr>
          <w:p w:rsidR="0014564D" w:rsidRPr="00415CC5" w:rsidRDefault="000B7DA4" w:rsidP="00AD2687">
            <w:pPr>
              <w:ind w:left="113" w:right="113"/>
              <w:jc w:val="right"/>
              <w:rPr>
                <w:sz w:val="12"/>
                <w:szCs w:val="12"/>
              </w:rPr>
            </w:pPr>
            <w:r>
              <w:rPr>
                <w:sz w:val="12"/>
                <w:szCs w:val="12"/>
              </w:rPr>
              <w:t>1.00</w:t>
            </w:r>
          </w:p>
        </w:tc>
        <w:tc>
          <w:tcPr>
            <w:tcW w:w="187" w:type="dxa"/>
            <w:tcBorders>
              <w:top w:val="nil"/>
              <w:left w:val="nil"/>
              <w:bottom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-0.20</w:t>
            </w:r>
          </w:p>
        </w:tc>
      </w:tr>
      <w:tr w:rsidR="0014564D" w:rsidRPr="00CD73C2" w:rsidTr="00AD2687">
        <w:trPr>
          <w:cantSplit/>
          <w:trHeight w:val="665"/>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7.</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1.00</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Pr>
                <w:sz w:val="12"/>
                <w:szCs w:val="12"/>
              </w:rPr>
              <w:t>0.31</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-0.44</w:t>
            </w:r>
          </w:p>
        </w:tc>
        <w:tc>
          <w:tcPr>
            <w:tcW w:w="164" w:type="dxa"/>
            <w:tcBorders>
              <w:top w:val="nil"/>
              <w:left w:val="nil"/>
              <w:bottom w:val="nil"/>
              <w:right w:val="nil"/>
            </w:tcBorders>
            <w:noWrap/>
            <w:textDirection w:val="btLr"/>
            <w:tcFitText/>
          </w:tcPr>
          <w:p w:rsidR="0014564D" w:rsidRPr="00415CC5" w:rsidRDefault="000B7DA4" w:rsidP="00AD2687">
            <w:pPr>
              <w:ind w:left="113" w:right="113"/>
              <w:jc w:val="right"/>
              <w:rPr>
                <w:sz w:val="12"/>
                <w:szCs w:val="12"/>
              </w:rPr>
            </w:pPr>
            <w:r w:rsidRPr="000B7DA4">
              <w:rPr>
                <w:sz w:val="12"/>
                <w:szCs w:val="12"/>
              </w:rPr>
              <w:t>0.43</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-0.31</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sidRPr="000B7DA4">
              <w:rPr>
                <w:sz w:val="12"/>
                <w:szCs w:val="12"/>
              </w:rPr>
              <w:t>-0.43</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-0.03</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-0.35</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0.11</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-0.26</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-0.10</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0.18</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sidRPr="000B7DA4">
              <w:rPr>
                <w:sz w:val="12"/>
                <w:szCs w:val="12"/>
              </w:rPr>
              <w:t>-0.11</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-0.12</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20.</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Pr>
                <w:sz w:val="12"/>
                <w:szCs w:val="12"/>
              </w:rPr>
              <w:t>1.00</w:t>
            </w:r>
          </w:p>
        </w:tc>
        <w:tc>
          <w:tcPr>
            <w:tcW w:w="187" w:type="dxa"/>
            <w:tcBorders>
              <w:top w:val="nil"/>
              <w:left w:val="nil"/>
              <w:bottom w:val="nil"/>
              <w:right w:val="nil"/>
            </w:tcBorders>
            <w:textDirection w:val="btLr"/>
            <w:tcFitText/>
          </w:tcPr>
          <w:p w:rsidR="0014564D" w:rsidRPr="00415CC5" w:rsidRDefault="000B7DA4" w:rsidP="00AD2687">
            <w:pPr>
              <w:ind w:left="113" w:right="113"/>
              <w:jc w:val="right"/>
              <w:rPr>
                <w:sz w:val="12"/>
                <w:szCs w:val="12"/>
              </w:rPr>
            </w:pPr>
            <w:r w:rsidRPr="000B7DA4">
              <w:rPr>
                <w:sz w:val="12"/>
                <w:szCs w:val="12"/>
              </w:rPr>
              <w:t>-0.66</w:t>
            </w:r>
          </w:p>
        </w:tc>
        <w:tc>
          <w:tcPr>
            <w:tcW w:w="187" w:type="dxa"/>
            <w:tcBorders>
              <w:top w:val="nil"/>
              <w:left w:val="nil"/>
              <w:bottom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-0.61</w:t>
            </w:r>
          </w:p>
        </w:tc>
      </w:tr>
      <w:tr w:rsidR="0014564D" w:rsidRPr="00CD73C2" w:rsidTr="00AD2687">
        <w:trPr>
          <w:cantSplit/>
          <w:trHeight w:val="701"/>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6.</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Pr>
                <w:sz w:val="12"/>
                <w:szCs w:val="12"/>
              </w:rPr>
              <w:t>1.00</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0.38</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-0.28</w:t>
            </w:r>
          </w:p>
        </w:tc>
        <w:tc>
          <w:tcPr>
            <w:tcW w:w="164" w:type="dxa"/>
            <w:tcBorders>
              <w:top w:val="nil"/>
              <w:left w:val="nil"/>
              <w:bottom w:val="nil"/>
              <w:right w:val="nil"/>
            </w:tcBorders>
            <w:noWrap/>
            <w:textDirection w:val="btLr"/>
            <w:tcFitText/>
          </w:tcPr>
          <w:p w:rsidR="0014564D" w:rsidRPr="00415CC5" w:rsidRDefault="000B7DA4" w:rsidP="00AD2687">
            <w:pPr>
              <w:ind w:left="113" w:right="113"/>
              <w:jc w:val="right"/>
              <w:rPr>
                <w:sz w:val="12"/>
                <w:szCs w:val="12"/>
              </w:rPr>
            </w:pPr>
            <w:r>
              <w:rPr>
                <w:sz w:val="12"/>
                <w:szCs w:val="12"/>
              </w:rPr>
              <w:t>0.38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-0.13</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sidRPr="000B7DA4">
              <w:rPr>
                <w:sz w:val="12"/>
                <w:szCs w:val="12"/>
              </w:rPr>
              <w:t>-0.28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0.04</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0.43</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-0.19</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-0.27</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0.11</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0.03</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-0.29</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0.47</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sidRPr="000B7DA4">
              <w:rPr>
                <w:sz w:val="12"/>
                <w:szCs w:val="12"/>
              </w:rPr>
              <w:t>-0.17</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-0.43</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19.</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0B7DA4" w:rsidP="00AD2687">
            <w:pPr>
              <w:ind w:left="113" w:right="113"/>
              <w:jc w:val="right"/>
              <w:rPr>
                <w:sz w:val="12"/>
                <w:szCs w:val="12"/>
              </w:rPr>
            </w:pPr>
            <w:r>
              <w:rPr>
                <w:sz w:val="12"/>
                <w:szCs w:val="12"/>
              </w:rPr>
              <w:t>1.00</w:t>
            </w:r>
          </w:p>
        </w:tc>
        <w:tc>
          <w:tcPr>
            <w:tcW w:w="187" w:type="dxa"/>
            <w:tcBorders>
              <w:top w:val="nil"/>
              <w:left w:val="nil"/>
              <w:bottom w:val="nil"/>
              <w:right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-0.16</w:t>
            </w:r>
          </w:p>
        </w:tc>
        <w:tc>
          <w:tcPr>
            <w:tcW w:w="187" w:type="dxa"/>
            <w:tcBorders>
              <w:top w:val="nil"/>
              <w:left w:val="nil"/>
              <w:bottom w:val="nil"/>
              <w:right w:val="nil"/>
            </w:tcBorders>
            <w:textDirection w:val="btLr"/>
            <w:tcFitText/>
          </w:tcPr>
          <w:p w:rsidR="0014564D" w:rsidRPr="00415CC5" w:rsidRDefault="000B7DA4" w:rsidP="00AD2687">
            <w:pPr>
              <w:ind w:left="113" w:right="113"/>
              <w:jc w:val="right"/>
              <w:rPr>
                <w:sz w:val="12"/>
                <w:szCs w:val="12"/>
              </w:rPr>
            </w:pPr>
            <w:r w:rsidRPr="000B7DA4">
              <w:rPr>
                <w:sz w:val="12"/>
                <w:szCs w:val="12"/>
              </w:rPr>
              <w:t>-0.01</w:t>
            </w:r>
          </w:p>
        </w:tc>
        <w:tc>
          <w:tcPr>
            <w:tcW w:w="187" w:type="dxa"/>
            <w:tcBorders>
              <w:top w:val="nil"/>
              <w:left w:val="nil"/>
              <w:bottom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0.22</w:t>
            </w:r>
          </w:p>
        </w:tc>
      </w:tr>
      <w:tr w:rsidR="0014564D" w:rsidRPr="00CD73C2" w:rsidTr="00AD2687">
        <w:trPr>
          <w:cantSplit/>
          <w:trHeight w:val="656"/>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5.</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1.00</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0.33</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0.45</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-0.45</w:t>
            </w:r>
          </w:p>
        </w:tc>
        <w:tc>
          <w:tcPr>
            <w:tcW w:w="164" w:type="dxa"/>
            <w:tcBorders>
              <w:top w:val="nil"/>
              <w:left w:val="nil"/>
              <w:bottom w:val="nil"/>
              <w:right w:val="nil"/>
            </w:tcBorders>
            <w:noWrap/>
            <w:textDirection w:val="btLr"/>
            <w:tcFitText/>
          </w:tcPr>
          <w:p w:rsidR="0014564D" w:rsidRPr="00415CC5" w:rsidRDefault="000B7DA4" w:rsidP="00AD2687">
            <w:pPr>
              <w:ind w:left="113" w:right="113"/>
              <w:jc w:val="right"/>
              <w:rPr>
                <w:sz w:val="12"/>
                <w:szCs w:val="12"/>
              </w:rPr>
            </w:pPr>
            <w:r w:rsidRPr="000B7DA4">
              <w:rPr>
                <w:sz w:val="12"/>
                <w:szCs w:val="12"/>
              </w:rPr>
              <w:t>0.26</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-0.37</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sidRPr="000B7DA4">
              <w:rPr>
                <w:sz w:val="12"/>
                <w:szCs w:val="12"/>
              </w:rPr>
              <w:t>-0.42</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0.16</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0.11</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r w:rsidRPr="000B7DA4">
              <w:rPr>
                <w:sz w:val="12"/>
                <w:szCs w:val="12"/>
              </w:rPr>
              <w:t>-0.0001</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0.32</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-0.42</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-0.11</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-0.29</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0.35</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Pr>
                <w:sz w:val="12"/>
                <w:szCs w:val="12"/>
              </w:rPr>
              <w:t>-0.08</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-0.37</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18.</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0B7DA4" w:rsidP="00AD2687">
            <w:pPr>
              <w:ind w:left="113" w:right="113"/>
              <w:jc w:val="right"/>
              <w:rPr>
                <w:sz w:val="12"/>
                <w:szCs w:val="12"/>
              </w:rPr>
            </w:pPr>
            <w:r w:rsidRPr="000B7DA4">
              <w:rPr>
                <w:sz w:val="12"/>
                <w:szCs w:val="12"/>
              </w:rPr>
              <w:t>1.00</w:t>
            </w:r>
          </w:p>
        </w:tc>
        <w:tc>
          <w:tcPr>
            <w:tcW w:w="187" w:type="dxa"/>
            <w:tcBorders>
              <w:top w:val="nil"/>
              <w:left w:val="nil"/>
              <w:bottom w:val="nil"/>
              <w:right w:val="nil"/>
            </w:tcBorders>
            <w:textDirection w:val="btLr"/>
            <w:tcFitText/>
            <w:vAlign w:val="bottom"/>
          </w:tcPr>
          <w:p w:rsidR="0014564D" w:rsidRPr="00415CC5" w:rsidRDefault="000B7DA4" w:rsidP="00AD2687">
            <w:pPr>
              <w:ind w:left="113" w:right="113"/>
              <w:jc w:val="right"/>
              <w:rPr>
                <w:sz w:val="12"/>
                <w:szCs w:val="12"/>
              </w:rPr>
            </w:pPr>
            <w:r w:rsidRPr="000B7DA4">
              <w:rPr>
                <w:sz w:val="12"/>
                <w:szCs w:val="12"/>
              </w:rPr>
              <w:t>-0.04</w:t>
            </w:r>
          </w:p>
        </w:tc>
        <w:tc>
          <w:tcPr>
            <w:tcW w:w="187" w:type="dxa"/>
            <w:tcBorders>
              <w:top w:val="nil"/>
              <w:left w:val="nil"/>
              <w:bottom w:val="nil"/>
              <w:right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-0.04</w:t>
            </w:r>
          </w:p>
        </w:tc>
        <w:tc>
          <w:tcPr>
            <w:tcW w:w="187" w:type="dxa"/>
            <w:tcBorders>
              <w:top w:val="nil"/>
              <w:left w:val="nil"/>
              <w:bottom w:val="nil"/>
              <w:right w:val="nil"/>
            </w:tcBorders>
            <w:textDirection w:val="btLr"/>
            <w:tcFitText/>
          </w:tcPr>
          <w:p w:rsidR="0014564D" w:rsidRPr="00415CC5" w:rsidRDefault="000B7DA4" w:rsidP="00AD2687">
            <w:pPr>
              <w:ind w:left="113" w:right="113"/>
              <w:jc w:val="right"/>
              <w:rPr>
                <w:sz w:val="12"/>
                <w:szCs w:val="12"/>
              </w:rPr>
            </w:pPr>
            <w:r>
              <w:rPr>
                <w:sz w:val="12"/>
                <w:szCs w:val="12"/>
              </w:rPr>
              <w:t>0.12</w:t>
            </w:r>
          </w:p>
        </w:tc>
        <w:tc>
          <w:tcPr>
            <w:tcW w:w="187" w:type="dxa"/>
            <w:tcBorders>
              <w:top w:val="nil"/>
              <w:left w:val="nil"/>
              <w:bottom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Pr>
                <w:sz w:val="12"/>
                <w:szCs w:val="12"/>
              </w:rPr>
              <w:t>-0.08</w:t>
            </w:r>
          </w:p>
        </w:tc>
      </w:tr>
      <w:tr w:rsidR="0014564D" w:rsidRPr="00CD73C2" w:rsidTr="00AD2687">
        <w:trPr>
          <w:cantSplit/>
          <w:trHeight w:val="701"/>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4.</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1.00</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0.42</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Pr>
                <w:sz w:val="12"/>
                <w:szCs w:val="12"/>
              </w:rPr>
              <w:t>0.42</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0.61</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-0.38</w:t>
            </w:r>
          </w:p>
        </w:tc>
        <w:tc>
          <w:tcPr>
            <w:tcW w:w="164" w:type="dxa"/>
            <w:tcBorders>
              <w:top w:val="nil"/>
              <w:left w:val="nil"/>
              <w:bottom w:val="nil"/>
              <w:right w:val="nil"/>
            </w:tcBorders>
            <w:noWrap/>
            <w:textDirection w:val="btLr"/>
            <w:tcFitText/>
          </w:tcPr>
          <w:p w:rsidR="0014564D" w:rsidRPr="00415CC5" w:rsidRDefault="000B7DA4" w:rsidP="00AD2687">
            <w:pPr>
              <w:ind w:left="113" w:right="113"/>
              <w:jc w:val="right"/>
              <w:rPr>
                <w:sz w:val="12"/>
                <w:szCs w:val="12"/>
              </w:rPr>
            </w:pPr>
            <w:r w:rsidRPr="000B7DA4">
              <w:rPr>
                <w:sz w:val="12"/>
                <w:szCs w:val="12"/>
              </w:rPr>
              <w:t>0.44</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-0.22</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Pr>
                <w:sz w:val="12"/>
                <w:szCs w:val="12"/>
              </w:rPr>
              <w:t>-0.35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0.11</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-0.29</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-0.14</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-0.13</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-0.22</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-0.07</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0.42</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sidRPr="000B7DA4">
              <w:rPr>
                <w:sz w:val="12"/>
                <w:szCs w:val="12"/>
              </w:rPr>
              <w:t>-0.20</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-0.34</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17.</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0B7DA4" w:rsidP="00AD2687">
            <w:pPr>
              <w:ind w:left="113" w:right="113"/>
              <w:jc w:val="right"/>
              <w:rPr>
                <w:sz w:val="12"/>
                <w:szCs w:val="12"/>
              </w:rPr>
            </w:pPr>
            <w:r>
              <w:rPr>
                <w:sz w:val="12"/>
                <w:szCs w:val="12"/>
              </w:rPr>
              <w:t>1.00</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0B7DA4" w:rsidP="00AD2687">
            <w:pPr>
              <w:ind w:left="113" w:right="113"/>
              <w:jc w:val="right"/>
              <w:rPr>
                <w:sz w:val="12"/>
                <w:szCs w:val="12"/>
              </w:rPr>
            </w:pPr>
            <w:r w:rsidRPr="000B7DA4">
              <w:rPr>
                <w:sz w:val="12"/>
                <w:szCs w:val="12"/>
              </w:rPr>
              <w:t>-0.07</w:t>
            </w:r>
          </w:p>
        </w:tc>
        <w:tc>
          <w:tcPr>
            <w:tcW w:w="187" w:type="dxa"/>
            <w:tcBorders>
              <w:top w:val="nil"/>
              <w:left w:val="nil"/>
              <w:bottom w:val="nil"/>
              <w:right w:val="nil"/>
            </w:tcBorders>
            <w:textDirection w:val="btLr"/>
            <w:tcFitText/>
            <w:vAlign w:val="bottom"/>
          </w:tcPr>
          <w:p w:rsidR="0014564D" w:rsidRPr="00415CC5" w:rsidRDefault="000B7DA4" w:rsidP="00AD2687">
            <w:pPr>
              <w:ind w:left="113" w:right="113"/>
              <w:jc w:val="right"/>
              <w:rPr>
                <w:sz w:val="12"/>
                <w:szCs w:val="12"/>
              </w:rPr>
            </w:pPr>
            <w:r w:rsidRPr="000B7DA4">
              <w:rPr>
                <w:sz w:val="12"/>
                <w:szCs w:val="12"/>
              </w:rPr>
              <w:t>-0.07</w:t>
            </w:r>
          </w:p>
        </w:tc>
        <w:tc>
          <w:tcPr>
            <w:tcW w:w="187" w:type="dxa"/>
            <w:tcBorders>
              <w:top w:val="nil"/>
              <w:left w:val="nil"/>
              <w:bottom w:val="nil"/>
              <w:right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-0.31</w:t>
            </w:r>
          </w:p>
        </w:tc>
        <w:tc>
          <w:tcPr>
            <w:tcW w:w="187" w:type="dxa"/>
            <w:tcBorders>
              <w:top w:val="nil"/>
              <w:left w:val="nil"/>
              <w:bottom w:val="nil"/>
              <w:right w:val="nil"/>
            </w:tcBorders>
            <w:textDirection w:val="btLr"/>
            <w:tcFitText/>
          </w:tcPr>
          <w:p w:rsidR="0014564D" w:rsidRPr="00415CC5" w:rsidRDefault="000B7DA4" w:rsidP="00AD2687">
            <w:pPr>
              <w:ind w:left="113" w:right="113"/>
              <w:jc w:val="right"/>
              <w:rPr>
                <w:sz w:val="12"/>
                <w:szCs w:val="12"/>
              </w:rPr>
            </w:pPr>
            <w:r>
              <w:rPr>
                <w:sz w:val="12"/>
                <w:szCs w:val="12"/>
              </w:rPr>
              <w:t>0.27</w:t>
            </w:r>
          </w:p>
        </w:tc>
        <w:tc>
          <w:tcPr>
            <w:tcW w:w="187" w:type="dxa"/>
            <w:tcBorders>
              <w:top w:val="nil"/>
              <w:left w:val="nil"/>
              <w:bottom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Pr>
                <w:sz w:val="12"/>
                <w:szCs w:val="12"/>
              </w:rPr>
              <w:t>0.11</w:t>
            </w:r>
          </w:p>
        </w:tc>
      </w:tr>
      <w:tr w:rsidR="0014564D" w:rsidRPr="00CD73C2" w:rsidTr="00AD2687">
        <w:trPr>
          <w:cantSplit/>
          <w:trHeight w:val="746"/>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3.</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1.00</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Pr>
                <w:sz w:val="12"/>
                <w:szCs w:val="12"/>
              </w:rPr>
              <w:t>0.68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0.55</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0.73</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0.59</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0.12</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-0.56</w:t>
            </w:r>
          </w:p>
        </w:tc>
        <w:tc>
          <w:tcPr>
            <w:tcW w:w="164" w:type="dxa"/>
            <w:tcBorders>
              <w:top w:val="nil"/>
              <w:left w:val="nil"/>
              <w:bottom w:val="nil"/>
              <w:right w:val="nil"/>
            </w:tcBorders>
            <w:noWrap/>
            <w:textDirection w:val="btLr"/>
            <w:tcFitText/>
          </w:tcPr>
          <w:p w:rsidR="0014564D" w:rsidRPr="00415CC5" w:rsidRDefault="000B7DA4" w:rsidP="00AD2687">
            <w:pPr>
              <w:ind w:left="113" w:right="113"/>
              <w:jc w:val="right"/>
              <w:rPr>
                <w:sz w:val="12"/>
                <w:szCs w:val="12"/>
              </w:rPr>
            </w:pPr>
            <w:r>
              <w:rPr>
                <w:sz w:val="12"/>
                <w:szCs w:val="12"/>
              </w:rPr>
              <w:t>0.58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-0.09</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sidRPr="000B7DA4">
              <w:rPr>
                <w:sz w:val="12"/>
                <w:szCs w:val="12"/>
              </w:rPr>
              <w:t>-0.44</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0.10</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0.67</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-0.17</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-0.30</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-0.21</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-0.06</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-0.24</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Pr>
                <w:sz w:val="12"/>
                <w:szCs w:val="12"/>
              </w:rPr>
              <w:t>0.60</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sidRPr="000B7DA4">
              <w:rPr>
                <w:sz w:val="12"/>
                <w:szCs w:val="12"/>
              </w:rPr>
              <w:t>-0.18</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-0.59</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16.</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0B7DA4" w:rsidP="00AD2687">
            <w:pPr>
              <w:ind w:left="113" w:right="113"/>
              <w:jc w:val="right"/>
              <w:rPr>
                <w:sz w:val="12"/>
                <w:szCs w:val="12"/>
              </w:rPr>
            </w:pPr>
            <w:r w:rsidRPr="000B7DA4">
              <w:rPr>
                <w:sz w:val="12"/>
                <w:szCs w:val="12"/>
              </w:rPr>
              <w:t>1.00</w:t>
            </w:r>
          </w:p>
        </w:tc>
        <w:tc>
          <w:tcPr>
            <w:tcW w:w="187" w:type="dxa"/>
            <w:tcBorders>
              <w:top w:val="nil"/>
              <w:left w:val="nil"/>
              <w:bottom w:val="nil"/>
              <w:right w:val="nil"/>
            </w:tcBorders>
            <w:textDirection w:val="btLr"/>
            <w:tcFitText/>
            <w:vAlign w:val="bottom"/>
          </w:tcPr>
          <w:p w:rsidR="0014564D" w:rsidRPr="00415CC5" w:rsidRDefault="000B7DA4" w:rsidP="00AD2687">
            <w:pPr>
              <w:ind w:left="113" w:right="113"/>
              <w:jc w:val="right"/>
              <w:rPr>
                <w:sz w:val="12"/>
                <w:szCs w:val="12"/>
              </w:rPr>
            </w:pPr>
            <w:r w:rsidRPr="000B7DA4">
              <w:rPr>
                <w:sz w:val="12"/>
                <w:szCs w:val="12"/>
              </w:rPr>
              <w:t>-0.24</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0B7DA4" w:rsidP="00AD2687">
            <w:pPr>
              <w:ind w:left="113" w:right="113"/>
              <w:jc w:val="right"/>
              <w:rPr>
                <w:sz w:val="12"/>
                <w:szCs w:val="12"/>
              </w:rPr>
            </w:pPr>
            <w:r w:rsidRPr="000B7DA4">
              <w:rPr>
                <w:sz w:val="12"/>
                <w:szCs w:val="12"/>
              </w:rPr>
              <w:t>-0.14</w:t>
            </w:r>
          </w:p>
        </w:tc>
        <w:tc>
          <w:tcPr>
            <w:tcW w:w="187" w:type="dxa"/>
            <w:tcBorders>
              <w:top w:val="nil"/>
              <w:left w:val="nil"/>
              <w:bottom w:val="nil"/>
              <w:right w:val="nil"/>
            </w:tcBorders>
            <w:textDirection w:val="btLr"/>
            <w:tcFitText/>
            <w:vAlign w:val="bottom"/>
          </w:tcPr>
          <w:p w:rsidR="0014564D" w:rsidRPr="00415CC5" w:rsidRDefault="000B7DA4" w:rsidP="00AD2687">
            <w:pPr>
              <w:ind w:left="113" w:right="113"/>
              <w:jc w:val="right"/>
              <w:rPr>
                <w:sz w:val="12"/>
                <w:szCs w:val="12"/>
              </w:rPr>
            </w:pPr>
            <w:r w:rsidRPr="000B7DA4">
              <w:rPr>
                <w:sz w:val="12"/>
                <w:szCs w:val="12"/>
              </w:rPr>
              <w:t>-0.15</w:t>
            </w:r>
          </w:p>
        </w:tc>
        <w:tc>
          <w:tcPr>
            <w:tcW w:w="187" w:type="dxa"/>
            <w:tcBorders>
              <w:top w:val="nil"/>
              <w:left w:val="nil"/>
              <w:bottom w:val="nil"/>
              <w:right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-0.31</w:t>
            </w:r>
          </w:p>
        </w:tc>
        <w:tc>
          <w:tcPr>
            <w:tcW w:w="187" w:type="dxa"/>
            <w:tcBorders>
              <w:top w:val="nil"/>
              <w:left w:val="nil"/>
              <w:bottom w:val="nil"/>
              <w:right w:val="nil"/>
            </w:tcBorders>
            <w:textDirection w:val="btLr"/>
            <w:tcFitText/>
          </w:tcPr>
          <w:p w:rsidR="0014564D" w:rsidRPr="00415CC5" w:rsidRDefault="000B7DA4" w:rsidP="00AD2687">
            <w:pPr>
              <w:ind w:left="113" w:right="113"/>
              <w:jc w:val="right"/>
              <w:rPr>
                <w:sz w:val="12"/>
                <w:szCs w:val="12"/>
              </w:rPr>
            </w:pPr>
            <w:r w:rsidRPr="000B7DA4">
              <w:rPr>
                <w:sz w:val="12"/>
                <w:szCs w:val="12"/>
              </w:rPr>
              <w:t>0.19</w:t>
            </w:r>
          </w:p>
        </w:tc>
        <w:tc>
          <w:tcPr>
            <w:tcW w:w="187" w:type="dxa"/>
            <w:tcBorders>
              <w:top w:val="nil"/>
              <w:left w:val="nil"/>
              <w:bottom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Pr>
                <w:sz w:val="12"/>
                <w:szCs w:val="12"/>
              </w:rPr>
              <w:t>0.20</w:t>
            </w:r>
          </w:p>
        </w:tc>
      </w:tr>
      <w:tr w:rsidR="0014564D" w:rsidRPr="00CD73C2" w:rsidTr="00AD2687">
        <w:trPr>
          <w:cantSplit/>
          <w:trHeight w:val="692"/>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2.</w:t>
            </w: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Pr>
                <w:sz w:val="12"/>
                <w:szCs w:val="12"/>
              </w:rPr>
              <w:t>1.00</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-0.54</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-0.46</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-0.53</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-0.65</w:t>
            </w:r>
          </w:p>
        </w:tc>
        <w:tc>
          <w:tcPr>
            <w:tcW w:w="164" w:type="dxa"/>
            <w:tcBorders>
              <w:top w:val="nil"/>
              <w:left w:val="nil"/>
              <w:bottom w:val="nil"/>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-0.52</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0.53</w:t>
            </w:r>
          </w:p>
        </w:tc>
        <w:tc>
          <w:tcPr>
            <w:tcW w:w="164" w:type="dxa"/>
            <w:tcBorders>
              <w:top w:val="nil"/>
              <w:left w:val="nil"/>
              <w:bottom w:val="nil"/>
              <w:right w:val="nil"/>
            </w:tcBorders>
            <w:noWrap/>
            <w:textDirection w:val="btLr"/>
            <w:tcFitText/>
          </w:tcPr>
          <w:p w:rsidR="0014564D" w:rsidRPr="00415CC5" w:rsidRDefault="000B7DA4" w:rsidP="00AD2687">
            <w:pPr>
              <w:ind w:left="113" w:right="113"/>
              <w:jc w:val="right"/>
              <w:rPr>
                <w:sz w:val="12"/>
                <w:szCs w:val="12"/>
              </w:rPr>
            </w:pPr>
            <w:r>
              <w:rPr>
                <w:sz w:val="12"/>
                <w:szCs w:val="12"/>
              </w:rPr>
              <w:t>-0.35</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0.28</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44" w:right="115"/>
              <w:jc w:val="right"/>
              <w:rPr>
                <w:sz w:val="12"/>
                <w:szCs w:val="12"/>
              </w:rPr>
            </w:pPr>
            <w:r w:rsidRPr="000B7DA4">
              <w:rPr>
                <w:sz w:val="12"/>
                <w:szCs w:val="12"/>
              </w:rPr>
              <w:t>0.51</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-0.11</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Pr>
                <w:sz w:val="12"/>
                <w:szCs w:val="12"/>
              </w:rPr>
              <w:t>-0.38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0.39</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0.44</w:t>
            </w: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0.08</w:t>
            </w: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0.16</w:t>
            </w:r>
          </w:p>
        </w:tc>
        <w:tc>
          <w:tcPr>
            <w:tcW w:w="164" w:type="dxa"/>
            <w:tcBorders>
              <w:top w:val="nil"/>
              <w:left w:val="nil"/>
              <w:bottom w:val="nil"/>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-0.22</w:t>
            </w:r>
          </w:p>
        </w:tc>
        <w:tc>
          <w:tcPr>
            <w:tcW w:w="165" w:type="dxa"/>
            <w:tcBorders>
              <w:top w:val="nil"/>
              <w:left w:val="nil"/>
              <w:bottom w:val="nil"/>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sidRPr="000B7DA4">
              <w:rPr>
                <w:sz w:val="12"/>
                <w:szCs w:val="12"/>
              </w:rPr>
              <w:t>0.08</w:t>
            </w:r>
          </w:p>
        </w:tc>
        <w:tc>
          <w:tcPr>
            <w:tcW w:w="164" w:type="dxa"/>
            <w:tcBorders>
              <w:top w:val="nil"/>
              <w:left w:val="nil"/>
              <w:bottom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0.20</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15.</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14564D" w:rsidP="00AD2687">
            <w:pPr>
              <w:ind w:left="113" w:right="113"/>
              <w:jc w:val="right"/>
              <w:rPr>
                <w:sz w:val="12"/>
                <w:szCs w:val="12"/>
              </w:rPr>
            </w:pPr>
          </w:p>
        </w:tc>
        <w:tc>
          <w:tcPr>
            <w:tcW w:w="187" w:type="dxa"/>
            <w:tcBorders>
              <w:top w:val="nil"/>
              <w:left w:val="nil"/>
              <w:bottom w:val="nil"/>
              <w:right w:val="nil"/>
            </w:tcBorders>
            <w:textDirection w:val="btLr"/>
            <w:tcFitText/>
            <w:vAlign w:val="bottom"/>
          </w:tcPr>
          <w:p w:rsidR="0014564D" w:rsidRPr="00415CC5" w:rsidRDefault="000B7DA4" w:rsidP="00AD2687">
            <w:pPr>
              <w:ind w:left="113" w:right="113"/>
              <w:jc w:val="right"/>
              <w:rPr>
                <w:sz w:val="12"/>
                <w:szCs w:val="12"/>
              </w:rPr>
            </w:pPr>
            <w:r>
              <w:rPr>
                <w:sz w:val="12"/>
                <w:szCs w:val="12"/>
              </w:rPr>
              <w:t>1.00</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0B7DA4" w:rsidP="00AD2687">
            <w:pPr>
              <w:ind w:left="113" w:right="113"/>
              <w:jc w:val="right"/>
              <w:rPr>
                <w:sz w:val="12"/>
                <w:szCs w:val="12"/>
              </w:rPr>
            </w:pPr>
            <w:r>
              <w:rPr>
                <w:sz w:val="12"/>
                <w:szCs w:val="12"/>
              </w:rPr>
              <w:t>-0.28</w:t>
            </w:r>
          </w:p>
        </w:tc>
        <w:tc>
          <w:tcPr>
            <w:tcW w:w="187" w:type="dxa"/>
            <w:tcBorders>
              <w:top w:val="nil"/>
              <w:left w:val="nil"/>
              <w:bottom w:val="nil"/>
              <w:right w:val="nil"/>
            </w:tcBorders>
            <w:textDirection w:val="btLr"/>
            <w:tcFitText/>
            <w:vAlign w:val="bottom"/>
          </w:tcPr>
          <w:p w:rsidR="0014564D" w:rsidRPr="00415CC5" w:rsidRDefault="000B7DA4" w:rsidP="00AD2687">
            <w:pPr>
              <w:ind w:left="113" w:right="113"/>
              <w:jc w:val="right"/>
              <w:rPr>
                <w:sz w:val="12"/>
                <w:szCs w:val="12"/>
              </w:rPr>
            </w:pPr>
            <w:r>
              <w:rPr>
                <w:sz w:val="12"/>
                <w:szCs w:val="12"/>
              </w:rPr>
              <w:t xml:space="preserve">  -0.13</w:t>
            </w:r>
          </w:p>
        </w:tc>
        <w:tc>
          <w:tcPr>
            <w:tcW w:w="187" w:type="dxa"/>
            <w:tcBorders>
              <w:top w:val="nil"/>
              <w:left w:val="nil"/>
              <w:bottom w:val="nil"/>
              <w:right w:val="nil"/>
            </w:tcBorders>
            <w:shd w:val="clear" w:color="auto" w:fill="E7E6E6" w:themeFill="background2"/>
            <w:textDirection w:val="btLr"/>
            <w:tcFitText/>
            <w:vAlign w:val="bottom"/>
          </w:tcPr>
          <w:p w:rsidR="0014564D" w:rsidRPr="00415CC5" w:rsidRDefault="000B7DA4" w:rsidP="00AD2687">
            <w:pPr>
              <w:ind w:left="113" w:right="113"/>
              <w:jc w:val="right"/>
              <w:rPr>
                <w:sz w:val="12"/>
                <w:szCs w:val="12"/>
              </w:rPr>
            </w:pPr>
            <w:r w:rsidRPr="000B7DA4">
              <w:rPr>
                <w:sz w:val="12"/>
                <w:szCs w:val="12"/>
              </w:rPr>
              <w:t>-0.08</w:t>
            </w:r>
          </w:p>
        </w:tc>
        <w:tc>
          <w:tcPr>
            <w:tcW w:w="187" w:type="dxa"/>
            <w:tcBorders>
              <w:top w:val="nil"/>
              <w:left w:val="nil"/>
              <w:bottom w:val="nil"/>
              <w:right w:val="nil"/>
            </w:tcBorders>
            <w:textDirection w:val="btLr"/>
            <w:tcFitText/>
            <w:vAlign w:val="bottom"/>
          </w:tcPr>
          <w:p w:rsidR="0014564D" w:rsidRPr="00415CC5" w:rsidRDefault="000B7DA4" w:rsidP="00AD2687">
            <w:pPr>
              <w:ind w:left="113" w:right="113"/>
              <w:jc w:val="right"/>
              <w:rPr>
                <w:sz w:val="12"/>
                <w:szCs w:val="12"/>
              </w:rPr>
            </w:pPr>
            <w:r>
              <w:rPr>
                <w:sz w:val="12"/>
                <w:szCs w:val="12"/>
              </w:rPr>
              <w:t>-0.08</w:t>
            </w:r>
          </w:p>
        </w:tc>
        <w:tc>
          <w:tcPr>
            <w:tcW w:w="187" w:type="dxa"/>
            <w:tcBorders>
              <w:top w:val="nil"/>
              <w:left w:val="nil"/>
              <w:bottom w:val="nil"/>
              <w:right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0.09</w:t>
            </w:r>
          </w:p>
        </w:tc>
        <w:tc>
          <w:tcPr>
            <w:tcW w:w="187" w:type="dxa"/>
            <w:tcBorders>
              <w:top w:val="nil"/>
              <w:left w:val="nil"/>
              <w:bottom w:val="nil"/>
              <w:right w:val="nil"/>
            </w:tcBorders>
            <w:textDirection w:val="btLr"/>
            <w:tcFitText/>
          </w:tcPr>
          <w:p w:rsidR="0014564D" w:rsidRPr="00415CC5" w:rsidRDefault="000B7DA4" w:rsidP="00AD2687">
            <w:pPr>
              <w:ind w:left="113" w:right="113"/>
              <w:jc w:val="right"/>
              <w:rPr>
                <w:sz w:val="12"/>
                <w:szCs w:val="12"/>
              </w:rPr>
            </w:pPr>
            <w:r w:rsidRPr="000B7DA4">
              <w:rPr>
                <w:sz w:val="12"/>
                <w:szCs w:val="12"/>
              </w:rPr>
              <w:t>-0.09</w:t>
            </w:r>
          </w:p>
        </w:tc>
        <w:tc>
          <w:tcPr>
            <w:tcW w:w="187" w:type="dxa"/>
            <w:tcBorders>
              <w:top w:val="nil"/>
              <w:left w:val="nil"/>
              <w:bottom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-0.02</w:t>
            </w:r>
          </w:p>
        </w:tc>
      </w:tr>
      <w:tr w:rsidR="0014564D" w:rsidRPr="00CD73C2" w:rsidTr="00AD2687">
        <w:trPr>
          <w:cantSplit/>
          <w:trHeight w:val="746"/>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w:t>
            </w:r>
          </w:p>
        </w:tc>
        <w:tc>
          <w:tcPr>
            <w:tcW w:w="165" w:type="dxa"/>
            <w:tcBorders>
              <w:top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1.00</w:t>
            </w:r>
          </w:p>
        </w:tc>
        <w:tc>
          <w:tcPr>
            <w:tcW w:w="164" w:type="dxa"/>
            <w:tcBorders>
              <w:top w:val="nil"/>
              <w:left w:val="nil"/>
              <w:bottom w:val="single" w:sz="4" w:space="0" w:color="auto"/>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0.14</w:t>
            </w:r>
          </w:p>
        </w:tc>
        <w:tc>
          <w:tcPr>
            <w:tcW w:w="165" w:type="dxa"/>
            <w:tcBorders>
              <w:top w:val="nil"/>
              <w:left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-0.13</w:t>
            </w:r>
          </w:p>
        </w:tc>
        <w:tc>
          <w:tcPr>
            <w:tcW w:w="164" w:type="dxa"/>
            <w:tcBorders>
              <w:top w:val="nil"/>
              <w:left w:val="nil"/>
              <w:bottom w:val="single" w:sz="4" w:space="0" w:color="auto"/>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-0.12</w:t>
            </w:r>
          </w:p>
        </w:tc>
        <w:tc>
          <w:tcPr>
            <w:tcW w:w="165" w:type="dxa"/>
            <w:tcBorders>
              <w:top w:val="nil"/>
              <w:left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0.17</w:t>
            </w:r>
          </w:p>
        </w:tc>
        <w:tc>
          <w:tcPr>
            <w:tcW w:w="164" w:type="dxa"/>
            <w:tcBorders>
              <w:top w:val="nil"/>
              <w:left w:val="nil"/>
              <w:bottom w:val="single" w:sz="4" w:space="0" w:color="auto"/>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0.05</w:t>
            </w:r>
          </w:p>
        </w:tc>
        <w:tc>
          <w:tcPr>
            <w:tcW w:w="165" w:type="dxa"/>
            <w:tcBorders>
              <w:top w:val="nil"/>
              <w:left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-0.003</w:t>
            </w:r>
          </w:p>
        </w:tc>
        <w:tc>
          <w:tcPr>
            <w:tcW w:w="164" w:type="dxa"/>
            <w:tcBorders>
              <w:top w:val="nil"/>
              <w:left w:val="nil"/>
              <w:bottom w:val="single" w:sz="4" w:space="0" w:color="auto"/>
              <w:right w:val="nil"/>
            </w:tcBorders>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0.18</w:t>
            </w:r>
          </w:p>
        </w:tc>
        <w:tc>
          <w:tcPr>
            <w:tcW w:w="165" w:type="dxa"/>
            <w:tcBorders>
              <w:top w:val="nil"/>
              <w:left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0.41</w:t>
            </w:r>
          </w:p>
        </w:tc>
        <w:tc>
          <w:tcPr>
            <w:tcW w:w="164" w:type="dxa"/>
            <w:tcBorders>
              <w:top w:val="nil"/>
              <w:left w:val="nil"/>
              <w:bottom w:val="single" w:sz="4" w:space="0" w:color="auto"/>
              <w:right w:val="nil"/>
            </w:tcBorders>
            <w:noWrap/>
            <w:textDirection w:val="btLr"/>
            <w:tcFitText/>
          </w:tcPr>
          <w:p w:rsidR="0014564D" w:rsidRPr="00415CC5" w:rsidRDefault="000B7DA4" w:rsidP="00AD2687">
            <w:pPr>
              <w:ind w:left="113" w:right="113"/>
              <w:jc w:val="right"/>
              <w:rPr>
                <w:sz w:val="12"/>
                <w:szCs w:val="12"/>
              </w:rPr>
            </w:pPr>
            <w:r w:rsidRPr="000B7DA4">
              <w:rPr>
                <w:sz w:val="12"/>
                <w:szCs w:val="12"/>
              </w:rPr>
              <w:t>0.12</w:t>
            </w:r>
          </w:p>
        </w:tc>
        <w:tc>
          <w:tcPr>
            <w:tcW w:w="165" w:type="dxa"/>
            <w:tcBorders>
              <w:top w:val="nil"/>
              <w:left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Pr>
                <w:sz w:val="12"/>
                <w:szCs w:val="12"/>
              </w:rPr>
              <w:t>-0.42</w:t>
            </w:r>
          </w:p>
        </w:tc>
        <w:tc>
          <w:tcPr>
            <w:tcW w:w="164" w:type="dxa"/>
            <w:tcBorders>
              <w:top w:val="nil"/>
              <w:left w:val="nil"/>
              <w:bottom w:val="single" w:sz="4" w:space="0" w:color="auto"/>
              <w:right w:val="nil"/>
            </w:tcBorders>
            <w:shd w:val="clear" w:color="auto" w:fill="FFFFFF" w:themeFill="background1"/>
            <w:noWrap/>
            <w:textDirection w:val="btLr"/>
            <w:tcFitText/>
          </w:tcPr>
          <w:p w:rsidR="0014564D" w:rsidRPr="00415CC5" w:rsidRDefault="000B7DA4" w:rsidP="00AD2687">
            <w:pPr>
              <w:ind w:left="115" w:right="115"/>
              <w:jc w:val="right"/>
              <w:rPr>
                <w:sz w:val="12"/>
                <w:szCs w:val="12"/>
              </w:rPr>
            </w:pPr>
            <w:r w:rsidRPr="000B7DA4">
              <w:rPr>
                <w:sz w:val="12"/>
                <w:szCs w:val="12"/>
              </w:rPr>
              <w:t>0.27</w:t>
            </w:r>
          </w:p>
        </w:tc>
        <w:tc>
          <w:tcPr>
            <w:tcW w:w="165" w:type="dxa"/>
            <w:tcBorders>
              <w:top w:val="nil"/>
              <w:left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0.02</w:t>
            </w:r>
          </w:p>
        </w:tc>
        <w:tc>
          <w:tcPr>
            <w:tcW w:w="164" w:type="dxa"/>
            <w:tcBorders>
              <w:top w:val="nil"/>
              <w:left w:val="nil"/>
              <w:bottom w:val="single" w:sz="4" w:space="0" w:color="auto"/>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-0.24</w:t>
            </w:r>
          </w:p>
        </w:tc>
        <w:tc>
          <w:tcPr>
            <w:tcW w:w="165" w:type="dxa"/>
            <w:tcBorders>
              <w:top w:val="nil"/>
              <w:left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-0.19</w:t>
            </w:r>
          </w:p>
        </w:tc>
        <w:tc>
          <w:tcPr>
            <w:tcW w:w="164" w:type="dxa"/>
            <w:tcBorders>
              <w:top w:val="nil"/>
              <w:left w:val="nil"/>
              <w:bottom w:val="single" w:sz="4" w:space="0" w:color="auto"/>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0.30</w:t>
            </w:r>
          </w:p>
        </w:tc>
        <w:tc>
          <w:tcPr>
            <w:tcW w:w="165" w:type="dxa"/>
            <w:tcBorders>
              <w:top w:val="nil"/>
              <w:left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0.02</w:t>
            </w:r>
          </w:p>
        </w:tc>
        <w:tc>
          <w:tcPr>
            <w:tcW w:w="164" w:type="dxa"/>
            <w:tcBorders>
              <w:top w:val="nil"/>
              <w:left w:val="nil"/>
              <w:bottom w:val="single" w:sz="4" w:space="0" w:color="auto"/>
              <w:right w:val="nil"/>
            </w:tcBorders>
            <w:shd w:val="clear" w:color="auto" w:fill="FFFFFF" w:themeFill="background1"/>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0.03</w:t>
            </w:r>
          </w:p>
        </w:tc>
        <w:tc>
          <w:tcPr>
            <w:tcW w:w="165" w:type="dxa"/>
            <w:tcBorders>
              <w:top w:val="nil"/>
              <w:left w:val="nil"/>
              <w:bottom w:val="single" w:sz="4" w:space="0" w:color="auto"/>
              <w:right w:val="nil"/>
            </w:tcBorders>
            <w:shd w:val="clear" w:color="auto" w:fill="E7E6E6" w:themeFill="background2"/>
            <w:noWrap/>
            <w:textDirection w:val="btLr"/>
            <w:tcFitText/>
            <w:vAlign w:val="bottom"/>
          </w:tcPr>
          <w:p w:rsidR="0014564D" w:rsidRPr="00415CC5" w:rsidRDefault="000B7DA4" w:rsidP="00AD2687">
            <w:pPr>
              <w:ind w:left="113" w:right="113"/>
              <w:jc w:val="right"/>
              <w:rPr>
                <w:sz w:val="12"/>
                <w:szCs w:val="12"/>
              </w:rPr>
            </w:pPr>
            <w:r w:rsidRPr="000B7DA4">
              <w:rPr>
                <w:sz w:val="12"/>
                <w:szCs w:val="12"/>
              </w:rPr>
              <w:t>0.13</w:t>
            </w:r>
          </w:p>
        </w:tc>
        <w:tc>
          <w:tcPr>
            <w:tcW w:w="164" w:type="dxa"/>
            <w:tcBorders>
              <w:top w:val="nil"/>
              <w:left w:val="nil"/>
              <w:bottom w:val="single" w:sz="4" w:space="0" w:color="auto"/>
              <w:right w:val="nil"/>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-0.11</w:t>
            </w:r>
          </w:p>
        </w:tc>
        <w:tc>
          <w:tcPr>
            <w:tcW w:w="165" w:type="dxa"/>
            <w:tcBorders>
              <w:top w:val="nil"/>
              <w:left w:val="nil"/>
              <w:bottom w:val="single" w:sz="4" w:space="0" w:color="auto"/>
              <w:right w:val="nil"/>
            </w:tcBorders>
            <w:shd w:val="clear" w:color="auto" w:fill="E7E6E6" w:themeFill="background2"/>
            <w:noWrap/>
            <w:textDirection w:val="btLr"/>
            <w:tcFitText/>
          </w:tcPr>
          <w:p w:rsidR="0014564D" w:rsidRPr="00415CC5" w:rsidRDefault="000B7DA4" w:rsidP="00AD2687">
            <w:pPr>
              <w:ind w:left="113" w:right="113"/>
              <w:jc w:val="right"/>
              <w:rPr>
                <w:sz w:val="12"/>
                <w:szCs w:val="12"/>
              </w:rPr>
            </w:pPr>
            <w:r w:rsidRPr="000B7DA4">
              <w:rPr>
                <w:sz w:val="12"/>
                <w:szCs w:val="12"/>
              </w:rPr>
              <w:t>-0.001</w:t>
            </w:r>
          </w:p>
        </w:tc>
        <w:tc>
          <w:tcPr>
            <w:tcW w:w="164" w:type="dxa"/>
            <w:tcBorders>
              <w:top w:val="nil"/>
              <w:left w:val="nil"/>
              <w:bottom w:val="single" w:sz="4" w:space="0" w:color="auto"/>
            </w:tcBorders>
            <w:shd w:val="clear" w:color="auto" w:fill="FFFFFF" w:themeFill="background1"/>
            <w:noWrap/>
            <w:textDirection w:val="btLr"/>
            <w:tcFitText/>
          </w:tcPr>
          <w:p w:rsidR="0014564D" w:rsidRPr="00415CC5" w:rsidRDefault="000B7DA4" w:rsidP="00AD2687">
            <w:pPr>
              <w:ind w:left="113" w:right="113"/>
              <w:jc w:val="right"/>
              <w:rPr>
                <w:sz w:val="12"/>
                <w:szCs w:val="12"/>
              </w:rPr>
            </w:pPr>
            <w:r w:rsidRPr="000B7DA4">
              <w:rPr>
                <w:sz w:val="12"/>
                <w:szCs w:val="12"/>
              </w:rPr>
              <w:t>0.14</w:t>
            </w:r>
          </w:p>
        </w:tc>
        <w:tc>
          <w:tcPr>
            <w:tcW w:w="160" w:type="dxa"/>
            <w:vMerge/>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top w:val="nil"/>
            </w:tcBorders>
            <w:textDirection w:val="btLr"/>
            <w:vAlign w:val="bottom"/>
          </w:tcPr>
          <w:p w:rsidR="0014564D" w:rsidRPr="00415CC5" w:rsidRDefault="0014564D" w:rsidP="00AD2687">
            <w:pPr>
              <w:ind w:left="113" w:right="113"/>
              <w:jc w:val="right"/>
              <w:rPr>
                <w:sz w:val="12"/>
                <w:szCs w:val="12"/>
              </w:rPr>
            </w:pPr>
            <w:r w:rsidRPr="00415CC5">
              <w:rPr>
                <w:sz w:val="12"/>
                <w:szCs w:val="12"/>
              </w:rPr>
              <w:t>14.</w:t>
            </w:r>
          </w:p>
        </w:tc>
        <w:tc>
          <w:tcPr>
            <w:tcW w:w="187" w:type="dxa"/>
            <w:tcBorders>
              <w:top w:val="nil"/>
              <w:left w:val="nil"/>
              <w:bottom w:val="single" w:sz="4" w:space="0" w:color="auto"/>
              <w:right w:val="nil"/>
            </w:tcBorders>
            <w:shd w:val="clear" w:color="auto" w:fill="E7E6E6" w:themeFill="background2"/>
            <w:textDirection w:val="btLr"/>
            <w:tcFitText/>
            <w:vAlign w:val="bottom"/>
          </w:tcPr>
          <w:p w:rsidR="0014564D" w:rsidRPr="00415CC5" w:rsidRDefault="000B7DA4" w:rsidP="00AD2687">
            <w:pPr>
              <w:ind w:left="113" w:right="113"/>
              <w:jc w:val="right"/>
              <w:rPr>
                <w:sz w:val="12"/>
                <w:szCs w:val="12"/>
              </w:rPr>
            </w:pPr>
            <w:r>
              <w:rPr>
                <w:sz w:val="12"/>
                <w:szCs w:val="12"/>
              </w:rPr>
              <w:t>1.00</w:t>
            </w:r>
          </w:p>
        </w:tc>
        <w:tc>
          <w:tcPr>
            <w:tcW w:w="187" w:type="dxa"/>
            <w:tcBorders>
              <w:top w:val="nil"/>
              <w:left w:val="nil"/>
              <w:bottom w:val="single" w:sz="4" w:space="0" w:color="auto"/>
              <w:right w:val="nil"/>
            </w:tcBorders>
            <w:textDirection w:val="btLr"/>
            <w:tcFitText/>
            <w:vAlign w:val="bottom"/>
          </w:tcPr>
          <w:p w:rsidR="0014564D" w:rsidRPr="00415CC5" w:rsidRDefault="000B7DA4" w:rsidP="00AD2687">
            <w:pPr>
              <w:ind w:left="113" w:right="113"/>
              <w:jc w:val="right"/>
              <w:rPr>
                <w:sz w:val="12"/>
                <w:szCs w:val="12"/>
              </w:rPr>
            </w:pPr>
            <w:r>
              <w:rPr>
                <w:sz w:val="12"/>
                <w:szCs w:val="12"/>
              </w:rPr>
              <w:t>-0.29</w:t>
            </w:r>
          </w:p>
        </w:tc>
        <w:tc>
          <w:tcPr>
            <w:tcW w:w="187" w:type="dxa"/>
            <w:tcBorders>
              <w:top w:val="nil"/>
              <w:left w:val="nil"/>
              <w:bottom w:val="single" w:sz="4" w:space="0" w:color="auto"/>
              <w:right w:val="nil"/>
            </w:tcBorders>
            <w:shd w:val="clear" w:color="auto" w:fill="E7E6E6" w:themeFill="background2"/>
            <w:textDirection w:val="btLr"/>
            <w:tcFitText/>
            <w:vAlign w:val="bottom"/>
          </w:tcPr>
          <w:p w:rsidR="0014564D" w:rsidRPr="00415CC5" w:rsidRDefault="000B7DA4" w:rsidP="00AD2687">
            <w:pPr>
              <w:ind w:left="113" w:right="113"/>
              <w:jc w:val="right"/>
              <w:rPr>
                <w:sz w:val="12"/>
                <w:szCs w:val="12"/>
              </w:rPr>
            </w:pPr>
            <w:r>
              <w:rPr>
                <w:sz w:val="12"/>
                <w:szCs w:val="12"/>
              </w:rPr>
              <w:t>-0.52</w:t>
            </w:r>
          </w:p>
        </w:tc>
        <w:tc>
          <w:tcPr>
            <w:tcW w:w="187" w:type="dxa"/>
            <w:tcBorders>
              <w:top w:val="nil"/>
              <w:left w:val="nil"/>
              <w:bottom w:val="single" w:sz="4" w:space="0" w:color="auto"/>
              <w:right w:val="nil"/>
            </w:tcBorders>
            <w:textDirection w:val="btLr"/>
            <w:tcFitText/>
            <w:vAlign w:val="bottom"/>
          </w:tcPr>
          <w:p w:rsidR="0014564D" w:rsidRPr="00415CC5" w:rsidRDefault="000B7DA4" w:rsidP="00AD2687">
            <w:pPr>
              <w:ind w:left="113" w:right="113"/>
              <w:jc w:val="right"/>
              <w:rPr>
                <w:sz w:val="12"/>
                <w:szCs w:val="12"/>
              </w:rPr>
            </w:pPr>
            <w:r w:rsidRPr="000B7DA4">
              <w:rPr>
                <w:sz w:val="12"/>
                <w:szCs w:val="12"/>
              </w:rPr>
              <w:t>-0.25</w:t>
            </w:r>
          </w:p>
        </w:tc>
        <w:tc>
          <w:tcPr>
            <w:tcW w:w="187" w:type="dxa"/>
            <w:tcBorders>
              <w:top w:val="nil"/>
              <w:left w:val="nil"/>
              <w:bottom w:val="single" w:sz="4" w:space="0" w:color="auto"/>
              <w:right w:val="nil"/>
            </w:tcBorders>
            <w:shd w:val="clear" w:color="auto" w:fill="E7E6E6" w:themeFill="background2"/>
            <w:textDirection w:val="btLr"/>
            <w:tcFitText/>
            <w:vAlign w:val="bottom"/>
          </w:tcPr>
          <w:p w:rsidR="0014564D" w:rsidRPr="00415CC5" w:rsidRDefault="000B7DA4" w:rsidP="00AD2687">
            <w:pPr>
              <w:ind w:left="113" w:right="113"/>
              <w:jc w:val="right"/>
              <w:rPr>
                <w:sz w:val="12"/>
                <w:szCs w:val="12"/>
              </w:rPr>
            </w:pPr>
            <w:r>
              <w:rPr>
                <w:sz w:val="12"/>
                <w:szCs w:val="12"/>
              </w:rPr>
              <w:t>-0.14</w:t>
            </w:r>
          </w:p>
        </w:tc>
        <w:tc>
          <w:tcPr>
            <w:tcW w:w="187" w:type="dxa"/>
            <w:tcBorders>
              <w:top w:val="nil"/>
              <w:left w:val="nil"/>
              <w:bottom w:val="single" w:sz="4" w:space="0" w:color="auto"/>
              <w:right w:val="nil"/>
            </w:tcBorders>
            <w:textDirection w:val="btLr"/>
            <w:tcFitText/>
            <w:vAlign w:val="bottom"/>
          </w:tcPr>
          <w:p w:rsidR="0014564D" w:rsidRPr="00415CC5" w:rsidRDefault="000B7DA4" w:rsidP="00AD2687">
            <w:pPr>
              <w:ind w:left="113" w:right="113"/>
              <w:jc w:val="right"/>
              <w:rPr>
                <w:sz w:val="12"/>
                <w:szCs w:val="12"/>
              </w:rPr>
            </w:pPr>
            <w:r>
              <w:rPr>
                <w:sz w:val="12"/>
                <w:szCs w:val="12"/>
              </w:rPr>
              <w:t>-0.15</w:t>
            </w:r>
          </w:p>
        </w:tc>
        <w:tc>
          <w:tcPr>
            <w:tcW w:w="187" w:type="dxa"/>
            <w:tcBorders>
              <w:top w:val="nil"/>
              <w:left w:val="nil"/>
              <w:bottom w:val="single" w:sz="4" w:space="0" w:color="auto"/>
              <w:right w:val="nil"/>
            </w:tcBorders>
            <w:shd w:val="clear" w:color="auto" w:fill="E7E6E6" w:themeFill="background2"/>
            <w:textDirection w:val="btLr"/>
            <w:tcFitText/>
          </w:tcPr>
          <w:p w:rsidR="0014564D" w:rsidRPr="00415CC5" w:rsidRDefault="000B7DA4" w:rsidP="00AD2687">
            <w:pPr>
              <w:ind w:left="113" w:right="113"/>
              <w:jc w:val="right"/>
              <w:rPr>
                <w:sz w:val="12"/>
                <w:szCs w:val="12"/>
              </w:rPr>
            </w:pPr>
            <w:r w:rsidRPr="000B7DA4">
              <w:rPr>
                <w:sz w:val="12"/>
                <w:szCs w:val="12"/>
              </w:rPr>
              <w:t>0.52</w:t>
            </w:r>
          </w:p>
        </w:tc>
        <w:tc>
          <w:tcPr>
            <w:tcW w:w="187" w:type="dxa"/>
            <w:tcBorders>
              <w:top w:val="nil"/>
              <w:left w:val="nil"/>
              <w:bottom w:val="single" w:sz="4" w:space="0" w:color="auto"/>
              <w:right w:val="nil"/>
            </w:tcBorders>
            <w:textDirection w:val="btLr"/>
            <w:tcFitText/>
          </w:tcPr>
          <w:p w:rsidR="0014564D" w:rsidRPr="00415CC5" w:rsidRDefault="000B7DA4" w:rsidP="00AD2687">
            <w:pPr>
              <w:ind w:left="113" w:right="113"/>
              <w:jc w:val="right"/>
              <w:rPr>
                <w:sz w:val="12"/>
                <w:szCs w:val="12"/>
              </w:rPr>
            </w:pPr>
            <w:r w:rsidRPr="000B7DA4">
              <w:rPr>
                <w:sz w:val="12"/>
                <w:szCs w:val="12"/>
              </w:rPr>
              <w:t>-0.34</w:t>
            </w:r>
          </w:p>
        </w:tc>
        <w:tc>
          <w:tcPr>
            <w:tcW w:w="187" w:type="dxa"/>
            <w:tcBorders>
              <w:top w:val="nil"/>
              <w:left w:val="nil"/>
              <w:bottom w:val="single" w:sz="4" w:space="0" w:color="auto"/>
            </w:tcBorders>
            <w:shd w:val="clear" w:color="auto" w:fill="E7E6E6" w:themeFill="background2"/>
            <w:textDirection w:val="btLr"/>
            <w:tcFitText/>
          </w:tcPr>
          <w:p w:rsidR="0014564D" w:rsidRPr="00415CC5" w:rsidRDefault="000B7DA4" w:rsidP="00AD2687">
            <w:pPr>
              <w:ind w:left="113" w:right="113"/>
              <w:jc w:val="right"/>
              <w:rPr>
                <w:sz w:val="12"/>
                <w:szCs w:val="12"/>
              </w:rPr>
            </w:pPr>
            <w:r>
              <w:rPr>
                <w:sz w:val="12"/>
                <w:szCs w:val="12"/>
              </w:rPr>
              <w:t>-0.31</w:t>
            </w:r>
          </w:p>
        </w:tc>
      </w:tr>
      <w:tr w:rsidR="0014564D" w:rsidRPr="00CD73C2" w:rsidTr="00AD2687">
        <w:trPr>
          <w:cantSplit/>
          <w:trHeight w:val="56"/>
        </w:trPr>
        <w:tc>
          <w:tcPr>
            <w:tcW w:w="182" w:type="dxa"/>
            <w:vMerge/>
            <w:tcBorders>
              <w:left w:val="nil"/>
              <w:bottom w:val="nil"/>
            </w:tcBorders>
            <w:textDirection w:val="btLr"/>
            <w:vAlign w:val="bottom"/>
          </w:tcPr>
          <w:p w:rsidR="0014564D" w:rsidRPr="00CD73C2" w:rsidRDefault="0014564D" w:rsidP="00AD2687">
            <w:pPr>
              <w:ind w:left="113" w:right="113"/>
              <w:jc w:val="right"/>
              <w:rPr>
                <w:sz w:val="12"/>
                <w:szCs w:val="12"/>
              </w:rPr>
            </w:pPr>
          </w:p>
        </w:tc>
        <w:tc>
          <w:tcPr>
            <w:tcW w:w="188" w:type="dxa"/>
            <w:tcBorders>
              <w:top w:val="nil"/>
              <w:bottom w:val="nil"/>
            </w:tcBorders>
            <w:textDirection w:val="btLr"/>
            <w:vAlign w:val="bottom"/>
          </w:tcPr>
          <w:p w:rsidR="0014564D" w:rsidRPr="00415CC5" w:rsidRDefault="0014564D" w:rsidP="00AD2687">
            <w:pPr>
              <w:ind w:left="113" w:right="113"/>
              <w:jc w:val="right"/>
              <w:rPr>
                <w:sz w:val="12"/>
                <w:szCs w:val="12"/>
              </w:rPr>
            </w:pPr>
          </w:p>
        </w:tc>
        <w:tc>
          <w:tcPr>
            <w:tcW w:w="165" w:type="dxa"/>
            <w:tcBorders>
              <w:top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noWrap/>
            <w:textDirection w:val="btLr"/>
            <w:tcFitText/>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shd w:val="clear" w:color="auto" w:fill="FFFFFF" w:themeFill="background1"/>
            <w:noWrap/>
            <w:textDirection w:val="btLr"/>
            <w:tcFitText/>
          </w:tcPr>
          <w:p w:rsidR="0014564D" w:rsidRPr="00415CC5" w:rsidRDefault="0014564D" w:rsidP="00AD2687">
            <w:pPr>
              <w:ind w:left="115" w:right="115"/>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shd w:val="clear" w:color="auto" w:fill="FFFFFF" w:themeFill="background1"/>
            <w:noWrap/>
            <w:textDirection w:val="btLr"/>
            <w:tcFitText/>
            <w:vAlign w:val="bottom"/>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vAlign w:val="bottom"/>
          </w:tcPr>
          <w:p w:rsidR="0014564D" w:rsidRPr="00415CC5" w:rsidRDefault="0014564D" w:rsidP="00AD2687">
            <w:pPr>
              <w:ind w:left="113" w:right="113"/>
              <w:jc w:val="right"/>
              <w:rPr>
                <w:sz w:val="12"/>
                <w:szCs w:val="12"/>
              </w:rPr>
            </w:pPr>
          </w:p>
        </w:tc>
        <w:tc>
          <w:tcPr>
            <w:tcW w:w="164" w:type="dxa"/>
            <w:tcBorders>
              <w:top w:val="nil"/>
              <w:left w:val="nil"/>
              <w:bottom w:val="nil"/>
              <w:right w:val="nil"/>
            </w:tcBorders>
            <w:shd w:val="clear" w:color="auto" w:fill="FFFFFF" w:themeFill="background1"/>
            <w:noWrap/>
            <w:textDirection w:val="btLr"/>
            <w:tcFitText/>
          </w:tcPr>
          <w:p w:rsidR="0014564D" w:rsidRPr="00415CC5" w:rsidRDefault="0014564D" w:rsidP="00AD2687">
            <w:pPr>
              <w:ind w:left="113" w:right="113"/>
              <w:jc w:val="right"/>
              <w:rPr>
                <w:sz w:val="12"/>
                <w:szCs w:val="12"/>
              </w:rPr>
            </w:pPr>
          </w:p>
        </w:tc>
        <w:tc>
          <w:tcPr>
            <w:tcW w:w="165" w:type="dxa"/>
            <w:tcBorders>
              <w:top w:val="nil"/>
              <w:left w:val="nil"/>
              <w:bottom w:val="nil"/>
              <w:right w:val="nil"/>
            </w:tcBorders>
            <w:shd w:val="clear" w:color="auto" w:fill="E7E6E6" w:themeFill="background2"/>
            <w:noWrap/>
            <w:textDirection w:val="btLr"/>
            <w:tcFitText/>
          </w:tcPr>
          <w:p w:rsidR="0014564D" w:rsidRPr="00415CC5" w:rsidRDefault="0014564D" w:rsidP="00AD2687">
            <w:pPr>
              <w:ind w:left="113" w:right="113"/>
              <w:jc w:val="right"/>
              <w:rPr>
                <w:sz w:val="12"/>
                <w:szCs w:val="12"/>
              </w:rPr>
            </w:pPr>
          </w:p>
        </w:tc>
        <w:tc>
          <w:tcPr>
            <w:tcW w:w="164" w:type="dxa"/>
            <w:tcBorders>
              <w:top w:val="nil"/>
              <w:left w:val="nil"/>
              <w:bottom w:val="nil"/>
            </w:tcBorders>
            <w:shd w:val="clear" w:color="auto" w:fill="FFFFFF" w:themeFill="background1"/>
            <w:noWrap/>
            <w:textDirection w:val="btLr"/>
            <w:tcFitText/>
          </w:tcPr>
          <w:p w:rsidR="0014564D" w:rsidRPr="00415CC5" w:rsidRDefault="0014564D" w:rsidP="00AD2687">
            <w:pPr>
              <w:ind w:left="113" w:right="113"/>
              <w:jc w:val="right"/>
              <w:rPr>
                <w:sz w:val="12"/>
                <w:szCs w:val="12"/>
              </w:rPr>
            </w:pPr>
          </w:p>
        </w:tc>
        <w:tc>
          <w:tcPr>
            <w:tcW w:w="160" w:type="dxa"/>
            <w:tcBorders>
              <w:bottom w:val="nil"/>
            </w:tcBorders>
            <w:textDirection w:val="btLr"/>
          </w:tcPr>
          <w:p w:rsidR="0014564D" w:rsidRPr="00415CC5" w:rsidRDefault="0014564D" w:rsidP="00AD2687">
            <w:pPr>
              <w:ind w:left="113" w:right="113"/>
              <w:jc w:val="right"/>
              <w:rPr>
                <w:sz w:val="12"/>
                <w:szCs w:val="12"/>
              </w:rPr>
            </w:pPr>
          </w:p>
        </w:tc>
        <w:tc>
          <w:tcPr>
            <w:tcW w:w="182" w:type="dxa"/>
            <w:tcBorders>
              <w:top w:val="nil"/>
              <w:bottom w:val="nil"/>
              <w:right w:val="nil"/>
            </w:tcBorders>
            <w:textDirection w:val="btLr"/>
          </w:tcPr>
          <w:p w:rsidR="0014564D" w:rsidRPr="00415CC5" w:rsidRDefault="0014564D" w:rsidP="00AD2687">
            <w:pPr>
              <w:ind w:left="113" w:right="113"/>
              <w:jc w:val="right"/>
              <w:rPr>
                <w:sz w:val="12"/>
                <w:szCs w:val="12"/>
              </w:rPr>
            </w:pPr>
          </w:p>
        </w:tc>
        <w:tc>
          <w:tcPr>
            <w:tcW w:w="187" w:type="dxa"/>
            <w:tcBorders>
              <w:bottom w:val="nil"/>
            </w:tcBorders>
            <w:textDirection w:val="btLr"/>
            <w:vAlign w:val="bottom"/>
          </w:tcPr>
          <w:p w:rsidR="0014564D" w:rsidRPr="00415CC5" w:rsidRDefault="0014564D" w:rsidP="00AD2687">
            <w:pPr>
              <w:ind w:left="113" w:right="113"/>
              <w:jc w:val="right"/>
              <w:rPr>
                <w:sz w:val="12"/>
                <w:szCs w:val="12"/>
              </w:rPr>
            </w:pPr>
          </w:p>
        </w:tc>
        <w:tc>
          <w:tcPr>
            <w:tcW w:w="187" w:type="dxa"/>
            <w:tcBorders>
              <w:left w:val="nil"/>
              <w:bottom w:val="nil"/>
              <w:right w:val="nil"/>
            </w:tcBorders>
            <w:shd w:val="clear" w:color="auto" w:fill="E7E6E6" w:themeFill="background2"/>
            <w:textDirection w:val="btLr"/>
            <w:tcFitText/>
            <w:vAlign w:val="bottom"/>
          </w:tcPr>
          <w:p w:rsidR="0014564D" w:rsidRPr="00415CC5" w:rsidRDefault="0014564D" w:rsidP="00AD2687">
            <w:pPr>
              <w:ind w:left="113" w:right="113"/>
              <w:rPr>
                <w:sz w:val="12"/>
                <w:szCs w:val="12"/>
              </w:rPr>
            </w:pPr>
            <w:r w:rsidRPr="000B7DA4">
              <w:rPr>
                <w:sz w:val="12"/>
                <w:szCs w:val="12"/>
              </w:rPr>
              <w:t>14.West</w:t>
            </w:r>
          </w:p>
        </w:tc>
        <w:tc>
          <w:tcPr>
            <w:tcW w:w="187" w:type="dxa"/>
            <w:tcBorders>
              <w:left w:val="nil"/>
              <w:bottom w:val="nil"/>
              <w:right w:val="nil"/>
            </w:tcBorders>
            <w:textDirection w:val="btLr"/>
            <w:tcFitText/>
            <w:vAlign w:val="bottom"/>
          </w:tcPr>
          <w:p w:rsidR="0014564D" w:rsidRPr="00415CC5" w:rsidRDefault="0014564D" w:rsidP="00AD2687">
            <w:pPr>
              <w:ind w:left="113" w:right="113"/>
              <w:rPr>
                <w:sz w:val="12"/>
                <w:szCs w:val="12"/>
              </w:rPr>
            </w:pPr>
            <w:r w:rsidRPr="00525FCF">
              <w:rPr>
                <w:sz w:val="12"/>
                <w:szCs w:val="12"/>
              </w:rPr>
              <w:t xml:space="preserve">15. </w:t>
            </w:r>
            <w:r w:rsidRPr="00525FCF">
              <w:rPr>
                <w:noProof/>
                <w:sz w:val="12"/>
                <w:szCs w:val="12"/>
              </w:rPr>
              <w:t>Ease</w:t>
            </w:r>
            <w:r w:rsidRPr="00525FCF">
              <w:rPr>
                <w:sz w:val="12"/>
                <w:szCs w:val="12"/>
              </w:rPr>
              <w:t xml:space="preserve"> Asia &amp; the </w:t>
            </w:r>
            <w:r w:rsidRPr="00525FCF">
              <w:rPr>
                <w:noProof/>
                <w:sz w:val="12"/>
                <w:szCs w:val="12"/>
              </w:rPr>
              <w:t>Pacific</w:t>
            </w:r>
          </w:p>
        </w:tc>
        <w:tc>
          <w:tcPr>
            <w:tcW w:w="187" w:type="dxa"/>
            <w:tcBorders>
              <w:left w:val="nil"/>
              <w:bottom w:val="nil"/>
              <w:right w:val="nil"/>
            </w:tcBorders>
            <w:shd w:val="clear" w:color="auto" w:fill="E7E6E6" w:themeFill="background2"/>
            <w:textDirection w:val="btLr"/>
            <w:tcFitText/>
            <w:vAlign w:val="bottom"/>
          </w:tcPr>
          <w:p w:rsidR="0014564D" w:rsidRPr="00415CC5" w:rsidRDefault="0014564D" w:rsidP="00AD2687">
            <w:pPr>
              <w:ind w:left="113" w:right="113"/>
              <w:rPr>
                <w:sz w:val="12"/>
                <w:szCs w:val="12"/>
              </w:rPr>
            </w:pPr>
            <w:r w:rsidRPr="000B7DA4">
              <w:rPr>
                <w:sz w:val="12"/>
                <w:szCs w:val="12"/>
              </w:rPr>
              <w:t xml:space="preserve">16. East Europe &amp; Cent. </w:t>
            </w:r>
            <w:r w:rsidRPr="000B7DA4">
              <w:rPr>
                <w:noProof/>
                <w:sz w:val="12"/>
                <w:szCs w:val="12"/>
              </w:rPr>
              <w:t>Asia</w:t>
            </w:r>
          </w:p>
        </w:tc>
        <w:tc>
          <w:tcPr>
            <w:tcW w:w="187" w:type="dxa"/>
            <w:tcBorders>
              <w:left w:val="nil"/>
              <w:bottom w:val="nil"/>
              <w:right w:val="nil"/>
            </w:tcBorders>
            <w:textDirection w:val="btLr"/>
            <w:tcFitText/>
            <w:vAlign w:val="bottom"/>
          </w:tcPr>
          <w:p w:rsidR="0014564D" w:rsidRPr="00415CC5" w:rsidRDefault="0014564D" w:rsidP="00AD2687">
            <w:pPr>
              <w:ind w:left="113" w:right="113"/>
              <w:rPr>
                <w:sz w:val="12"/>
                <w:szCs w:val="12"/>
              </w:rPr>
            </w:pPr>
            <w:r w:rsidRPr="000B7DA4">
              <w:rPr>
                <w:sz w:val="12"/>
                <w:szCs w:val="12"/>
              </w:rPr>
              <w:t xml:space="preserve">17. Latin </w:t>
            </w:r>
            <w:r w:rsidRPr="000B7DA4">
              <w:rPr>
                <w:noProof/>
                <w:sz w:val="12"/>
                <w:szCs w:val="12"/>
              </w:rPr>
              <w:t>America</w:t>
            </w:r>
          </w:p>
        </w:tc>
        <w:tc>
          <w:tcPr>
            <w:tcW w:w="187" w:type="dxa"/>
            <w:tcBorders>
              <w:left w:val="nil"/>
              <w:bottom w:val="nil"/>
              <w:right w:val="nil"/>
            </w:tcBorders>
            <w:shd w:val="clear" w:color="auto" w:fill="E7E6E6" w:themeFill="background2"/>
            <w:textDirection w:val="btLr"/>
            <w:tcFitText/>
            <w:vAlign w:val="bottom"/>
          </w:tcPr>
          <w:p w:rsidR="0014564D" w:rsidRPr="00415CC5" w:rsidRDefault="0014564D" w:rsidP="00AD2687">
            <w:pPr>
              <w:ind w:left="113" w:right="113"/>
              <w:rPr>
                <w:sz w:val="12"/>
                <w:szCs w:val="12"/>
              </w:rPr>
            </w:pPr>
            <w:r w:rsidRPr="000B7DA4">
              <w:rPr>
                <w:sz w:val="12"/>
                <w:szCs w:val="12"/>
              </w:rPr>
              <w:t xml:space="preserve">18. Mid  East &amp; North </w:t>
            </w:r>
            <w:r w:rsidRPr="000B7DA4">
              <w:rPr>
                <w:noProof/>
                <w:sz w:val="12"/>
                <w:szCs w:val="12"/>
              </w:rPr>
              <w:t>Africa</w:t>
            </w:r>
          </w:p>
        </w:tc>
        <w:tc>
          <w:tcPr>
            <w:tcW w:w="187" w:type="dxa"/>
            <w:tcBorders>
              <w:left w:val="nil"/>
              <w:bottom w:val="nil"/>
              <w:right w:val="nil"/>
            </w:tcBorders>
            <w:textDirection w:val="btLr"/>
            <w:tcFitText/>
            <w:vAlign w:val="bottom"/>
          </w:tcPr>
          <w:p w:rsidR="0014564D" w:rsidRPr="00415CC5" w:rsidRDefault="0014564D" w:rsidP="00AD2687">
            <w:pPr>
              <w:ind w:left="113" w:right="113"/>
              <w:rPr>
                <w:sz w:val="12"/>
                <w:szCs w:val="12"/>
              </w:rPr>
            </w:pPr>
            <w:r w:rsidRPr="003B6046">
              <w:rPr>
                <w:sz w:val="12"/>
                <w:szCs w:val="12"/>
              </w:rPr>
              <w:t xml:space="preserve">19. Sub-Saharan </w:t>
            </w:r>
            <w:r w:rsidRPr="003B6046">
              <w:rPr>
                <w:noProof/>
                <w:sz w:val="12"/>
                <w:szCs w:val="12"/>
              </w:rPr>
              <w:t>Africa</w:t>
            </w:r>
          </w:p>
        </w:tc>
        <w:tc>
          <w:tcPr>
            <w:tcW w:w="187" w:type="dxa"/>
            <w:tcBorders>
              <w:left w:val="nil"/>
              <w:bottom w:val="nil"/>
              <w:right w:val="nil"/>
            </w:tcBorders>
            <w:shd w:val="clear" w:color="auto" w:fill="E7E6E6" w:themeFill="background2"/>
            <w:textDirection w:val="btLr"/>
            <w:tcFitText/>
          </w:tcPr>
          <w:p w:rsidR="0014564D" w:rsidRPr="00415CC5" w:rsidRDefault="0014564D" w:rsidP="00AD2687">
            <w:pPr>
              <w:ind w:left="113" w:right="113"/>
              <w:rPr>
                <w:sz w:val="12"/>
                <w:szCs w:val="12"/>
              </w:rPr>
            </w:pPr>
            <w:r w:rsidRPr="003B6046">
              <w:rPr>
                <w:sz w:val="12"/>
                <w:szCs w:val="12"/>
              </w:rPr>
              <w:t>20. Core</w:t>
            </w:r>
          </w:p>
        </w:tc>
        <w:tc>
          <w:tcPr>
            <w:tcW w:w="187" w:type="dxa"/>
            <w:tcBorders>
              <w:left w:val="nil"/>
              <w:bottom w:val="nil"/>
              <w:right w:val="nil"/>
            </w:tcBorders>
            <w:textDirection w:val="btLr"/>
            <w:tcFitText/>
          </w:tcPr>
          <w:p w:rsidR="0014564D" w:rsidRPr="00415CC5" w:rsidRDefault="0014564D" w:rsidP="00AD2687">
            <w:pPr>
              <w:ind w:left="113" w:right="113"/>
              <w:rPr>
                <w:sz w:val="12"/>
                <w:szCs w:val="12"/>
              </w:rPr>
            </w:pPr>
            <w:r w:rsidRPr="003B6046">
              <w:rPr>
                <w:sz w:val="12"/>
                <w:szCs w:val="12"/>
              </w:rPr>
              <w:t>21. Semiperiphery</w:t>
            </w:r>
          </w:p>
        </w:tc>
        <w:tc>
          <w:tcPr>
            <w:tcW w:w="187" w:type="dxa"/>
            <w:tcBorders>
              <w:left w:val="nil"/>
              <w:bottom w:val="nil"/>
            </w:tcBorders>
            <w:shd w:val="clear" w:color="auto" w:fill="E7E6E6" w:themeFill="background2"/>
            <w:textDirection w:val="btLr"/>
            <w:tcFitText/>
          </w:tcPr>
          <w:p w:rsidR="0014564D" w:rsidRPr="00415CC5" w:rsidRDefault="0014564D" w:rsidP="00AD2687">
            <w:pPr>
              <w:ind w:left="113" w:right="113"/>
              <w:rPr>
                <w:sz w:val="12"/>
                <w:szCs w:val="12"/>
              </w:rPr>
            </w:pPr>
            <w:r w:rsidRPr="003B6046">
              <w:rPr>
                <w:sz w:val="12"/>
                <w:szCs w:val="12"/>
              </w:rPr>
              <w:t>22. Periphery</w:t>
            </w:r>
          </w:p>
        </w:tc>
      </w:tr>
      <w:tr w:rsidR="0014564D" w:rsidRPr="00CD73C2" w:rsidTr="00AD2687">
        <w:trPr>
          <w:cantSplit/>
          <w:trHeight w:val="1907"/>
        </w:trPr>
        <w:tc>
          <w:tcPr>
            <w:tcW w:w="182" w:type="dxa"/>
            <w:vMerge/>
            <w:tcBorders>
              <w:left w:val="nil"/>
              <w:bottom w:val="nil"/>
            </w:tcBorders>
            <w:textDirection w:val="btLr"/>
            <w:vAlign w:val="bottom"/>
          </w:tcPr>
          <w:p w:rsidR="0014564D" w:rsidRPr="00CD73C2" w:rsidRDefault="0014564D" w:rsidP="00AD2687">
            <w:pPr>
              <w:ind w:left="113" w:right="113"/>
              <w:rPr>
                <w:sz w:val="12"/>
                <w:szCs w:val="12"/>
              </w:rPr>
            </w:pPr>
          </w:p>
        </w:tc>
        <w:tc>
          <w:tcPr>
            <w:tcW w:w="188" w:type="dxa"/>
            <w:tcBorders>
              <w:top w:val="nil"/>
            </w:tcBorders>
            <w:textDirection w:val="btLr"/>
            <w:vAlign w:val="bottom"/>
          </w:tcPr>
          <w:p w:rsidR="0014564D" w:rsidRPr="00415CC5" w:rsidRDefault="0014564D" w:rsidP="00AD2687">
            <w:pPr>
              <w:ind w:left="113" w:right="113"/>
              <w:rPr>
                <w:sz w:val="12"/>
                <w:szCs w:val="12"/>
              </w:rPr>
            </w:pPr>
          </w:p>
        </w:tc>
        <w:tc>
          <w:tcPr>
            <w:tcW w:w="165" w:type="dxa"/>
            <w:tcBorders>
              <w:top w:val="nil"/>
              <w:right w:val="nil"/>
            </w:tcBorders>
            <w:shd w:val="clear" w:color="auto" w:fill="E7E6E6" w:themeFill="background2"/>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1.Incarceration </w:t>
            </w:r>
            <w:r w:rsidRPr="00525FCF">
              <w:rPr>
                <w:noProof/>
                <w:sz w:val="12"/>
                <w:szCs w:val="12"/>
              </w:rPr>
              <w:t>Rates</w:t>
            </w:r>
            <w:r w:rsidR="00525FCF" w:rsidRPr="00525FCF">
              <w:rPr>
                <w:noProof/>
                <w:sz w:val="12"/>
                <w:szCs w:val="12"/>
                <w:vertAlign w:val="superscript"/>
              </w:rPr>
              <w:t>a</w:t>
            </w:r>
          </w:p>
        </w:tc>
        <w:tc>
          <w:tcPr>
            <w:tcW w:w="164" w:type="dxa"/>
            <w:tcBorders>
              <w:top w:val="nil"/>
              <w:left w:val="nil"/>
              <w:right w:val="nil"/>
            </w:tcBorders>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2. </w:t>
            </w:r>
            <w:r w:rsidRPr="00415CC5">
              <w:rPr>
                <w:noProof/>
                <w:sz w:val="12"/>
                <w:szCs w:val="12"/>
              </w:rPr>
              <w:t>Inequality</w:t>
            </w:r>
          </w:p>
        </w:tc>
        <w:tc>
          <w:tcPr>
            <w:tcW w:w="165" w:type="dxa"/>
            <w:tcBorders>
              <w:top w:val="nil"/>
              <w:left w:val="nil"/>
              <w:right w:val="nil"/>
            </w:tcBorders>
            <w:shd w:val="clear" w:color="auto" w:fill="E7E6E6" w:themeFill="background2"/>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3. GDPPC </w:t>
            </w:r>
            <w:r w:rsidR="00525FCF">
              <w:rPr>
                <w:sz w:val="12"/>
                <w:szCs w:val="12"/>
                <w:vertAlign w:val="superscript"/>
              </w:rPr>
              <w:t>a</w:t>
            </w:r>
          </w:p>
        </w:tc>
        <w:tc>
          <w:tcPr>
            <w:tcW w:w="164" w:type="dxa"/>
            <w:tcBorders>
              <w:top w:val="nil"/>
              <w:left w:val="nil"/>
              <w:right w:val="nil"/>
            </w:tcBorders>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4. </w:t>
            </w:r>
            <w:r w:rsidRPr="00415CC5">
              <w:rPr>
                <w:noProof/>
                <w:sz w:val="12"/>
                <w:szCs w:val="12"/>
              </w:rPr>
              <w:t>Democracy</w:t>
            </w:r>
          </w:p>
        </w:tc>
        <w:tc>
          <w:tcPr>
            <w:tcW w:w="165" w:type="dxa"/>
            <w:tcBorders>
              <w:top w:val="nil"/>
              <w:left w:val="nil"/>
              <w:right w:val="nil"/>
            </w:tcBorders>
            <w:shd w:val="clear" w:color="auto" w:fill="E7E6E6" w:themeFill="background2"/>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5.Age </w:t>
            </w:r>
            <w:r w:rsidRPr="00415CC5">
              <w:rPr>
                <w:noProof/>
                <w:sz w:val="12"/>
                <w:szCs w:val="12"/>
              </w:rPr>
              <w:t>Cohort</w:t>
            </w:r>
          </w:p>
        </w:tc>
        <w:tc>
          <w:tcPr>
            <w:tcW w:w="164" w:type="dxa"/>
            <w:tcBorders>
              <w:top w:val="nil"/>
              <w:left w:val="nil"/>
              <w:right w:val="nil"/>
            </w:tcBorders>
            <w:textDirection w:val="btLr"/>
            <w:vAlign w:val="bottom"/>
          </w:tcPr>
          <w:p w:rsidR="0014564D" w:rsidRPr="00415CC5" w:rsidRDefault="0014564D" w:rsidP="00AD2687">
            <w:pPr>
              <w:ind w:left="113" w:right="113"/>
              <w:rPr>
                <w:sz w:val="12"/>
                <w:szCs w:val="12"/>
                <w:vertAlign w:val="superscript"/>
              </w:rPr>
            </w:pPr>
            <w:r w:rsidRPr="00415CC5">
              <w:rPr>
                <w:sz w:val="12"/>
                <w:szCs w:val="12"/>
              </w:rPr>
              <w:t>6. Percent Urban</w:t>
            </w:r>
          </w:p>
        </w:tc>
        <w:tc>
          <w:tcPr>
            <w:tcW w:w="165" w:type="dxa"/>
            <w:tcBorders>
              <w:top w:val="nil"/>
              <w:left w:val="nil"/>
              <w:right w:val="nil"/>
            </w:tcBorders>
            <w:shd w:val="clear" w:color="auto" w:fill="E7E6E6" w:themeFill="background2"/>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7. Physical Integrity </w:t>
            </w:r>
          </w:p>
        </w:tc>
        <w:tc>
          <w:tcPr>
            <w:tcW w:w="164" w:type="dxa"/>
            <w:tcBorders>
              <w:top w:val="nil"/>
              <w:left w:val="nil"/>
              <w:right w:val="nil"/>
            </w:tcBorders>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8. Secondary </w:t>
            </w:r>
            <w:r w:rsidRPr="00415CC5">
              <w:rPr>
                <w:noProof/>
                <w:sz w:val="12"/>
                <w:szCs w:val="12"/>
              </w:rPr>
              <w:t>Education</w:t>
            </w:r>
          </w:p>
        </w:tc>
        <w:tc>
          <w:tcPr>
            <w:tcW w:w="165" w:type="dxa"/>
            <w:tcBorders>
              <w:top w:val="nil"/>
              <w:left w:val="nil"/>
              <w:right w:val="nil"/>
            </w:tcBorders>
            <w:shd w:val="clear" w:color="auto" w:fill="E7E6E6" w:themeFill="background2"/>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9. Homicide </w:t>
            </w:r>
            <w:r w:rsidRPr="00525FCF">
              <w:rPr>
                <w:noProof/>
                <w:sz w:val="12"/>
                <w:szCs w:val="12"/>
              </w:rPr>
              <w:t>Rates</w:t>
            </w:r>
            <w:r w:rsidR="00525FCF" w:rsidRPr="00525FCF">
              <w:rPr>
                <w:noProof/>
                <w:sz w:val="12"/>
                <w:szCs w:val="12"/>
                <w:vertAlign w:val="superscript"/>
              </w:rPr>
              <w:t>a</w:t>
            </w:r>
          </w:p>
        </w:tc>
        <w:tc>
          <w:tcPr>
            <w:tcW w:w="164" w:type="dxa"/>
            <w:tcBorders>
              <w:top w:val="nil"/>
              <w:left w:val="nil"/>
              <w:right w:val="nil"/>
            </w:tcBorders>
            <w:textDirection w:val="btLr"/>
          </w:tcPr>
          <w:p w:rsidR="0014564D" w:rsidRPr="00415CC5" w:rsidRDefault="0014564D" w:rsidP="00AD2687">
            <w:pPr>
              <w:ind w:left="113" w:right="113"/>
              <w:rPr>
                <w:sz w:val="12"/>
                <w:szCs w:val="12"/>
                <w:vertAlign w:val="superscript"/>
              </w:rPr>
            </w:pPr>
            <w:r w:rsidRPr="00415CC5">
              <w:rPr>
                <w:sz w:val="12"/>
                <w:szCs w:val="12"/>
              </w:rPr>
              <w:t xml:space="preserve">10. Drug Offense </w:t>
            </w:r>
            <w:r w:rsidRPr="00525FCF">
              <w:rPr>
                <w:noProof/>
                <w:sz w:val="12"/>
                <w:szCs w:val="12"/>
              </w:rPr>
              <w:t>Rates</w:t>
            </w:r>
            <w:r w:rsidR="00525FCF" w:rsidRPr="00525FCF">
              <w:rPr>
                <w:noProof/>
                <w:sz w:val="12"/>
                <w:szCs w:val="12"/>
                <w:vertAlign w:val="superscript"/>
              </w:rPr>
              <w:t>a</w:t>
            </w:r>
          </w:p>
        </w:tc>
        <w:tc>
          <w:tcPr>
            <w:tcW w:w="165" w:type="dxa"/>
            <w:tcBorders>
              <w:top w:val="nil"/>
              <w:left w:val="nil"/>
              <w:right w:val="nil"/>
            </w:tcBorders>
            <w:shd w:val="clear" w:color="auto" w:fill="E7E6E6" w:themeFill="background2"/>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11. Percent </w:t>
            </w:r>
            <w:r w:rsidRPr="00525FCF">
              <w:rPr>
                <w:noProof/>
                <w:sz w:val="12"/>
                <w:szCs w:val="12"/>
              </w:rPr>
              <w:t>Male</w:t>
            </w:r>
          </w:p>
        </w:tc>
        <w:tc>
          <w:tcPr>
            <w:tcW w:w="164" w:type="dxa"/>
            <w:tcBorders>
              <w:top w:val="nil"/>
              <w:left w:val="nil"/>
              <w:right w:val="nil"/>
            </w:tcBorders>
            <w:shd w:val="clear" w:color="auto" w:fill="FFFFFF" w:themeFill="background1"/>
            <w:textDirection w:val="btLr"/>
          </w:tcPr>
          <w:p w:rsidR="0014564D" w:rsidRPr="00415CC5" w:rsidRDefault="0014564D" w:rsidP="00AD2687">
            <w:pPr>
              <w:ind w:left="113" w:right="113"/>
              <w:rPr>
                <w:noProof/>
                <w:sz w:val="12"/>
                <w:szCs w:val="12"/>
                <w:vertAlign w:val="superscript"/>
              </w:rPr>
            </w:pPr>
            <w:r w:rsidRPr="00415CC5">
              <w:rPr>
                <w:sz w:val="12"/>
                <w:szCs w:val="12"/>
              </w:rPr>
              <w:t xml:space="preserve">12. Ethnic </w:t>
            </w:r>
            <w:r w:rsidRPr="00525FCF">
              <w:rPr>
                <w:noProof/>
                <w:sz w:val="12"/>
                <w:szCs w:val="12"/>
              </w:rPr>
              <w:t>Fractionalization</w:t>
            </w:r>
          </w:p>
          <w:p w:rsidR="0014564D" w:rsidRPr="00415CC5" w:rsidRDefault="0014564D" w:rsidP="00AD2687">
            <w:pPr>
              <w:ind w:left="113" w:right="113"/>
              <w:rPr>
                <w:sz w:val="12"/>
                <w:szCs w:val="12"/>
              </w:rPr>
            </w:pPr>
          </w:p>
        </w:tc>
        <w:tc>
          <w:tcPr>
            <w:tcW w:w="165" w:type="dxa"/>
            <w:tcBorders>
              <w:top w:val="nil"/>
              <w:left w:val="nil"/>
              <w:right w:val="nil"/>
            </w:tcBorders>
            <w:shd w:val="clear" w:color="auto" w:fill="E7E6E6" w:themeFill="background2"/>
            <w:textDirection w:val="btLr"/>
            <w:vAlign w:val="bottom"/>
          </w:tcPr>
          <w:p w:rsidR="0014564D" w:rsidRPr="00415CC5" w:rsidRDefault="0014564D" w:rsidP="00AD2687">
            <w:pPr>
              <w:ind w:left="113" w:right="113"/>
              <w:rPr>
                <w:sz w:val="12"/>
                <w:szCs w:val="12"/>
              </w:rPr>
            </w:pPr>
            <w:r w:rsidRPr="00415CC5">
              <w:rPr>
                <w:sz w:val="12"/>
                <w:szCs w:val="12"/>
              </w:rPr>
              <w:t xml:space="preserve">13. Time </w:t>
            </w:r>
          </w:p>
        </w:tc>
        <w:tc>
          <w:tcPr>
            <w:tcW w:w="164" w:type="dxa"/>
            <w:tcBorders>
              <w:top w:val="nil"/>
              <w:left w:val="nil"/>
              <w:right w:val="nil"/>
            </w:tcBorders>
            <w:shd w:val="clear" w:color="auto" w:fill="FFFFFF" w:themeFill="background1"/>
            <w:textDirection w:val="btLr"/>
            <w:vAlign w:val="bottom"/>
          </w:tcPr>
          <w:p w:rsidR="0014564D" w:rsidRPr="00415CC5" w:rsidRDefault="0014564D" w:rsidP="00AD2687">
            <w:pPr>
              <w:ind w:left="113" w:right="113"/>
              <w:rPr>
                <w:sz w:val="12"/>
                <w:szCs w:val="12"/>
              </w:rPr>
            </w:pPr>
            <w:r w:rsidRPr="00415CC5">
              <w:rPr>
                <w:sz w:val="12"/>
                <w:szCs w:val="12"/>
              </w:rPr>
              <w:t xml:space="preserve">14. </w:t>
            </w:r>
            <w:r w:rsidRPr="00415CC5">
              <w:rPr>
                <w:noProof/>
                <w:sz w:val="12"/>
                <w:szCs w:val="12"/>
              </w:rPr>
              <w:t>West</w:t>
            </w:r>
          </w:p>
        </w:tc>
        <w:tc>
          <w:tcPr>
            <w:tcW w:w="165" w:type="dxa"/>
            <w:tcBorders>
              <w:top w:val="nil"/>
              <w:left w:val="nil"/>
              <w:right w:val="nil"/>
            </w:tcBorders>
            <w:shd w:val="clear" w:color="auto" w:fill="E7E6E6" w:themeFill="background2"/>
            <w:textDirection w:val="btLr"/>
            <w:vAlign w:val="bottom"/>
          </w:tcPr>
          <w:p w:rsidR="0014564D" w:rsidRPr="00415CC5" w:rsidRDefault="0014564D" w:rsidP="00AD2687">
            <w:pPr>
              <w:ind w:left="113" w:right="113"/>
              <w:rPr>
                <w:sz w:val="12"/>
                <w:szCs w:val="12"/>
              </w:rPr>
            </w:pPr>
            <w:r w:rsidRPr="00415CC5">
              <w:rPr>
                <w:sz w:val="12"/>
                <w:szCs w:val="12"/>
              </w:rPr>
              <w:t xml:space="preserve">15. </w:t>
            </w:r>
            <w:r w:rsidR="006B7444">
              <w:rPr>
                <w:noProof/>
                <w:sz w:val="12"/>
                <w:szCs w:val="12"/>
              </w:rPr>
              <w:t>East</w:t>
            </w:r>
            <w:r w:rsidRPr="00415CC5">
              <w:rPr>
                <w:sz w:val="12"/>
                <w:szCs w:val="12"/>
              </w:rPr>
              <w:t xml:space="preserve"> Asia &amp; the </w:t>
            </w:r>
            <w:r w:rsidRPr="00415CC5">
              <w:rPr>
                <w:noProof/>
                <w:sz w:val="12"/>
                <w:szCs w:val="12"/>
              </w:rPr>
              <w:t>Pacific</w:t>
            </w:r>
          </w:p>
        </w:tc>
        <w:tc>
          <w:tcPr>
            <w:tcW w:w="164" w:type="dxa"/>
            <w:tcBorders>
              <w:top w:val="nil"/>
              <w:left w:val="nil"/>
              <w:right w:val="nil"/>
            </w:tcBorders>
            <w:shd w:val="clear" w:color="auto" w:fill="FFFFFF" w:themeFill="background1"/>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16. East Europe &amp; Cent. </w:t>
            </w:r>
            <w:r w:rsidRPr="00415CC5">
              <w:rPr>
                <w:noProof/>
                <w:sz w:val="12"/>
                <w:szCs w:val="12"/>
              </w:rPr>
              <w:t>Asia</w:t>
            </w:r>
          </w:p>
        </w:tc>
        <w:tc>
          <w:tcPr>
            <w:tcW w:w="165" w:type="dxa"/>
            <w:tcBorders>
              <w:top w:val="nil"/>
              <w:left w:val="nil"/>
              <w:right w:val="nil"/>
            </w:tcBorders>
            <w:shd w:val="clear" w:color="auto" w:fill="E7E6E6" w:themeFill="background2"/>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17. Latin </w:t>
            </w:r>
            <w:r w:rsidRPr="00415CC5">
              <w:rPr>
                <w:noProof/>
                <w:sz w:val="12"/>
                <w:szCs w:val="12"/>
              </w:rPr>
              <w:t>America</w:t>
            </w:r>
          </w:p>
        </w:tc>
        <w:tc>
          <w:tcPr>
            <w:tcW w:w="164" w:type="dxa"/>
            <w:tcBorders>
              <w:top w:val="nil"/>
              <w:left w:val="nil"/>
              <w:right w:val="nil"/>
            </w:tcBorders>
            <w:shd w:val="clear" w:color="auto" w:fill="FFFFFF" w:themeFill="background1"/>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18. Mid  East &amp; North </w:t>
            </w:r>
            <w:r w:rsidRPr="00415CC5">
              <w:rPr>
                <w:noProof/>
                <w:sz w:val="12"/>
                <w:szCs w:val="12"/>
              </w:rPr>
              <w:t>Africa</w:t>
            </w:r>
          </w:p>
        </w:tc>
        <w:tc>
          <w:tcPr>
            <w:tcW w:w="165" w:type="dxa"/>
            <w:tcBorders>
              <w:top w:val="nil"/>
              <w:left w:val="nil"/>
              <w:right w:val="nil"/>
            </w:tcBorders>
            <w:shd w:val="clear" w:color="auto" w:fill="E7E6E6" w:themeFill="background2"/>
            <w:textDirection w:val="btLr"/>
            <w:vAlign w:val="bottom"/>
          </w:tcPr>
          <w:p w:rsidR="0014564D" w:rsidRPr="00415CC5" w:rsidRDefault="0014564D" w:rsidP="00AD2687">
            <w:pPr>
              <w:ind w:left="113" w:right="113"/>
              <w:rPr>
                <w:sz w:val="12"/>
                <w:szCs w:val="12"/>
                <w:vertAlign w:val="superscript"/>
              </w:rPr>
            </w:pPr>
            <w:r w:rsidRPr="00415CC5">
              <w:rPr>
                <w:sz w:val="12"/>
                <w:szCs w:val="12"/>
              </w:rPr>
              <w:t xml:space="preserve">19. Sub-Saharan </w:t>
            </w:r>
            <w:r w:rsidRPr="00415CC5">
              <w:rPr>
                <w:noProof/>
                <w:sz w:val="12"/>
                <w:szCs w:val="12"/>
              </w:rPr>
              <w:t>Africa</w:t>
            </w:r>
          </w:p>
        </w:tc>
        <w:tc>
          <w:tcPr>
            <w:tcW w:w="164" w:type="dxa"/>
            <w:tcBorders>
              <w:top w:val="nil"/>
              <w:left w:val="nil"/>
              <w:right w:val="nil"/>
            </w:tcBorders>
            <w:shd w:val="clear" w:color="auto" w:fill="FFFFFF" w:themeFill="background1"/>
            <w:textDirection w:val="btLr"/>
          </w:tcPr>
          <w:p w:rsidR="0014564D" w:rsidRPr="00415CC5" w:rsidRDefault="0014564D" w:rsidP="00AD2687">
            <w:pPr>
              <w:ind w:left="113" w:right="113"/>
              <w:rPr>
                <w:sz w:val="12"/>
                <w:szCs w:val="12"/>
              </w:rPr>
            </w:pPr>
            <w:r w:rsidRPr="00415CC5">
              <w:rPr>
                <w:sz w:val="12"/>
                <w:szCs w:val="12"/>
              </w:rPr>
              <w:t>20. Core</w:t>
            </w:r>
          </w:p>
        </w:tc>
        <w:tc>
          <w:tcPr>
            <w:tcW w:w="165" w:type="dxa"/>
            <w:tcBorders>
              <w:top w:val="nil"/>
              <w:left w:val="nil"/>
              <w:right w:val="nil"/>
            </w:tcBorders>
            <w:shd w:val="clear" w:color="auto" w:fill="E7E6E6" w:themeFill="background2"/>
            <w:textDirection w:val="btLr"/>
          </w:tcPr>
          <w:p w:rsidR="0014564D" w:rsidRPr="00415CC5" w:rsidRDefault="0014564D" w:rsidP="00AD2687">
            <w:pPr>
              <w:ind w:left="113" w:right="113"/>
              <w:rPr>
                <w:sz w:val="12"/>
                <w:szCs w:val="12"/>
              </w:rPr>
            </w:pPr>
            <w:r w:rsidRPr="00415CC5">
              <w:rPr>
                <w:sz w:val="12"/>
                <w:szCs w:val="12"/>
              </w:rPr>
              <w:t>21. Semiperiphery</w:t>
            </w:r>
          </w:p>
        </w:tc>
        <w:tc>
          <w:tcPr>
            <w:tcW w:w="164" w:type="dxa"/>
            <w:tcBorders>
              <w:top w:val="nil"/>
              <w:left w:val="nil"/>
            </w:tcBorders>
            <w:shd w:val="clear" w:color="auto" w:fill="FFFFFF" w:themeFill="background1"/>
            <w:textDirection w:val="btLr"/>
          </w:tcPr>
          <w:p w:rsidR="0014564D" w:rsidRPr="00415CC5" w:rsidRDefault="0014564D" w:rsidP="00AD2687">
            <w:pPr>
              <w:ind w:left="113" w:right="113"/>
              <w:rPr>
                <w:sz w:val="12"/>
                <w:szCs w:val="12"/>
              </w:rPr>
            </w:pPr>
            <w:r w:rsidRPr="00415CC5">
              <w:rPr>
                <w:sz w:val="12"/>
                <w:szCs w:val="12"/>
              </w:rPr>
              <w:t>22. Periphery</w:t>
            </w:r>
          </w:p>
        </w:tc>
        <w:tc>
          <w:tcPr>
            <w:tcW w:w="160" w:type="dxa"/>
            <w:tcBorders>
              <w:top w:val="nil"/>
            </w:tcBorders>
            <w:textDirection w:val="btLr"/>
          </w:tcPr>
          <w:p w:rsidR="0014564D" w:rsidRPr="00415CC5" w:rsidRDefault="0014564D" w:rsidP="00AD2687">
            <w:pPr>
              <w:ind w:left="113" w:right="113"/>
              <w:rPr>
                <w:sz w:val="12"/>
                <w:szCs w:val="12"/>
              </w:rPr>
            </w:pPr>
            <w:r w:rsidRPr="00415CC5">
              <w:rPr>
                <w:sz w:val="12"/>
                <w:szCs w:val="12"/>
              </w:rPr>
              <w:t xml:space="preserve">None: </w:t>
            </w:r>
            <w:r w:rsidR="00525FCF">
              <w:rPr>
                <w:i/>
                <w:sz w:val="12"/>
                <w:szCs w:val="12"/>
              </w:rPr>
              <w:t>a</w:t>
            </w:r>
            <w:r w:rsidRPr="00415CC5">
              <w:rPr>
                <w:sz w:val="12"/>
                <w:szCs w:val="12"/>
              </w:rPr>
              <w:t xml:space="preserve"> = logged variable</w:t>
            </w:r>
          </w:p>
        </w:tc>
        <w:tc>
          <w:tcPr>
            <w:tcW w:w="182" w:type="dxa"/>
            <w:tcBorders>
              <w:top w:val="nil"/>
              <w:bottom w:val="nil"/>
              <w:right w:val="nil"/>
            </w:tcBorders>
            <w:textDirection w:val="btLr"/>
          </w:tcPr>
          <w:p w:rsidR="0014564D" w:rsidRPr="00415CC5" w:rsidRDefault="0014564D" w:rsidP="00AD2687">
            <w:pPr>
              <w:ind w:left="113" w:right="113"/>
              <w:rPr>
                <w:sz w:val="12"/>
                <w:szCs w:val="12"/>
              </w:rPr>
            </w:pPr>
            <w:r w:rsidRPr="00415CC5">
              <w:rPr>
                <w:sz w:val="12"/>
                <w:szCs w:val="12"/>
              </w:rPr>
              <w:t>N =  325</w:t>
            </w:r>
          </w:p>
        </w:tc>
        <w:tc>
          <w:tcPr>
            <w:tcW w:w="187" w:type="dxa"/>
            <w:tcBorders>
              <w:top w:val="nil"/>
            </w:tcBorders>
            <w:textDirection w:val="btLr"/>
            <w:vAlign w:val="bottom"/>
          </w:tcPr>
          <w:p w:rsidR="0014564D" w:rsidRPr="00415CC5" w:rsidRDefault="0014564D" w:rsidP="00AD2687">
            <w:pPr>
              <w:ind w:left="113" w:right="113"/>
              <w:jc w:val="right"/>
              <w:rPr>
                <w:sz w:val="12"/>
                <w:szCs w:val="12"/>
              </w:rPr>
            </w:pPr>
          </w:p>
        </w:tc>
        <w:tc>
          <w:tcPr>
            <w:tcW w:w="187" w:type="dxa"/>
            <w:tcBorders>
              <w:top w:val="nil"/>
              <w:left w:val="nil"/>
              <w:right w:val="nil"/>
            </w:tcBorders>
            <w:shd w:val="clear" w:color="auto" w:fill="E7E6E6" w:themeFill="background2"/>
            <w:textDirection w:val="btLr"/>
            <w:tcFitText/>
            <w:vAlign w:val="bottom"/>
          </w:tcPr>
          <w:p w:rsidR="0014564D" w:rsidRPr="00415CC5" w:rsidRDefault="0014564D" w:rsidP="00AD2687">
            <w:pPr>
              <w:ind w:left="113" w:right="113"/>
              <w:rPr>
                <w:sz w:val="12"/>
                <w:szCs w:val="12"/>
              </w:rPr>
            </w:pPr>
            <w:r w:rsidRPr="00415CC5">
              <w:rPr>
                <w:sz w:val="12"/>
                <w:szCs w:val="12"/>
              </w:rPr>
              <w:t>14.West</w:t>
            </w:r>
          </w:p>
        </w:tc>
        <w:tc>
          <w:tcPr>
            <w:tcW w:w="187" w:type="dxa"/>
            <w:tcBorders>
              <w:top w:val="nil"/>
              <w:left w:val="nil"/>
              <w:right w:val="nil"/>
            </w:tcBorders>
            <w:textDirection w:val="btLr"/>
            <w:tcFitText/>
            <w:vAlign w:val="bottom"/>
          </w:tcPr>
          <w:p w:rsidR="0014564D" w:rsidRPr="00415CC5" w:rsidRDefault="0014564D" w:rsidP="00AD2687">
            <w:pPr>
              <w:ind w:left="113" w:right="113"/>
              <w:rPr>
                <w:sz w:val="12"/>
                <w:szCs w:val="12"/>
              </w:rPr>
            </w:pPr>
            <w:r w:rsidRPr="00525FCF">
              <w:rPr>
                <w:sz w:val="12"/>
                <w:szCs w:val="12"/>
              </w:rPr>
              <w:t xml:space="preserve">15. </w:t>
            </w:r>
            <w:r w:rsidR="00525FCF" w:rsidRPr="00525FCF">
              <w:rPr>
                <w:noProof/>
                <w:sz w:val="12"/>
                <w:szCs w:val="12"/>
              </w:rPr>
              <w:t>East</w:t>
            </w:r>
            <w:r w:rsidRPr="00525FCF">
              <w:rPr>
                <w:sz w:val="12"/>
                <w:szCs w:val="12"/>
              </w:rPr>
              <w:t xml:space="preserve"> Asia &amp; the </w:t>
            </w:r>
            <w:r w:rsidRPr="00525FCF">
              <w:rPr>
                <w:noProof/>
                <w:sz w:val="12"/>
                <w:szCs w:val="12"/>
              </w:rPr>
              <w:t>Pacific</w:t>
            </w:r>
          </w:p>
        </w:tc>
        <w:tc>
          <w:tcPr>
            <w:tcW w:w="187" w:type="dxa"/>
            <w:tcBorders>
              <w:top w:val="nil"/>
              <w:left w:val="nil"/>
              <w:right w:val="nil"/>
            </w:tcBorders>
            <w:shd w:val="clear" w:color="auto" w:fill="E7E6E6" w:themeFill="background2"/>
            <w:textDirection w:val="btLr"/>
            <w:tcFitText/>
            <w:vAlign w:val="bottom"/>
          </w:tcPr>
          <w:p w:rsidR="0014564D" w:rsidRPr="00415CC5" w:rsidRDefault="0014564D" w:rsidP="00AD2687">
            <w:pPr>
              <w:ind w:left="113" w:right="113"/>
              <w:rPr>
                <w:sz w:val="12"/>
                <w:szCs w:val="12"/>
              </w:rPr>
            </w:pPr>
            <w:r w:rsidRPr="003B6046">
              <w:rPr>
                <w:sz w:val="12"/>
                <w:szCs w:val="12"/>
              </w:rPr>
              <w:t xml:space="preserve">16. East Europe &amp; Cent. </w:t>
            </w:r>
            <w:r w:rsidRPr="003B6046">
              <w:rPr>
                <w:noProof/>
                <w:sz w:val="12"/>
                <w:szCs w:val="12"/>
              </w:rPr>
              <w:t>Asia</w:t>
            </w:r>
          </w:p>
        </w:tc>
        <w:tc>
          <w:tcPr>
            <w:tcW w:w="187" w:type="dxa"/>
            <w:tcBorders>
              <w:top w:val="nil"/>
              <w:left w:val="nil"/>
              <w:right w:val="nil"/>
            </w:tcBorders>
            <w:textDirection w:val="btLr"/>
            <w:tcFitText/>
            <w:vAlign w:val="bottom"/>
          </w:tcPr>
          <w:p w:rsidR="0014564D" w:rsidRPr="00415CC5" w:rsidRDefault="0014564D" w:rsidP="00AD2687">
            <w:pPr>
              <w:ind w:left="113" w:right="113"/>
              <w:rPr>
                <w:sz w:val="12"/>
                <w:szCs w:val="12"/>
              </w:rPr>
            </w:pPr>
            <w:r w:rsidRPr="003B6046">
              <w:rPr>
                <w:sz w:val="12"/>
                <w:szCs w:val="12"/>
              </w:rPr>
              <w:t xml:space="preserve">17. Latin </w:t>
            </w:r>
            <w:r w:rsidRPr="003B6046">
              <w:rPr>
                <w:noProof/>
                <w:sz w:val="12"/>
                <w:szCs w:val="12"/>
              </w:rPr>
              <w:t>America</w:t>
            </w:r>
          </w:p>
        </w:tc>
        <w:tc>
          <w:tcPr>
            <w:tcW w:w="187" w:type="dxa"/>
            <w:tcBorders>
              <w:top w:val="nil"/>
              <w:left w:val="nil"/>
              <w:right w:val="nil"/>
            </w:tcBorders>
            <w:shd w:val="clear" w:color="auto" w:fill="E7E6E6" w:themeFill="background2"/>
            <w:textDirection w:val="btLr"/>
            <w:tcFitText/>
            <w:vAlign w:val="bottom"/>
          </w:tcPr>
          <w:p w:rsidR="0014564D" w:rsidRPr="00415CC5" w:rsidRDefault="0014564D" w:rsidP="00AD2687">
            <w:pPr>
              <w:ind w:left="113" w:right="113"/>
              <w:rPr>
                <w:sz w:val="12"/>
                <w:szCs w:val="12"/>
              </w:rPr>
            </w:pPr>
            <w:r w:rsidRPr="003B6046">
              <w:rPr>
                <w:sz w:val="12"/>
                <w:szCs w:val="12"/>
              </w:rPr>
              <w:t xml:space="preserve">18. Mid  East &amp; North </w:t>
            </w:r>
            <w:r w:rsidRPr="003B6046">
              <w:rPr>
                <w:noProof/>
                <w:sz w:val="12"/>
                <w:szCs w:val="12"/>
              </w:rPr>
              <w:t>Africa</w:t>
            </w:r>
          </w:p>
        </w:tc>
        <w:tc>
          <w:tcPr>
            <w:tcW w:w="187" w:type="dxa"/>
            <w:tcBorders>
              <w:top w:val="nil"/>
              <w:left w:val="nil"/>
              <w:right w:val="nil"/>
            </w:tcBorders>
            <w:textDirection w:val="btLr"/>
            <w:tcFitText/>
            <w:vAlign w:val="bottom"/>
          </w:tcPr>
          <w:p w:rsidR="0014564D" w:rsidRPr="00415CC5" w:rsidRDefault="0014564D" w:rsidP="00AD2687">
            <w:pPr>
              <w:ind w:left="113" w:right="113"/>
              <w:rPr>
                <w:sz w:val="12"/>
                <w:szCs w:val="12"/>
              </w:rPr>
            </w:pPr>
            <w:r w:rsidRPr="003B6046">
              <w:rPr>
                <w:sz w:val="12"/>
                <w:szCs w:val="12"/>
              </w:rPr>
              <w:t xml:space="preserve">19. Sub-Saharan </w:t>
            </w:r>
            <w:r w:rsidRPr="003B6046">
              <w:rPr>
                <w:noProof/>
                <w:sz w:val="12"/>
                <w:szCs w:val="12"/>
              </w:rPr>
              <w:t>Africa</w:t>
            </w:r>
          </w:p>
        </w:tc>
        <w:tc>
          <w:tcPr>
            <w:tcW w:w="187" w:type="dxa"/>
            <w:tcBorders>
              <w:top w:val="nil"/>
              <w:left w:val="nil"/>
              <w:right w:val="nil"/>
            </w:tcBorders>
            <w:shd w:val="clear" w:color="auto" w:fill="E7E6E6" w:themeFill="background2"/>
            <w:textDirection w:val="btLr"/>
            <w:tcFitText/>
          </w:tcPr>
          <w:p w:rsidR="0014564D" w:rsidRPr="00415CC5" w:rsidRDefault="0014564D" w:rsidP="00AD2687">
            <w:pPr>
              <w:ind w:left="113" w:right="113"/>
              <w:rPr>
                <w:sz w:val="12"/>
                <w:szCs w:val="12"/>
              </w:rPr>
            </w:pPr>
            <w:r w:rsidRPr="003B6046">
              <w:rPr>
                <w:sz w:val="12"/>
                <w:szCs w:val="12"/>
              </w:rPr>
              <w:t>20. Core</w:t>
            </w:r>
          </w:p>
        </w:tc>
        <w:tc>
          <w:tcPr>
            <w:tcW w:w="187" w:type="dxa"/>
            <w:tcBorders>
              <w:top w:val="nil"/>
              <w:left w:val="nil"/>
              <w:right w:val="nil"/>
            </w:tcBorders>
            <w:textDirection w:val="btLr"/>
            <w:tcFitText/>
          </w:tcPr>
          <w:p w:rsidR="0014564D" w:rsidRPr="00415CC5" w:rsidRDefault="0014564D" w:rsidP="00AD2687">
            <w:pPr>
              <w:ind w:left="113" w:right="113"/>
              <w:rPr>
                <w:sz w:val="12"/>
                <w:szCs w:val="12"/>
              </w:rPr>
            </w:pPr>
            <w:r w:rsidRPr="00525FCF">
              <w:rPr>
                <w:sz w:val="12"/>
                <w:szCs w:val="12"/>
              </w:rPr>
              <w:t>21. Semiperiphery</w:t>
            </w:r>
          </w:p>
        </w:tc>
        <w:tc>
          <w:tcPr>
            <w:tcW w:w="187" w:type="dxa"/>
            <w:tcBorders>
              <w:top w:val="nil"/>
              <w:left w:val="nil"/>
            </w:tcBorders>
            <w:shd w:val="clear" w:color="auto" w:fill="E7E6E6" w:themeFill="background2"/>
            <w:textDirection w:val="btLr"/>
            <w:tcFitText/>
          </w:tcPr>
          <w:p w:rsidR="0014564D" w:rsidRPr="00415CC5" w:rsidRDefault="0014564D" w:rsidP="00AD2687">
            <w:pPr>
              <w:ind w:left="113" w:right="113"/>
              <w:rPr>
                <w:sz w:val="12"/>
                <w:szCs w:val="12"/>
              </w:rPr>
            </w:pPr>
            <w:r w:rsidRPr="003B6046">
              <w:rPr>
                <w:sz w:val="12"/>
                <w:szCs w:val="12"/>
              </w:rPr>
              <w:t>22. Periphery</w:t>
            </w:r>
          </w:p>
        </w:tc>
      </w:tr>
    </w:tbl>
    <w:p w:rsidR="00AD5C82" w:rsidRDefault="00AD5C82" w:rsidP="00C70BEA">
      <w:pPr>
        <w:spacing w:after="200" w:line="480" w:lineRule="auto"/>
        <w:contextualSpacing/>
        <w:rPr>
          <w:rFonts w:eastAsia="Calibri"/>
          <w:i/>
        </w:rPr>
      </w:pPr>
    </w:p>
    <w:p w:rsidR="006F0D5D" w:rsidRDefault="006F0D5D" w:rsidP="00C70BEA">
      <w:pPr>
        <w:spacing w:after="200" w:line="480" w:lineRule="auto"/>
        <w:contextualSpacing/>
        <w:rPr>
          <w:rFonts w:eastAsia="Calibri"/>
          <w:i/>
        </w:rPr>
      </w:pPr>
    </w:p>
    <w:p w:rsidR="006F0D5D" w:rsidRDefault="006F0D5D" w:rsidP="00C70BEA">
      <w:pPr>
        <w:spacing w:after="200" w:line="480" w:lineRule="auto"/>
        <w:contextualSpacing/>
        <w:rPr>
          <w:rFonts w:eastAsia="Calibri"/>
          <w:i/>
        </w:rPr>
      </w:pPr>
    </w:p>
    <w:p w:rsidR="00C70BEA" w:rsidRPr="00C70BEA" w:rsidRDefault="00C70BEA" w:rsidP="00C70BEA">
      <w:pPr>
        <w:spacing w:after="200" w:line="480" w:lineRule="auto"/>
        <w:contextualSpacing/>
        <w:rPr>
          <w:rFonts w:eastAsia="Calibri"/>
        </w:rPr>
      </w:pPr>
      <w:r w:rsidRPr="00C70BEA">
        <w:rPr>
          <w:rFonts w:eastAsia="Calibri"/>
          <w:i/>
        </w:rPr>
        <w:lastRenderedPageBreak/>
        <w:t>Methods</w:t>
      </w:r>
    </w:p>
    <w:p w:rsidR="00C70BEA" w:rsidRPr="00566527" w:rsidRDefault="00C70BEA" w:rsidP="00C70BEA">
      <w:pPr>
        <w:spacing w:after="200" w:line="480" w:lineRule="auto"/>
        <w:contextualSpacing/>
        <w:rPr>
          <w:rFonts w:eastAsia="Calibri"/>
          <w:highlight w:val="yellow"/>
        </w:rPr>
      </w:pPr>
      <w:r w:rsidRPr="00E13EC7">
        <w:rPr>
          <w:rFonts w:eastAsia="Calibri"/>
          <w:noProof/>
        </w:rPr>
        <w:t xml:space="preserve">In </w:t>
      </w:r>
      <w:r w:rsidR="008D6BD4">
        <w:rPr>
          <w:rFonts w:eastAsia="Calibri"/>
          <w:noProof/>
        </w:rPr>
        <w:t>each of my analyses,</w:t>
      </w:r>
      <w:r w:rsidR="001C1CE8" w:rsidRPr="00E13EC7">
        <w:rPr>
          <w:rFonts w:eastAsia="Calibri"/>
          <w:noProof/>
        </w:rPr>
        <w:t xml:space="preserve"> </w:t>
      </w:r>
      <w:r w:rsidRPr="00E13EC7">
        <w:rPr>
          <w:rFonts w:eastAsia="Calibri"/>
          <w:noProof/>
        </w:rPr>
        <w:t>the effect of inequality on incarceration rates</w:t>
      </w:r>
      <w:r w:rsidR="001C1CE8" w:rsidRPr="00E13EC7">
        <w:rPr>
          <w:rFonts w:eastAsia="Calibri"/>
          <w:noProof/>
        </w:rPr>
        <w:t xml:space="preserve">, </w:t>
      </w:r>
      <w:r w:rsidRPr="00E13EC7">
        <w:rPr>
          <w:rFonts w:eastAsia="Calibri"/>
          <w:noProof/>
        </w:rPr>
        <w:t>the effect of world-systems position on incarceration rates,</w:t>
      </w:r>
      <w:r w:rsidR="001C1CE8" w:rsidRPr="00E13EC7">
        <w:rPr>
          <w:rFonts w:eastAsia="Calibri"/>
          <w:noProof/>
        </w:rPr>
        <w:t xml:space="preserve"> and the impact of modernization on incarceration rates</w:t>
      </w:r>
      <w:r w:rsidR="00AF5C7B" w:rsidRPr="00E13EC7">
        <w:rPr>
          <w:rFonts w:eastAsia="Calibri"/>
          <w:noProof/>
        </w:rPr>
        <w:t>,</w:t>
      </w:r>
      <w:r w:rsidRPr="00E13EC7">
        <w:rPr>
          <w:rFonts w:eastAsia="Calibri"/>
          <w:noProof/>
        </w:rPr>
        <w:t xml:space="preserve"> I use </w:t>
      </w:r>
      <w:r w:rsidR="0011582A" w:rsidRPr="00525FCF">
        <w:rPr>
          <w:rFonts w:eastAsia="Calibri"/>
          <w:noProof/>
        </w:rPr>
        <w:t>fixed-effects</w:t>
      </w:r>
      <w:r w:rsidR="0011582A" w:rsidRPr="00E13EC7">
        <w:rPr>
          <w:rFonts w:eastAsia="Calibri"/>
          <w:noProof/>
        </w:rPr>
        <w:t xml:space="preserve"> (FE)</w:t>
      </w:r>
      <w:r w:rsidR="0011582A">
        <w:rPr>
          <w:rFonts w:eastAsia="Calibri"/>
          <w:noProof/>
        </w:rPr>
        <w:t xml:space="preserve"> and</w:t>
      </w:r>
      <w:r w:rsidR="0011582A" w:rsidRPr="00E13EC7">
        <w:rPr>
          <w:rFonts w:eastAsia="Calibri"/>
          <w:noProof/>
        </w:rPr>
        <w:t xml:space="preserve"> </w:t>
      </w:r>
      <w:r w:rsidR="0011582A">
        <w:rPr>
          <w:rFonts w:eastAsia="Calibri"/>
          <w:noProof/>
        </w:rPr>
        <w:t xml:space="preserve">random effects (RE) </w:t>
      </w:r>
      <w:r w:rsidRPr="00E13EC7">
        <w:rPr>
          <w:rFonts w:eastAsia="Calibri"/>
          <w:noProof/>
        </w:rPr>
        <w:t>regression on my panel data.</w:t>
      </w:r>
      <w:r w:rsidRPr="00C70BEA">
        <w:rPr>
          <w:rFonts w:eastAsia="Calibri"/>
        </w:rPr>
        <w:t xml:space="preserve"> According to Wooldridge</w:t>
      </w:r>
      <w:r w:rsidR="00AF5C7B">
        <w:rPr>
          <w:rFonts w:eastAsia="Calibri"/>
        </w:rPr>
        <w:t xml:space="preserve"> (2009)</w:t>
      </w:r>
      <w:r w:rsidRPr="00C70BEA">
        <w:rPr>
          <w:rFonts w:eastAsia="Calibri"/>
        </w:rPr>
        <w:t>, “FE is widely thought to be a more convincing tool for estimating</w:t>
      </w:r>
      <w:r w:rsidR="00AF5C7B">
        <w:rPr>
          <w:rFonts w:eastAsia="Calibri"/>
        </w:rPr>
        <w:t xml:space="preserve"> ceteris paribus effects” (p. 493). Although FE</w:t>
      </w:r>
      <w:r w:rsidRPr="00C70BEA">
        <w:rPr>
          <w:rFonts w:eastAsia="Calibri"/>
        </w:rPr>
        <w:t xml:space="preserve"> models are not preferred when explanatory variables are constant over time, </w:t>
      </w:r>
      <w:r w:rsidRPr="00E13EC7">
        <w:rPr>
          <w:rFonts w:eastAsia="Calibri"/>
          <w:noProof/>
        </w:rPr>
        <w:t>I</w:t>
      </w:r>
      <w:r w:rsidRPr="00C70BEA">
        <w:rPr>
          <w:rFonts w:eastAsia="Calibri"/>
        </w:rPr>
        <w:t xml:space="preserve"> address this by interacting the time-invariant term with a standardized time variable. Standardizing the time variable places the mean at 0 with a standard deviation of 1, which provides the impact of the time-</w:t>
      </w:r>
      <w:r w:rsidR="00AF5C7B">
        <w:rPr>
          <w:rFonts w:eastAsia="Calibri"/>
        </w:rPr>
        <w:t>invariant terms at the mid-</w:t>
      </w:r>
      <w:r w:rsidRPr="00AF5C7B">
        <w:rPr>
          <w:rFonts w:eastAsia="Calibri"/>
        </w:rPr>
        <w:t xml:space="preserve">point of the </w:t>
      </w:r>
      <w:r w:rsidRPr="00525FCF">
        <w:rPr>
          <w:rFonts w:eastAsia="Calibri"/>
          <w:noProof/>
        </w:rPr>
        <w:t>time period</w:t>
      </w:r>
      <w:r w:rsidRPr="00AF5C7B">
        <w:rPr>
          <w:rFonts w:eastAsia="Calibri"/>
        </w:rPr>
        <w:t xml:space="preserve">. </w:t>
      </w:r>
      <w:r w:rsidR="0011582A">
        <w:rPr>
          <w:rFonts w:eastAsia="Calibri"/>
        </w:rPr>
        <w:t>Using RE models assumes a lack of correlation between the unobserved effect with “each explanatory variable in all time periods” (Wooldridge 2009:489).</w:t>
      </w:r>
    </w:p>
    <w:p w:rsidR="00AF5C7B" w:rsidRDefault="00AF5C7B" w:rsidP="00AF5C7B">
      <w:pPr>
        <w:spacing w:after="200" w:line="480" w:lineRule="auto"/>
        <w:ind w:firstLine="720"/>
        <w:contextualSpacing/>
        <w:rPr>
          <w:rFonts w:eastAsia="Calibri"/>
        </w:rPr>
      </w:pPr>
      <w:r>
        <w:rPr>
          <w:rFonts w:eastAsia="Calibri"/>
        </w:rPr>
        <w:t>From Wooldri</w:t>
      </w:r>
      <w:r w:rsidR="0011582A">
        <w:rPr>
          <w:rFonts w:eastAsia="Calibri"/>
        </w:rPr>
        <w:t>dge (2009:503) the formula for F</w:t>
      </w:r>
      <w:r>
        <w:rPr>
          <w:rFonts w:eastAsia="Calibri"/>
        </w:rPr>
        <w:t xml:space="preserve">E </w:t>
      </w:r>
      <w:r w:rsidR="0011582A">
        <w:rPr>
          <w:rFonts w:eastAsia="Calibri"/>
        </w:rPr>
        <w:t>and R</w:t>
      </w:r>
      <w:r w:rsidR="00A110A1">
        <w:rPr>
          <w:rFonts w:eastAsia="Calibri"/>
        </w:rPr>
        <w:t xml:space="preserve">E </w:t>
      </w:r>
      <w:r>
        <w:rPr>
          <w:rFonts w:eastAsia="Calibri"/>
        </w:rPr>
        <w:t>models is:</w:t>
      </w:r>
    </w:p>
    <w:p w:rsidR="00AF5C7B" w:rsidRDefault="00AF5C7B" w:rsidP="00AF5C7B">
      <w:pPr>
        <w:jc w:val="center"/>
      </w:pPr>
      <w:r>
        <w:rPr>
          <w:i/>
        </w:rPr>
        <w:t>y</w:t>
      </w:r>
      <w:r>
        <w:rPr>
          <w:i/>
          <w:vertAlign w:val="subscript"/>
        </w:rPr>
        <w:t>it</w:t>
      </w:r>
      <w:r>
        <w:rPr>
          <w:i/>
        </w:rPr>
        <w:t xml:space="preserve"> = β</w:t>
      </w:r>
      <w:r>
        <w:rPr>
          <w:vertAlign w:val="subscript"/>
        </w:rPr>
        <w:t>1</w:t>
      </w:r>
      <w:r>
        <w:rPr>
          <w:i/>
        </w:rPr>
        <w:t>x</w:t>
      </w:r>
      <w:r>
        <w:rPr>
          <w:i/>
          <w:vertAlign w:val="subscript"/>
        </w:rPr>
        <w:t>it</w:t>
      </w:r>
      <w:r>
        <w:rPr>
          <w:vertAlign w:val="subscript"/>
        </w:rPr>
        <w:t xml:space="preserve">1 </w:t>
      </w:r>
      <w:r w:rsidRPr="00E0116E">
        <w:t>+</w:t>
      </w:r>
      <w:r>
        <w:rPr>
          <w:vertAlign w:val="subscript"/>
        </w:rPr>
        <w:t xml:space="preserve"> . . . + </w:t>
      </w:r>
      <w:r w:rsidRPr="00E0116E">
        <w:rPr>
          <w:i/>
        </w:rPr>
        <w:t>β</w:t>
      </w:r>
      <w:r>
        <w:rPr>
          <w:i/>
          <w:vertAlign w:val="subscript"/>
        </w:rPr>
        <w:t>k</w:t>
      </w:r>
      <w:r w:rsidRPr="00E0116E">
        <w:rPr>
          <w:i/>
        </w:rPr>
        <w:t>x</w:t>
      </w:r>
      <w:r w:rsidRPr="00E0116E">
        <w:rPr>
          <w:i/>
          <w:vertAlign w:val="subscript"/>
        </w:rPr>
        <w:t>it</w:t>
      </w:r>
      <w:r>
        <w:rPr>
          <w:i/>
          <w:vertAlign w:val="subscript"/>
        </w:rPr>
        <w:t xml:space="preserve">k </w:t>
      </w:r>
      <w:r>
        <w:t xml:space="preserve"> + </w:t>
      </w:r>
      <w:r>
        <w:rPr>
          <w:i/>
        </w:rPr>
        <w:t>α</w:t>
      </w:r>
      <w:r>
        <w:rPr>
          <w:i/>
          <w:vertAlign w:val="subscript"/>
        </w:rPr>
        <w:t>i</w:t>
      </w:r>
      <w:r>
        <w:rPr>
          <w:vertAlign w:val="subscript"/>
        </w:rPr>
        <w:t xml:space="preserve"> </w:t>
      </w:r>
      <w:r>
        <w:t xml:space="preserve">+ </w:t>
      </w:r>
      <w:r>
        <w:rPr>
          <w:i/>
        </w:rPr>
        <w:t>u</w:t>
      </w:r>
      <w:r>
        <w:rPr>
          <w:i/>
          <w:vertAlign w:val="subscript"/>
        </w:rPr>
        <w:t>it</w:t>
      </w:r>
      <w:r>
        <w:rPr>
          <w:i/>
        </w:rPr>
        <w:t>, t =</w:t>
      </w:r>
      <w:r>
        <w:t xml:space="preserve"> 1, . . .,</w:t>
      </w:r>
      <w:r>
        <w:rPr>
          <w:i/>
        </w:rPr>
        <w:t>T,</w:t>
      </w:r>
    </w:p>
    <w:p w:rsidR="00AF5C7B" w:rsidRDefault="00AF5C7B" w:rsidP="00AF5C7B">
      <w:pPr>
        <w:spacing w:line="480" w:lineRule="auto"/>
        <w:contextualSpacing/>
      </w:pPr>
      <w:r>
        <w:t xml:space="preserve">where the </w:t>
      </w:r>
      <w:r>
        <w:rPr>
          <w:i/>
        </w:rPr>
        <w:t>β</w:t>
      </w:r>
      <w:r>
        <w:t xml:space="preserve"> are the parameters to estimate, </w:t>
      </w:r>
      <w:r>
        <w:rPr>
          <w:i/>
        </w:rPr>
        <w:t>α</w:t>
      </w:r>
      <w:r>
        <w:rPr>
          <w:i/>
          <w:vertAlign w:val="subscript"/>
        </w:rPr>
        <w:t>i</w:t>
      </w:r>
      <w:r>
        <w:rPr>
          <w:i/>
        </w:rPr>
        <w:t xml:space="preserve"> </w:t>
      </w:r>
      <w:r>
        <w:t xml:space="preserve">is the unobserved effect, and </w:t>
      </w:r>
      <w:r w:rsidRPr="00E13EC7">
        <w:rPr>
          <w:i/>
          <w:noProof/>
        </w:rPr>
        <w:t>u</w:t>
      </w:r>
      <w:r w:rsidRPr="00E13EC7">
        <w:rPr>
          <w:i/>
          <w:noProof/>
          <w:vertAlign w:val="subscript"/>
        </w:rPr>
        <w:t>it</w:t>
      </w:r>
      <w:r>
        <w:rPr>
          <w:vertAlign w:val="subscript"/>
        </w:rPr>
        <w:t xml:space="preserve"> </w:t>
      </w:r>
      <w:r>
        <w:t xml:space="preserve">is the idiosyncratic error. </w:t>
      </w:r>
    </w:p>
    <w:p w:rsidR="00F12A36" w:rsidRDefault="00F12A36" w:rsidP="00AF5C7B">
      <w:pPr>
        <w:spacing w:line="480" w:lineRule="auto"/>
        <w:contextualSpacing/>
      </w:pPr>
      <w:r>
        <w:tab/>
        <w:t xml:space="preserve">For all of </w:t>
      </w:r>
      <w:r w:rsidRPr="00E13EC7">
        <w:rPr>
          <w:noProof/>
        </w:rPr>
        <w:t>my</w:t>
      </w:r>
      <w:r>
        <w:t xml:space="preserve"> </w:t>
      </w:r>
      <w:r w:rsidRPr="00E13EC7">
        <w:rPr>
          <w:noProof/>
        </w:rPr>
        <w:t>analyses</w:t>
      </w:r>
      <w:r>
        <w:t xml:space="preserve">, </w:t>
      </w:r>
      <w:r w:rsidRPr="00E13EC7">
        <w:rPr>
          <w:noProof/>
        </w:rPr>
        <w:t>I</w:t>
      </w:r>
      <w:r>
        <w:t xml:space="preserve"> use Stata/IC 12.1 for Windows. </w:t>
      </w:r>
      <w:r w:rsidR="0050593B">
        <w:t xml:space="preserve">Stata uses a series of </w:t>
      </w:r>
      <w:r w:rsidR="0050593B" w:rsidRPr="00525FCF">
        <w:rPr>
          <w:noProof/>
        </w:rPr>
        <w:t>xt</w:t>
      </w:r>
      <w:r w:rsidR="0050593B">
        <w:t xml:space="preserve"> commands for panel </w:t>
      </w:r>
      <w:r w:rsidR="0050593B" w:rsidRPr="00BC59A1">
        <w:rPr>
          <w:noProof/>
        </w:rPr>
        <w:t>data</w:t>
      </w:r>
      <w:r w:rsidR="00BC59A1">
        <w:rPr>
          <w:noProof/>
        </w:rPr>
        <w:t xml:space="preserve"> </w:t>
      </w:r>
      <w:r w:rsidR="0050593B" w:rsidRPr="00BC59A1">
        <w:rPr>
          <w:noProof/>
        </w:rPr>
        <w:t>sets</w:t>
      </w:r>
      <w:r w:rsidR="0050593B">
        <w:t xml:space="preserve">. “Panel datasets have the form </w:t>
      </w:r>
      <w:r w:rsidR="0050593B" w:rsidRPr="00525FCF">
        <w:rPr>
          <w:noProof/>
        </w:rPr>
        <w:t>x</w:t>
      </w:r>
      <w:r w:rsidR="0050593B" w:rsidRPr="00525FCF">
        <w:rPr>
          <w:noProof/>
          <w:vertAlign w:val="subscript"/>
        </w:rPr>
        <w:t>it</w:t>
      </w:r>
      <w:r w:rsidR="0050593B">
        <w:t xml:space="preserve">, where </w:t>
      </w:r>
      <w:r w:rsidR="0050593B" w:rsidRPr="00525FCF">
        <w:rPr>
          <w:noProof/>
        </w:rPr>
        <w:t>x</w:t>
      </w:r>
      <w:r w:rsidR="0050593B" w:rsidRPr="00525FCF">
        <w:rPr>
          <w:noProof/>
          <w:vertAlign w:val="subscript"/>
        </w:rPr>
        <w:t>it</w:t>
      </w:r>
      <w:r w:rsidR="0050593B">
        <w:t xml:space="preserve"> is a vector of observations for unit </w:t>
      </w:r>
      <w:r w:rsidR="0050593B" w:rsidRPr="00525FCF">
        <w:rPr>
          <w:i/>
          <w:noProof/>
        </w:rPr>
        <w:t>i</w:t>
      </w:r>
      <w:r w:rsidR="0050593B">
        <w:rPr>
          <w:i/>
        </w:rPr>
        <w:t xml:space="preserve"> </w:t>
      </w:r>
      <w:r w:rsidR="0050593B">
        <w:t xml:space="preserve">and time </w:t>
      </w:r>
      <w:r w:rsidR="0050593B">
        <w:rPr>
          <w:i/>
        </w:rPr>
        <w:t>t</w:t>
      </w:r>
      <w:r w:rsidR="0050593B">
        <w:t xml:space="preserve">” (Stata 2011:3). </w:t>
      </w:r>
      <w:r w:rsidRPr="0050593B">
        <w:t>The</w:t>
      </w:r>
      <w:r>
        <w:t xml:space="preserve"> </w:t>
      </w:r>
      <w:r w:rsidRPr="00525FCF">
        <w:rPr>
          <w:noProof/>
        </w:rPr>
        <w:t>xtregar</w:t>
      </w:r>
      <w:r>
        <w:t xml:space="preserve"> command in Stata allows </w:t>
      </w:r>
      <w:r w:rsidRPr="00E13EC7">
        <w:rPr>
          <w:noProof/>
        </w:rPr>
        <w:t>me</w:t>
      </w:r>
      <w:r>
        <w:t xml:space="preserve"> to conduct fixed- or random-effects </w:t>
      </w:r>
      <w:r w:rsidRPr="00E13EC7">
        <w:rPr>
          <w:noProof/>
        </w:rPr>
        <w:t>analyses</w:t>
      </w:r>
      <w:r>
        <w:t xml:space="preserve">, with an autoregressive process of order one (AR(1)) disturbance. An AR(1) disturbance occurs in “time series models whose current value depends linearly on its most recent value plus an unpredictable </w:t>
      </w:r>
      <w:r w:rsidRPr="00525FCF">
        <w:rPr>
          <w:noProof/>
        </w:rPr>
        <w:t>disturbance</w:t>
      </w:r>
      <w:r>
        <w:t xml:space="preserve">” (Wooldridge 2009:835). </w:t>
      </w:r>
    </w:p>
    <w:p w:rsidR="0011582A" w:rsidRPr="00BC59A1" w:rsidRDefault="0011582A" w:rsidP="00AF5C7B">
      <w:pPr>
        <w:spacing w:line="480" w:lineRule="auto"/>
        <w:contextualSpacing/>
        <w:rPr>
          <w:noProof/>
        </w:rPr>
      </w:pPr>
      <w:r>
        <w:lastRenderedPageBreak/>
        <w:tab/>
        <w:t xml:space="preserve">Fixed-effects regressions produce </w:t>
      </w:r>
      <w:r>
        <w:rPr>
          <w:i/>
        </w:rPr>
        <w:t>t</w:t>
      </w:r>
      <w:r>
        <w:t xml:space="preserve">-values, which test the hypothesis that the mean of the variable is zero. Higher </w:t>
      </w:r>
      <w:r>
        <w:rPr>
          <w:i/>
        </w:rPr>
        <w:t>t</w:t>
      </w:r>
      <w:r>
        <w:t>-</w:t>
      </w:r>
      <w:r w:rsidRPr="0011582A">
        <w:t>scores</w:t>
      </w:r>
      <w:r>
        <w:t xml:space="preserve"> and resultant indicators of significance allow us to reject that </w:t>
      </w:r>
      <w:r w:rsidRPr="00525FCF">
        <w:rPr>
          <w:noProof/>
        </w:rPr>
        <w:t>hypothesis</w:t>
      </w:r>
      <w:r>
        <w:t xml:space="preserve">, and </w:t>
      </w:r>
      <w:r w:rsidRPr="00525FCF">
        <w:rPr>
          <w:noProof/>
        </w:rPr>
        <w:t>are reported</w:t>
      </w:r>
      <w:r>
        <w:t xml:space="preserve"> as a part of the analysis. Likewise, RE regressions produce </w:t>
      </w:r>
      <w:r w:rsidRPr="00525FCF">
        <w:rPr>
          <w:i/>
          <w:noProof/>
        </w:rPr>
        <w:t>z</w:t>
      </w:r>
      <w:r w:rsidRPr="00525FCF">
        <w:rPr>
          <w:noProof/>
        </w:rPr>
        <w:t>-scores</w:t>
      </w:r>
      <w:r>
        <w:t xml:space="preserve">, which </w:t>
      </w:r>
      <w:r w:rsidRPr="00525FCF">
        <w:rPr>
          <w:noProof/>
        </w:rPr>
        <w:t>are also reported</w:t>
      </w:r>
      <w:r>
        <w:t xml:space="preserve"> in the text of this study. </w:t>
      </w:r>
      <w:r w:rsidR="001B0FF1">
        <w:t xml:space="preserve">Coefficients and standard errors </w:t>
      </w:r>
      <w:r w:rsidR="001B0FF1" w:rsidRPr="00525FCF">
        <w:rPr>
          <w:noProof/>
        </w:rPr>
        <w:t>are reported</w:t>
      </w:r>
      <w:r w:rsidR="001B0FF1">
        <w:t xml:space="preserve"> in associated </w:t>
      </w:r>
      <w:r w:rsidR="001B0FF1" w:rsidRPr="00BC59A1">
        <w:rPr>
          <w:noProof/>
        </w:rPr>
        <w:t>tables.</w:t>
      </w:r>
    </w:p>
    <w:p w:rsidR="00F12A36" w:rsidRDefault="00F12A36" w:rsidP="0050593B">
      <w:pPr>
        <w:spacing w:line="480" w:lineRule="auto"/>
        <w:contextualSpacing/>
        <w:rPr>
          <w:rFonts w:eastAsiaTheme="minorEastAsia"/>
        </w:rPr>
      </w:pPr>
      <w:r w:rsidRPr="00BC59A1">
        <w:rPr>
          <w:noProof/>
        </w:rPr>
        <w:tab/>
        <w:t xml:space="preserve">Stata reports three values for </w:t>
      </w:r>
      <w:r w:rsidRPr="00BC59A1">
        <w:rPr>
          <w:i/>
          <w:noProof/>
        </w:rPr>
        <w:t>R</w:t>
      </w:r>
      <w:r w:rsidRPr="00BC59A1">
        <w:rPr>
          <w:i/>
          <w:noProof/>
          <w:vertAlign w:val="superscript"/>
        </w:rPr>
        <w:t>2</w:t>
      </w:r>
      <w:r w:rsidR="00A110A1" w:rsidRPr="00BC59A1">
        <w:rPr>
          <w:noProof/>
        </w:rPr>
        <w:t xml:space="preserve"> for</w:t>
      </w:r>
      <w:r w:rsidR="00A110A1">
        <w:t xml:space="preserve"> both models</w:t>
      </w:r>
      <w:r>
        <w:t xml:space="preserve">: </w:t>
      </w:r>
      <w:r>
        <w:rPr>
          <w:i/>
        </w:rPr>
        <w:t>R</w:t>
      </w:r>
      <w:r>
        <w:rPr>
          <w:i/>
          <w:vertAlign w:val="superscript"/>
        </w:rPr>
        <w:t>2</w:t>
      </w:r>
      <w:r>
        <w:t xml:space="preserve"> within is the </w:t>
      </w:r>
      <w:r>
        <w:rPr>
          <w:i/>
        </w:rPr>
        <w:t>R</w:t>
      </w:r>
      <w:r>
        <w:rPr>
          <w:i/>
          <w:vertAlign w:val="superscript"/>
        </w:rPr>
        <w:t>2</w:t>
      </w:r>
      <w:r>
        <w:t xml:space="preserve"> computed from the mean-deviated regression; </w:t>
      </w:r>
      <w:r w:rsidRPr="00E13EC7">
        <w:rPr>
          <w:i/>
          <w:noProof/>
        </w:rPr>
        <w:t>R</w:t>
      </w:r>
      <w:r w:rsidRPr="00E13EC7">
        <w:rPr>
          <w:i/>
          <w:noProof/>
          <w:vertAlign w:val="superscript"/>
        </w:rPr>
        <w:t>2</w:t>
      </w:r>
      <w:r w:rsidRPr="00E13EC7">
        <w:rPr>
          <w:noProof/>
        </w:rPr>
        <w:t xml:space="preserve"> between</w:t>
      </w:r>
      <w:r>
        <w:t xml:space="preserve"> is equal to {corr (</w:t>
      </w:r>
      <m:oMath>
        <m:acc>
          <m:accPr>
            <m:chr m:val="̅"/>
            <m:ctrlPr>
              <w:rPr>
                <w:rFonts w:ascii="Cambria Math" w:hAnsi="Cambria Math"/>
                <w:i/>
              </w:rPr>
            </m:ctrlPr>
          </m:accPr>
          <m:e>
            <m:r>
              <w:rPr>
                <w:rFonts w:ascii="Cambria Math" w:hAnsi="Cambria Math"/>
              </w:rPr>
              <m:t>x</m:t>
            </m:r>
          </m:e>
        </m:acc>
      </m:oMath>
      <w:r>
        <w:rPr>
          <w:rFonts w:eastAsiaTheme="minorEastAsia"/>
          <w:vertAlign w:val="subscript"/>
        </w:rPr>
        <w:t>i</w:t>
      </w:r>
      <m:oMath>
        <m:acc>
          <m:accPr>
            <m:ctrlPr>
              <w:rPr>
                <w:rFonts w:ascii="Cambria Math" w:eastAsiaTheme="minorEastAsia" w:hAnsi="Cambria Math"/>
                <w:i/>
              </w:rPr>
            </m:ctrlPr>
          </m:accPr>
          <m:e>
            <m:r>
              <w:rPr>
                <w:rFonts w:ascii="Cambria Math" w:eastAsiaTheme="minorEastAsia" w:hAnsi="Cambria Math"/>
              </w:rPr>
              <m:t>β</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y</m:t>
            </m:r>
          </m:e>
        </m:acc>
      </m:oMath>
      <w:r>
        <w:rPr>
          <w:rFonts w:eastAsiaTheme="minorEastAsia"/>
          <w:vertAlign w:val="subscript"/>
        </w:rPr>
        <w:t>i</w:t>
      </w:r>
      <w:r>
        <w:rPr>
          <w:rFonts w:eastAsiaTheme="minorEastAsia"/>
        </w:rPr>
        <w:t>)}</w:t>
      </w:r>
      <w:r>
        <w:rPr>
          <w:rFonts w:eastAsiaTheme="minorEastAsia"/>
          <w:vertAlign w:val="superscript"/>
        </w:rPr>
        <w:t>2</w:t>
      </w:r>
      <w:r>
        <w:rPr>
          <w:rFonts w:eastAsiaTheme="minorEastAsia"/>
        </w:rPr>
        <w:t xml:space="preserve">; and </w:t>
      </w:r>
      <w:r>
        <w:rPr>
          <w:rFonts w:eastAsiaTheme="minorEastAsia"/>
          <w:i/>
        </w:rPr>
        <w:t>R</w:t>
      </w:r>
      <w:r>
        <w:rPr>
          <w:rFonts w:eastAsiaTheme="minorEastAsia"/>
          <w:i/>
          <w:vertAlign w:val="superscript"/>
        </w:rPr>
        <w:t>2</w:t>
      </w:r>
      <w:r>
        <w:rPr>
          <w:rFonts w:eastAsiaTheme="minorEastAsia"/>
        </w:rPr>
        <w:t xml:space="preserve"> overall is equal to {corr (</w:t>
      </w:r>
      <w:r>
        <w:rPr>
          <w:rFonts w:eastAsiaTheme="minorEastAsia"/>
          <w:i/>
        </w:rPr>
        <w:t>x</w:t>
      </w:r>
      <w:r w:rsidRPr="00823576">
        <w:rPr>
          <w:rFonts w:eastAsiaTheme="minorEastAsia"/>
          <w:i/>
          <w:vertAlign w:val="subscript"/>
        </w:rPr>
        <w:t>it</w:t>
      </w:r>
      <m:oMath>
        <m:acc>
          <m:accPr>
            <m:ctrlPr>
              <w:rPr>
                <w:rFonts w:ascii="Cambria Math" w:eastAsiaTheme="minorEastAsia" w:hAnsi="Cambria Math"/>
                <w:i/>
              </w:rPr>
            </m:ctrlPr>
          </m:accPr>
          <m:e>
            <m:r>
              <w:rPr>
                <w:rFonts w:ascii="Cambria Math" w:eastAsiaTheme="minorEastAsia" w:hAnsi="Cambria Math"/>
              </w:rPr>
              <m:t>β</m:t>
            </m:r>
          </m:e>
        </m:acc>
      </m:oMath>
      <w:r>
        <w:rPr>
          <w:rFonts w:eastAsiaTheme="minorEastAsia"/>
        </w:rPr>
        <w:t xml:space="preserve">, </w:t>
      </w:r>
      <w:r>
        <w:rPr>
          <w:rFonts w:eastAsiaTheme="minorEastAsia"/>
          <w:i/>
        </w:rPr>
        <w:t>y</w:t>
      </w:r>
      <w:r>
        <w:rPr>
          <w:rFonts w:eastAsiaTheme="minorEastAsia"/>
          <w:i/>
          <w:vertAlign w:val="subscript"/>
        </w:rPr>
        <w:t>i</w:t>
      </w:r>
      <w:r w:rsidRPr="00823576">
        <w:rPr>
          <w:rFonts w:eastAsiaTheme="minorEastAsia"/>
        </w:rPr>
        <w:t>)}</w:t>
      </w:r>
      <w:r>
        <w:rPr>
          <w:rFonts w:eastAsiaTheme="minorEastAsia"/>
          <w:vertAlign w:val="superscript"/>
        </w:rPr>
        <w:t>2</w:t>
      </w:r>
      <w:r>
        <w:rPr>
          <w:rFonts w:eastAsiaTheme="minorEastAsia"/>
        </w:rPr>
        <w:t xml:space="preserve"> (</w:t>
      </w:r>
      <w:r w:rsidR="00A110A1">
        <w:rPr>
          <w:rFonts w:eastAsiaTheme="minorEastAsia"/>
        </w:rPr>
        <w:t>Stata 2011:493). For all</w:t>
      </w:r>
      <w:r>
        <w:rPr>
          <w:rFonts w:eastAsiaTheme="minorEastAsia"/>
        </w:rPr>
        <w:t xml:space="preserve"> models, I report all three values. </w:t>
      </w:r>
    </w:p>
    <w:p w:rsidR="0011582A" w:rsidRPr="0011582A" w:rsidRDefault="00F12A36" w:rsidP="00AF5C7B">
      <w:pPr>
        <w:spacing w:line="480" w:lineRule="auto"/>
        <w:contextualSpacing/>
      </w:pPr>
      <w:r>
        <w:rPr>
          <w:rFonts w:eastAsiaTheme="minorEastAsia"/>
        </w:rPr>
        <w:tab/>
        <w:t>I run an FE model for the log of incarce</w:t>
      </w:r>
      <w:r w:rsidR="004272CC">
        <w:rPr>
          <w:rFonts w:eastAsiaTheme="minorEastAsia"/>
        </w:rPr>
        <w:t>ration rates for each of my primary</w:t>
      </w:r>
      <w:r>
        <w:rPr>
          <w:rFonts w:eastAsiaTheme="minorEastAsia"/>
        </w:rPr>
        <w:t xml:space="preserve"> independent variables </w:t>
      </w:r>
      <w:r w:rsidRPr="00525FCF">
        <w:rPr>
          <w:rFonts w:eastAsiaTheme="minorEastAsia"/>
          <w:noProof/>
        </w:rPr>
        <w:t>and for</w:t>
      </w:r>
      <w:r>
        <w:rPr>
          <w:rFonts w:eastAsiaTheme="minorEastAsia"/>
        </w:rPr>
        <w:t xml:space="preserve"> my control variables</w:t>
      </w:r>
      <w:r w:rsidR="00AD5C82">
        <w:rPr>
          <w:rFonts w:eastAsiaTheme="minorEastAsia"/>
        </w:rPr>
        <w:t xml:space="preserve">. Noting the stability of my </w:t>
      </w:r>
      <w:r w:rsidR="00AD5C82" w:rsidRPr="00525FCF">
        <w:rPr>
          <w:rFonts w:eastAsiaTheme="minorEastAsia"/>
          <w:noProof/>
        </w:rPr>
        <w:t>chief</w:t>
      </w:r>
      <w:r w:rsidR="00AD5C82">
        <w:rPr>
          <w:rFonts w:eastAsiaTheme="minorEastAsia"/>
        </w:rPr>
        <w:t xml:space="preserve"> predictor variables, income </w:t>
      </w:r>
      <w:r w:rsidR="00AD5C82" w:rsidRPr="00525FCF">
        <w:rPr>
          <w:rFonts w:eastAsiaTheme="minorEastAsia"/>
          <w:noProof/>
        </w:rPr>
        <w:t>inequality</w:t>
      </w:r>
      <w:r w:rsidR="00AD5C82">
        <w:rPr>
          <w:rFonts w:eastAsiaTheme="minorEastAsia"/>
        </w:rPr>
        <w:t xml:space="preserve"> and country wealth, I use the value of the dependent variable contemporaneously (c.f. Killias 1986; Neapolitan 2001). </w:t>
      </w:r>
    </w:p>
    <w:p w:rsidR="00E90606" w:rsidRPr="00E90606" w:rsidRDefault="00F12A36" w:rsidP="00E90606">
      <w:pPr>
        <w:spacing w:line="480" w:lineRule="auto"/>
        <w:ind w:firstLine="720"/>
        <w:contextualSpacing/>
      </w:pPr>
      <w:r>
        <w:rPr>
          <w:rFonts w:eastAsiaTheme="minorEastAsia"/>
        </w:rPr>
        <w:t>Inequality produces a positive and significant coefficient (</w:t>
      </w:r>
      <w:r w:rsidR="00EA3315">
        <w:rPr>
          <w:rFonts w:eastAsiaTheme="minorEastAsia"/>
          <w:i/>
        </w:rPr>
        <w:t>t</w:t>
      </w:r>
      <w:r w:rsidR="00AD5C82">
        <w:rPr>
          <w:rFonts w:eastAsiaTheme="minorEastAsia"/>
        </w:rPr>
        <w:t xml:space="preserve"> = 13.18</w:t>
      </w:r>
      <w:r>
        <w:rPr>
          <w:rFonts w:eastAsiaTheme="minorEastAsia"/>
        </w:rPr>
        <w:t xml:space="preserve">, </w:t>
      </w:r>
      <w:r w:rsidRPr="00F12A36">
        <w:rPr>
          <w:rFonts w:eastAsiaTheme="minorEastAsia"/>
          <w:i/>
        </w:rPr>
        <w:t>p</w:t>
      </w:r>
      <w:r>
        <w:rPr>
          <w:rFonts w:eastAsiaTheme="minorEastAsia"/>
          <w:i/>
        </w:rPr>
        <w:t xml:space="preserve"> </w:t>
      </w:r>
      <w:r>
        <w:rPr>
          <w:rFonts w:eastAsiaTheme="minorEastAsia"/>
        </w:rPr>
        <w:t>&lt; .001). Gross domestic product per capita (logged) also produces a positive and significant coefficient (</w:t>
      </w:r>
      <w:r>
        <w:rPr>
          <w:i/>
        </w:rPr>
        <w:t>t</w:t>
      </w:r>
      <w:r w:rsidR="00AD5C82">
        <w:t xml:space="preserve"> = 23.01</w:t>
      </w:r>
      <w:r>
        <w:t xml:space="preserve">, </w:t>
      </w:r>
      <w:r>
        <w:rPr>
          <w:i/>
        </w:rPr>
        <w:t>p</w:t>
      </w:r>
      <w:r>
        <w:t xml:space="preserve"> &lt;</w:t>
      </w:r>
      <w:r w:rsidR="00EA3315">
        <w:t xml:space="preserve"> </w:t>
      </w:r>
      <w:r>
        <w:t>.001). My democracy measure produces a positive, significant coefficient (</w:t>
      </w:r>
      <w:r>
        <w:rPr>
          <w:i/>
        </w:rPr>
        <w:t>t</w:t>
      </w:r>
      <w:r w:rsidR="00AD5C82">
        <w:t xml:space="preserve"> = 14.45</w:t>
      </w:r>
      <w:r>
        <w:t xml:space="preserve">, </w:t>
      </w:r>
      <w:r>
        <w:rPr>
          <w:i/>
        </w:rPr>
        <w:t>p</w:t>
      </w:r>
      <w:r>
        <w:t xml:space="preserve"> &lt; .001). The following</w:t>
      </w:r>
      <w:r w:rsidR="008D6BD4">
        <w:t xml:space="preserve"> control variables</w:t>
      </w:r>
      <w:r>
        <w:t xml:space="preserve"> produce positive and significant coefficients: percent of the population between ages 15 and 64 (</w:t>
      </w:r>
      <w:r>
        <w:rPr>
          <w:i/>
        </w:rPr>
        <w:t>t</w:t>
      </w:r>
      <w:r w:rsidR="00AD5C82">
        <w:t xml:space="preserve"> = 25.24</w:t>
      </w:r>
      <w:r>
        <w:t xml:space="preserve">, </w:t>
      </w:r>
      <w:r>
        <w:rPr>
          <w:i/>
        </w:rPr>
        <w:t>p</w:t>
      </w:r>
      <w:r>
        <w:t xml:space="preserve"> &lt; .001); percent of the population residing in urban areas (</w:t>
      </w:r>
      <w:r>
        <w:rPr>
          <w:i/>
        </w:rPr>
        <w:t>t</w:t>
      </w:r>
      <w:r w:rsidR="00AD5C82">
        <w:t xml:space="preserve"> = 25.15</w:t>
      </w:r>
      <w:r>
        <w:t xml:space="preserve">, </w:t>
      </w:r>
      <w:r>
        <w:rPr>
          <w:i/>
        </w:rPr>
        <w:t>p</w:t>
      </w:r>
      <w:r>
        <w:t xml:space="preserve"> &lt; .001); countries’ respect for physical integrity rights (</w:t>
      </w:r>
      <w:r>
        <w:rPr>
          <w:i/>
        </w:rPr>
        <w:t>t</w:t>
      </w:r>
      <w:r w:rsidR="00AD5C82">
        <w:t xml:space="preserve"> = 3.02</w:t>
      </w:r>
      <w:r>
        <w:t xml:space="preserve">, </w:t>
      </w:r>
      <w:r>
        <w:rPr>
          <w:i/>
        </w:rPr>
        <w:t>p</w:t>
      </w:r>
      <w:r w:rsidR="00AD5C82">
        <w:t xml:space="preserve"> &lt; .01</w:t>
      </w:r>
      <w:r>
        <w:t xml:space="preserve">); </w:t>
      </w:r>
      <w:r w:rsidR="00EA3315">
        <w:t>percentage of the population that is male (</w:t>
      </w:r>
      <w:r w:rsidR="00EA3315">
        <w:rPr>
          <w:i/>
        </w:rPr>
        <w:t xml:space="preserve">t </w:t>
      </w:r>
      <w:r w:rsidR="00AD5C82">
        <w:t>= 24.51</w:t>
      </w:r>
      <w:r w:rsidR="00EA3315">
        <w:t xml:space="preserve">, </w:t>
      </w:r>
      <w:r w:rsidR="00EA3315">
        <w:rPr>
          <w:i/>
        </w:rPr>
        <w:t xml:space="preserve">p </w:t>
      </w:r>
      <w:r w:rsidR="00EA3315">
        <w:t xml:space="preserve">&lt; .001); </w:t>
      </w:r>
      <w:r w:rsidR="000D6F90">
        <w:t>and the</w:t>
      </w:r>
      <w:r>
        <w:t xml:space="preserve"> percentage of the population over age 15 having completed secondary education (</w:t>
      </w:r>
      <w:r>
        <w:rPr>
          <w:i/>
        </w:rPr>
        <w:t>t</w:t>
      </w:r>
      <w:r w:rsidR="00AD5C82">
        <w:t xml:space="preserve"> = 11.22</w:t>
      </w:r>
      <w:r>
        <w:t xml:space="preserve">, </w:t>
      </w:r>
      <w:r>
        <w:rPr>
          <w:i/>
        </w:rPr>
        <w:t xml:space="preserve">p </w:t>
      </w:r>
      <w:r>
        <w:t xml:space="preserve">&lt; .001). </w:t>
      </w:r>
      <w:r w:rsidR="000D6F90">
        <w:t xml:space="preserve">Both the logged variables for homicide rates and drug offense rates produce positive and significant </w:t>
      </w:r>
      <w:r w:rsidR="000D6F90">
        <w:lastRenderedPageBreak/>
        <w:t>coefficients (</w:t>
      </w:r>
      <w:r w:rsidR="000D6F90">
        <w:rPr>
          <w:i/>
        </w:rPr>
        <w:t xml:space="preserve">t </w:t>
      </w:r>
      <w:r w:rsidR="00AD5C82">
        <w:t>= 3.16</w:t>
      </w:r>
      <w:r w:rsidR="000D6F90">
        <w:t>,</w:t>
      </w:r>
      <w:r w:rsidR="000D6F90">
        <w:rPr>
          <w:i/>
        </w:rPr>
        <w:t xml:space="preserve"> p</w:t>
      </w:r>
      <w:r w:rsidR="00AD5C82">
        <w:t xml:space="preserve"> &lt; .0</w:t>
      </w:r>
      <w:r w:rsidR="000D6F90">
        <w:t xml:space="preserve">1; </w:t>
      </w:r>
      <w:r w:rsidR="000D6F90">
        <w:rPr>
          <w:i/>
        </w:rPr>
        <w:t xml:space="preserve">t </w:t>
      </w:r>
      <w:r w:rsidR="00AD5C82">
        <w:t>= 5.45</w:t>
      </w:r>
      <w:r w:rsidR="000D6F90">
        <w:t xml:space="preserve">, </w:t>
      </w:r>
      <w:r w:rsidR="000D6F90">
        <w:rPr>
          <w:i/>
        </w:rPr>
        <w:t>p</w:t>
      </w:r>
      <w:r w:rsidR="000D6F90">
        <w:t xml:space="preserve"> &lt; .001). </w:t>
      </w:r>
      <w:r>
        <w:t>I also examine ethnic fractionalization, which I interact with standardized time. The interaction of ethnic fractionalization with time provides the effect at the mid-p</w:t>
      </w:r>
      <w:r w:rsidR="00AD5C82">
        <w:t xml:space="preserve">oint of the panel, which is positive and </w:t>
      </w:r>
      <w:r>
        <w:t>non-significant (</w:t>
      </w:r>
      <w:r>
        <w:rPr>
          <w:i/>
        </w:rPr>
        <w:t xml:space="preserve">t = </w:t>
      </w:r>
      <w:r w:rsidR="00AD5C82">
        <w:t>1.05</w:t>
      </w:r>
      <w:r>
        <w:t xml:space="preserve">, </w:t>
      </w:r>
      <w:r>
        <w:rPr>
          <w:i/>
        </w:rPr>
        <w:t xml:space="preserve">p </w:t>
      </w:r>
      <w:r w:rsidR="00AD5C82">
        <w:t>= .296</w:t>
      </w:r>
      <w:r>
        <w:t>) and the standardized time variable produces a positive and significant result (</w:t>
      </w:r>
      <w:r>
        <w:rPr>
          <w:i/>
        </w:rPr>
        <w:t>t</w:t>
      </w:r>
      <w:r w:rsidR="00AD5C82">
        <w:t xml:space="preserve"> = 4.13</w:t>
      </w:r>
      <w:r>
        <w:t xml:space="preserve">, </w:t>
      </w:r>
      <w:r>
        <w:rPr>
          <w:i/>
        </w:rPr>
        <w:t>p</w:t>
      </w:r>
      <w:r>
        <w:t xml:space="preserve"> &lt; .001). </w:t>
      </w:r>
    </w:p>
    <w:p w:rsidR="00C70BEA" w:rsidRPr="00C70BEA" w:rsidRDefault="004272CC" w:rsidP="0011582A">
      <w:pPr>
        <w:spacing w:line="480" w:lineRule="auto"/>
        <w:ind w:firstLine="720"/>
        <w:contextualSpacing/>
        <w:rPr>
          <w:rFonts w:eastAsia="Calibri"/>
        </w:rPr>
      </w:pPr>
      <w:r w:rsidRPr="00F12A36">
        <w:rPr>
          <w:rFonts w:eastAsiaTheme="minorEastAsia"/>
        </w:rPr>
        <w:t>See</w:t>
      </w:r>
      <w:r w:rsidR="00C86B22">
        <w:rPr>
          <w:rFonts w:eastAsiaTheme="minorEastAsia"/>
        </w:rPr>
        <w:t xml:space="preserve"> Table 7</w:t>
      </w:r>
      <w:r>
        <w:rPr>
          <w:rFonts w:eastAsiaTheme="minorEastAsia"/>
        </w:rPr>
        <w:t xml:space="preserve"> below for FE results for independent and control variables, </w:t>
      </w:r>
      <w:r w:rsidR="00525FCF">
        <w:rPr>
          <w:rFonts w:eastAsiaTheme="minorEastAsia"/>
          <w:noProof/>
        </w:rPr>
        <w:t>except</w:t>
      </w:r>
      <w:r>
        <w:rPr>
          <w:rFonts w:eastAsiaTheme="minorEastAsia"/>
        </w:rPr>
        <w:t xml:space="preserve"> regions. </w:t>
      </w:r>
      <w:r w:rsidR="00C70BEA" w:rsidRPr="00C70BEA">
        <w:rPr>
          <w:rFonts w:eastAsia="Calibri"/>
        </w:rPr>
        <w:br w:type="page"/>
      </w:r>
    </w:p>
    <w:tbl>
      <w:tblPr>
        <w:tblStyle w:val="TableGrid5"/>
        <w:tblW w:w="8730" w:type="dxa"/>
        <w:tblLayout w:type="fixed"/>
        <w:tblLook w:val="02A0" w:firstRow="1" w:lastRow="0" w:firstColumn="1" w:lastColumn="0" w:noHBand="1" w:noVBand="0"/>
      </w:tblPr>
      <w:tblGrid>
        <w:gridCol w:w="306"/>
        <w:gridCol w:w="306"/>
        <w:gridCol w:w="432"/>
        <w:gridCol w:w="432"/>
        <w:gridCol w:w="432"/>
        <w:gridCol w:w="432"/>
        <w:gridCol w:w="432"/>
        <w:gridCol w:w="432"/>
        <w:gridCol w:w="432"/>
        <w:gridCol w:w="432"/>
        <w:gridCol w:w="432"/>
        <w:gridCol w:w="432"/>
        <w:gridCol w:w="432"/>
        <w:gridCol w:w="432"/>
        <w:gridCol w:w="954"/>
        <w:gridCol w:w="1980"/>
      </w:tblGrid>
      <w:tr w:rsidR="00A110A1" w:rsidRPr="00F810C6" w:rsidTr="00A110A1">
        <w:trPr>
          <w:trHeight w:val="890"/>
        </w:trPr>
        <w:tc>
          <w:tcPr>
            <w:tcW w:w="306" w:type="dxa"/>
            <w:vMerge w:val="restart"/>
            <w:tcBorders>
              <w:top w:val="nil"/>
              <w:left w:val="nil"/>
              <w:bottom w:val="nil"/>
            </w:tcBorders>
            <w:textDirection w:val="btLr"/>
          </w:tcPr>
          <w:p w:rsidR="00A110A1" w:rsidRPr="006425A0" w:rsidRDefault="00C86B22" w:rsidP="00FC3D4C">
            <w:pPr>
              <w:ind w:left="113" w:right="113"/>
              <w:rPr>
                <w:sz w:val="16"/>
                <w:szCs w:val="16"/>
              </w:rPr>
            </w:pPr>
            <w:r>
              <w:rPr>
                <w:sz w:val="16"/>
                <w:szCs w:val="16"/>
              </w:rPr>
              <w:lastRenderedPageBreak/>
              <w:t>Table 7</w:t>
            </w:r>
            <w:r w:rsidR="00A110A1">
              <w:rPr>
                <w:sz w:val="16"/>
                <w:szCs w:val="16"/>
              </w:rPr>
              <w:t xml:space="preserve">. FE Regression for each Explanatory Variable. </w:t>
            </w:r>
          </w:p>
        </w:tc>
        <w:tc>
          <w:tcPr>
            <w:tcW w:w="306" w:type="dxa"/>
            <w:tcBorders>
              <w:top w:val="single" w:sz="4" w:space="0" w:color="auto"/>
              <w:bottom w:val="nil"/>
            </w:tcBorders>
            <w:noWrap/>
            <w:textDirection w:val="btLr"/>
          </w:tcPr>
          <w:p w:rsidR="00A110A1" w:rsidRPr="00F810C6" w:rsidRDefault="00A110A1" w:rsidP="00FC3D4C">
            <w:pPr>
              <w:ind w:left="113" w:right="113"/>
              <w:jc w:val="right"/>
              <w:rPr>
                <w:sz w:val="14"/>
                <w:szCs w:val="14"/>
              </w:rPr>
            </w:pPr>
            <w:r>
              <w:rPr>
                <w:sz w:val="14"/>
                <w:szCs w:val="14"/>
              </w:rPr>
              <w:t>Model 11</w:t>
            </w:r>
          </w:p>
        </w:tc>
        <w:tc>
          <w:tcPr>
            <w:tcW w:w="432" w:type="dxa"/>
            <w:tcBorders>
              <w:top w:val="single" w:sz="4" w:space="0" w:color="auto"/>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single" w:sz="4" w:space="0" w:color="auto"/>
              <w:left w:val="nil"/>
              <w:bottom w:val="nil"/>
              <w:right w:val="nil"/>
            </w:tcBorders>
            <w:shd w:val="clear" w:color="auto" w:fill="FFFFFF" w:themeFill="background1"/>
            <w:noWrap/>
            <w:textDirection w:val="btLr"/>
          </w:tcPr>
          <w:p w:rsidR="00A110A1" w:rsidRDefault="009F1970" w:rsidP="00EA3315">
            <w:pPr>
              <w:ind w:left="113" w:right="113"/>
              <w:jc w:val="right"/>
              <w:rPr>
                <w:sz w:val="12"/>
                <w:szCs w:val="12"/>
              </w:rPr>
            </w:pPr>
            <w:r>
              <w:rPr>
                <w:sz w:val="12"/>
                <w:szCs w:val="12"/>
              </w:rPr>
              <w:t>.72</w:t>
            </w:r>
          </w:p>
          <w:p w:rsidR="00A110A1" w:rsidRPr="00F810C6" w:rsidRDefault="00A110A1" w:rsidP="00EA3315">
            <w:pPr>
              <w:ind w:left="113" w:right="113"/>
              <w:jc w:val="right"/>
              <w:rPr>
                <w:sz w:val="12"/>
                <w:szCs w:val="12"/>
              </w:rPr>
            </w:pPr>
            <w:r>
              <w:rPr>
                <w:sz w:val="12"/>
                <w:szCs w:val="12"/>
              </w:rPr>
              <w:t>(</w:t>
            </w:r>
            <w:r w:rsidR="009F1970">
              <w:rPr>
                <w:sz w:val="12"/>
                <w:szCs w:val="12"/>
              </w:rPr>
              <w:t>.68</w:t>
            </w:r>
            <w:r>
              <w:rPr>
                <w:sz w:val="12"/>
                <w:szCs w:val="12"/>
              </w:rPr>
              <w:t>)</w:t>
            </w:r>
          </w:p>
        </w:tc>
        <w:tc>
          <w:tcPr>
            <w:tcW w:w="432" w:type="dxa"/>
            <w:tcBorders>
              <w:top w:val="single" w:sz="4" w:space="0" w:color="auto"/>
              <w:left w:val="nil"/>
              <w:bottom w:val="nil"/>
              <w:right w:val="nil"/>
            </w:tcBorders>
            <w:shd w:val="clear" w:color="auto" w:fill="E7E6E6" w:themeFill="background2"/>
            <w:textDirection w:val="btLr"/>
          </w:tcPr>
          <w:p w:rsidR="00A110A1" w:rsidRDefault="009F1970" w:rsidP="00EA3315">
            <w:pPr>
              <w:ind w:left="113" w:right="113"/>
              <w:jc w:val="right"/>
              <w:rPr>
                <w:sz w:val="12"/>
                <w:szCs w:val="12"/>
              </w:rPr>
            </w:pPr>
            <w:r>
              <w:rPr>
                <w:sz w:val="12"/>
                <w:szCs w:val="12"/>
              </w:rPr>
              <w:t>1.17</w:t>
            </w:r>
            <w:r w:rsidR="00A110A1">
              <w:rPr>
                <w:sz w:val="12"/>
                <w:szCs w:val="12"/>
              </w:rPr>
              <w:t>***</w:t>
            </w:r>
          </w:p>
          <w:p w:rsidR="00A110A1" w:rsidRPr="00F810C6" w:rsidRDefault="00A110A1" w:rsidP="00EA3315">
            <w:pPr>
              <w:ind w:left="113" w:right="113"/>
              <w:jc w:val="right"/>
              <w:rPr>
                <w:sz w:val="12"/>
                <w:szCs w:val="12"/>
              </w:rPr>
            </w:pPr>
            <w:r>
              <w:rPr>
                <w:sz w:val="12"/>
                <w:szCs w:val="12"/>
              </w:rPr>
              <w:t>(</w:t>
            </w:r>
            <w:r w:rsidR="009F1970">
              <w:rPr>
                <w:sz w:val="12"/>
                <w:szCs w:val="12"/>
              </w:rPr>
              <w:t>.28</w:t>
            </w:r>
            <w:r>
              <w:rPr>
                <w:sz w:val="12"/>
                <w:szCs w:val="12"/>
              </w:rPr>
              <w:t>)</w:t>
            </w:r>
          </w:p>
        </w:tc>
        <w:tc>
          <w:tcPr>
            <w:tcW w:w="954" w:type="dxa"/>
            <w:tcBorders>
              <w:top w:val="single" w:sz="4" w:space="0" w:color="auto"/>
              <w:bottom w:val="nil"/>
            </w:tcBorders>
            <w:textDirection w:val="btLr"/>
          </w:tcPr>
          <w:p w:rsidR="00A110A1" w:rsidRDefault="009F1970" w:rsidP="00FC3D4C">
            <w:pPr>
              <w:ind w:left="113" w:right="113"/>
              <w:jc w:val="right"/>
              <w:rPr>
                <w:sz w:val="14"/>
                <w:szCs w:val="14"/>
              </w:rPr>
            </w:pPr>
            <w:r>
              <w:rPr>
                <w:sz w:val="14"/>
                <w:szCs w:val="14"/>
              </w:rPr>
              <w:t>.002</w:t>
            </w:r>
          </w:p>
          <w:p w:rsidR="00A110A1" w:rsidRDefault="009F1970" w:rsidP="00FC3D4C">
            <w:pPr>
              <w:ind w:left="113" w:right="113"/>
              <w:jc w:val="right"/>
              <w:rPr>
                <w:sz w:val="14"/>
                <w:szCs w:val="14"/>
              </w:rPr>
            </w:pPr>
            <w:r>
              <w:rPr>
                <w:sz w:val="14"/>
                <w:szCs w:val="14"/>
              </w:rPr>
              <w:t>.32</w:t>
            </w:r>
          </w:p>
          <w:p w:rsidR="00A110A1" w:rsidRDefault="009F1970" w:rsidP="00FC3D4C">
            <w:pPr>
              <w:ind w:left="113" w:right="113"/>
              <w:jc w:val="right"/>
              <w:rPr>
                <w:sz w:val="14"/>
                <w:szCs w:val="14"/>
              </w:rPr>
            </w:pPr>
            <w:r>
              <w:rPr>
                <w:sz w:val="14"/>
                <w:szCs w:val="14"/>
              </w:rPr>
              <w:t>.001</w:t>
            </w:r>
          </w:p>
          <w:p w:rsidR="009F1970" w:rsidRPr="009F1970" w:rsidRDefault="009F1970" w:rsidP="009F1970">
            <w:pPr>
              <w:ind w:left="113" w:right="113"/>
              <w:jc w:val="right"/>
              <w:rPr>
                <w:sz w:val="14"/>
                <w:szCs w:val="14"/>
              </w:rPr>
            </w:pPr>
            <w:r w:rsidRPr="009F1970">
              <w:rPr>
                <w:sz w:val="14"/>
                <w:szCs w:val="14"/>
              </w:rPr>
              <w:t>248</w:t>
            </w:r>
          </w:p>
          <w:p w:rsidR="00A110A1" w:rsidRPr="00F810C6" w:rsidRDefault="009F1970" w:rsidP="009F1970">
            <w:pPr>
              <w:ind w:left="113" w:right="113"/>
              <w:jc w:val="right"/>
              <w:rPr>
                <w:sz w:val="14"/>
                <w:szCs w:val="14"/>
              </w:rPr>
            </w:pPr>
            <w:r w:rsidRPr="009F1970">
              <w:rPr>
                <w:sz w:val="14"/>
                <w:szCs w:val="14"/>
              </w:rPr>
              <w:t>65</w:t>
            </w:r>
          </w:p>
        </w:tc>
        <w:tc>
          <w:tcPr>
            <w:tcW w:w="1980" w:type="dxa"/>
            <w:vMerge w:val="restart"/>
            <w:tcBorders>
              <w:top w:val="nil"/>
              <w:bottom w:val="nil"/>
              <w:right w:val="nil"/>
            </w:tcBorders>
            <w:textDirection w:val="btLr"/>
          </w:tcPr>
          <w:p w:rsidR="00A110A1" w:rsidRDefault="00A110A1" w:rsidP="00FC3D4C">
            <w:pPr>
              <w:ind w:left="113" w:right="113"/>
              <w:rPr>
                <w:sz w:val="14"/>
                <w:szCs w:val="14"/>
              </w:rPr>
            </w:pPr>
            <w:r w:rsidRPr="00E30E81">
              <w:rPr>
                <w:sz w:val="14"/>
                <w:szCs w:val="14"/>
              </w:rPr>
              <w:t>No</w:t>
            </w:r>
            <w:r w:rsidR="00D35EA4">
              <w:rPr>
                <w:sz w:val="14"/>
                <w:szCs w:val="14"/>
              </w:rPr>
              <w:t>te: a =</w:t>
            </w:r>
            <w:r w:rsidRPr="00E30E81">
              <w:rPr>
                <w:sz w:val="14"/>
                <w:szCs w:val="14"/>
              </w:rPr>
              <w:t xml:space="preserve"> variable lo</w:t>
            </w:r>
            <w:r w:rsidR="00D35EA4">
              <w:rPr>
                <w:sz w:val="14"/>
                <w:szCs w:val="14"/>
              </w:rPr>
              <w:t>gged; b</w:t>
            </w:r>
            <w:r>
              <w:rPr>
                <w:sz w:val="14"/>
                <w:szCs w:val="14"/>
              </w:rPr>
              <w:t xml:space="preserve"> = * time (standardized)</w:t>
            </w:r>
          </w:p>
          <w:p w:rsidR="00A110A1" w:rsidRPr="00F810C6" w:rsidRDefault="00A110A1" w:rsidP="00FC3D4C">
            <w:pPr>
              <w:ind w:left="113" w:right="113"/>
              <w:rPr>
                <w:rFonts w:asciiTheme="minorHAnsi" w:hAnsiTheme="minorHAnsi" w:cstheme="minorBidi"/>
                <w:sz w:val="14"/>
                <w:szCs w:val="14"/>
              </w:rPr>
            </w:pPr>
            <w:r>
              <w:rPr>
                <w:sz w:val="14"/>
                <w:szCs w:val="14"/>
              </w:rPr>
              <w:t>+p&lt;.10; *p&lt;.05; **p&lt;.01; ***p&lt;.001.</w:t>
            </w:r>
          </w:p>
        </w:tc>
      </w:tr>
      <w:tr w:rsidR="00A110A1" w:rsidRPr="00F810C6" w:rsidTr="00A110A1">
        <w:trPr>
          <w:trHeight w:val="890"/>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A110A1" w:rsidRPr="00F810C6" w:rsidRDefault="00A110A1" w:rsidP="00FC3D4C">
            <w:pPr>
              <w:ind w:left="113" w:right="113"/>
              <w:jc w:val="right"/>
              <w:rPr>
                <w:sz w:val="14"/>
                <w:szCs w:val="14"/>
              </w:rPr>
            </w:pPr>
            <w:r>
              <w:rPr>
                <w:sz w:val="14"/>
                <w:szCs w:val="14"/>
              </w:rPr>
              <w:t>Model 10</w:t>
            </w:r>
          </w:p>
        </w:tc>
        <w:tc>
          <w:tcPr>
            <w:tcW w:w="432" w:type="dxa"/>
            <w:tcBorders>
              <w:top w:val="nil"/>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6425A0" w:rsidRDefault="00A110A1" w:rsidP="00FC3D4C">
            <w:pPr>
              <w:ind w:left="113" w:right="113"/>
              <w:jc w:val="right"/>
              <w:rPr>
                <w:sz w:val="12"/>
                <w:szCs w:val="12"/>
              </w:rPr>
            </w:pPr>
          </w:p>
        </w:tc>
        <w:tc>
          <w:tcPr>
            <w:tcW w:w="432" w:type="dxa"/>
            <w:tcBorders>
              <w:top w:val="nil"/>
              <w:left w:val="nil"/>
              <w:bottom w:val="nil"/>
              <w:right w:val="nil"/>
            </w:tcBorders>
            <w:textDirection w:val="btLr"/>
          </w:tcPr>
          <w:p w:rsidR="00A110A1" w:rsidRPr="00EA3315"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Default="009F1970" w:rsidP="00FC3D4C">
            <w:pPr>
              <w:ind w:left="113" w:right="113"/>
              <w:jc w:val="right"/>
              <w:rPr>
                <w:sz w:val="12"/>
                <w:szCs w:val="12"/>
              </w:rPr>
            </w:pPr>
            <w:r>
              <w:rPr>
                <w:sz w:val="12"/>
                <w:szCs w:val="12"/>
              </w:rPr>
              <w:t>.10</w:t>
            </w:r>
            <w:r w:rsidR="00A110A1">
              <w:rPr>
                <w:sz w:val="12"/>
                <w:szCs w:val="12"/>
              </w:rPr>
              <w:t>***</w:t>
            </w:r>
          </w:p>
          <w:p w:rsidR="00A110A1" w:rsidRPr="00F810C6" w:rsidRDefault="00A110A1" w:rsidP="00FC3D4C">
            <w:pPr>
              <w:ind w:left="113" w:right="113"/>
              <w:jc w:val="right"/>
              <w:rPr>
                <w:sz w:val="12"/>
                <w:szCs w:val="12"/>
              </w:rPr>
            </w:pPr>
            <w:r>
              <w:rPr>
                <w:sz w:val="12"/>
                <w:szCs w:val="12"/>
              </w:rPr>
              <w:t>(</w:t>
            </w:r>
            <w:r w:rsidR="009F1970">
              <w:rPr>
                <w:sz w:val="12"/>
                <w:szCs w:val="12"/>
              </w:rPr>
              <w:t>.004</w:t>
            </w:r>
            <w:r>
              <w:rPr>
                <w:sz w:val="12"/>
                <w:szCs w:val="12"/>
              </w:rPr>
              <w:t>)</w:t>
            </w:r>
          </w:p>
        </w:tc>
        <w:tc>
          <w:tcPr>
            <w:tcW w:w="432" w:type="dxa"/>
            <w:tcBorders>
              <w:top w:val="nil"/>
              <w:left w:val="nil"/>
              <w:bottom w:val="nil"/>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nil"/>
            </w:tcBorders>
            <w:textDirection w:val="btLr"/>
          </w:tcPr>
          <w:p w:rsidR="00A110A1" w:rsidRDefault="009F1970" w:rsidP="00FC3D4C">
            <w:pPr>
              <w:ind w:left="113" w:right="113"/>
              <w:jc w:val="right"/>
              <w:rPr>
                <w:sz w:val="14"/>
                <w:szCs w:val="14"/>
              </w:rPr>
            </w:pPr>
            <w:r>
              <w:rPr>
                <w:sz w:val="14"/>
                <w:szCs w:val="14"/>
              </w:rPr>
              <w:t>.18</w:t>
            </w:r>
          </w:p>
          <w:p w:rsidR="00A110A1" w:rsidRDefault="009F1970" w:rsidP="00FC3D4C">
            <w:pPr>
              <w:ind w:left="113" w:right="113"/>
              <w:jc w:val="right"/>
              <w:rPr>
                <w:sz w:val="14"/>
                <w:szCs w:val="14"/>
              </w:rPr>
            </w:pPr>
            <w:r>
              <w:rPr>
                <w:sz w:val="14"/>
                <w:szCs w:val="14"/>
              </w:rPr>
              <w:t>.77</w:t>
            </w:r>
          </w:p>
          <w:p w:rsidR="00A110A1" w:rsidRDefault="009F1970" w:rsidP="00FC3D4C">
            <w:pPr>
              <w:ind w:left="113" w:right="113"/>
              <w:jc w:val="right"/>
              <w:rPr>
                <w:sz w:val="14"/>
                <w:szCs w:val="14"/>
              </w:rPr>
            </w:pPr>
            <w:r>
              <w:rPr>
                <w:sz w:val="14"/>
                <w:szCs w:val="14"/>
              </w:rPr>
              <w:t>.19</w:t>
            </w:r>
          </w:p>
          <w:p w:rsidR="009F1970" w:rsidRPr="009F1970" w:rsidRDefault="009F1970" w:rsidP="009F1970">
            <w:pPr>
              <w:ind w:left="113" w:right="113"/>
              <w:jc w:val="right"/>
              <w:rPr>
                <w:sz w:val="14"/>
                <w:szCs w:val="14"/>
              </w:rPr>
            </w:pPr>
            <w:r w:rsidRPr="009F1970">
              <w:rPr>
                <w:sz w:val="14"/>
                <w:szCs w:val="14"/>
              </w:rPr>
              <w:t>248</w:t>
            </w:r>
          </w:p>
          <w:p w:rsidR="00A110A1" w:rsidRDefault="009F1970" w:rsidP="009F1970">
            <w:pPr>
              <w:ind w:left="113" w:right="113"/>
              <w:jc w:val="right"/>
              <w:rPr>
                <w:sz w:val="14"/>
                <w:szCs w:val="14"/>
              </w:rPr>
            </w:pPr>
            <w:r w:rsidRPr="009F1970">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890"/>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A110A1" w:rsidRPr="00F810C6" w:rsidRDefault="00A110A1" w:rsidP="00FC3D4C">
            <w:pPr>
              <w:ind w:left="113" w:right="113"/>
              <w:jc w:val="right"/>
              <w:rPr>
                <w:sz w:val="14"/>
                <w:szCs w:val="14"/>
              </w:rPr>
            </w:pPr>
            <w:r w:rsidRPr="00F810C6">
              <w:rPr>
                <w:sz w:val="14"/>
                <w:szCs w:val="14"/>
              </w:rPr>
              <w:t>Model 9</w:t>
            </w:r>
          </w:p>
        </w:tc>
        <w:tc>
          <w:tcPr>
            <w:tcW w:w="432" w:type="dxa"/>
            <w:tcBorders>
              <w:top w:val="nil"/>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6425A0" w:rsidRDefault="00A110A1" w:rsidP="00FC3D4C">
            <w:pPr>
              <w:ind w:left="113" w:right="113"/>
              <w:jc w:val="right"/>
              <w:rPr>
                <w:sz w:val="12"/>
                <w:szCs w:val="12"/>
              </w:rPr>
            </w:pPr>
          </w:p>
        </w:tc>
        <w:tc>
          <w:tcPr>
            <w:tcW w:w="432" w:type="dxa"/>
            <w:tcBorders>
              <w:top w:val="nil"/>
              <w:left w:val="nil"/>
              <w:bottom w:val="nil"/>
              <w:right w:val="nil"/>
            </w:tcBorders>
            <w:textDirection w:val="btLr"/>
          </w:tcPr>
          <w:p w:rsidR="00A110A1" w:rsidRDefault="009F1970" w:rsidP="00FC3D4C">
            <w:pPr>
              <w:ind w:left="113" w:right="113"/>
              <w:jc w:val="right"/>
              <w:rPr>
                <w:sz w:val="12"/>
                <w:szCs w:val="12"/>
              </w:rPr>
            </w:pPr>
            <w:r>
              <w:rPr>
                <w:sz w:val="12"/>
                <w:szCs w:val="12"/>
              </w:rPr>
              <w:t>.21</w:t>
            </w:r>
            <w:r w:rsidR="00A110A1">
              <w:rPr>
                <w:sz w:val="12"/>
                <w:szCs w:val="12"/>
              </w:rPr>
              <w:t>***</w:t>
            </w:r>
          </w:p>
          <w:p w:rsidR="00A110A1" w:rsidRPr="00F810C6" w:rsidRDefault="00A110A1" w:rsidP="00FC3D4C">
            <w:pPr>
              <w:ind w:left="113" w:right="113"/>
              <w:jc w:val="right"/>
              <w:rPr>
                <w:sz w:val="12"/>
                <w:szCs w:val="12"/>
              </w:rPr>
            </w:pPr>
            <w:r>
              <w:rPr>
                <w:sz w:val="12"/>
                <w:szCs w:val="12"/>
              </w:rPr>
              <w:t>(</w:t>
            </w:r>
            <w:r w:rsidR="009F1970">
              <w:rPr>
                <w:sz w:val="12"/>
                <w:szCs w:val="12"/>
              </w:rPr>
              <w:t>.04</w:t>
            </w:r>
            <w:r>
              <w:rPr>
                <w:sz w:val="12"/>
                <w:szCs w:val="12"/>
              </w:rPr>
              <w:t>)</w:t>
            </w: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nil"/>
            </w:tcBorders>
            <w:textDirection w:val="btLr"/>
          </w:tcPr>
          <w:p w:rsidR="00A110A1" w:rsidRDefault="009F1970" w:rsidP="00FC3D4C">
            <w:pPr>
              <w:ind w:left="113" w:right="113"/>
              <w:jc w:val="right"/>
              <w:rPr>
                <w:sz w:val="14"/>
                <w:szCs w:val="14"/>
              </w:rPr>
            </w:pPr>
            <w:r>
              <w:rPr>
                <w:sz w:val="14"/>
                <w:szCs w:val="14"/>
              </w:rPr>
              <w:t>.01</w:t>
            </w:r>
          </w:p>
          <w:p w:rsidR="00A110A1" w:rsidRDefault="009F1970" w:rsidP="00FC3D4C">
            <w:pPr>
              <w:ind w:left="113" w:right="113"/>
              <w:jc w:val="right"/>
              <w:rPr>
                <w:sz w:val="14"/>
                <w:szCs w:val="14"/>
              </w:rPr>
            </w:pPr>
            <w:r>
              <w:rPr>
                <w:sz w:val="14"/>
                <w:szCs w:val="14"/>
              </w:rPr>
              <w:t>.14</w:t>
            </w:r>
          </w:p>
          <w:p w:rsidR="00A110A1" w:rsidRDefault="00A110A1" w:rsidP="00FC3D4C">
            <w:pPr>
              <w:ind w:left="113" w:right="113"/>
              <w:jc w:val="right"/>
              <w:rPr>
                <w:sz w:val="14"/>
                <w:szCs w:val="14"/>
              </w:rPr>
            </w:pPr>
            <w:r>
              <w:rPr>
                <w:sz w:val="14"/>
                <w:szCs w:val="14"/>
              </w:rPr>
              <w:t>.0030</w:t>
            </w:r>
          </w:p>
          <w:p w:rsidR="009F1970" w:rsidRPr="009F1970" w:rsidRDefault="009F1970" w:rsidP="009F1970">
            <w:pPr>
              <w:ind w:left="113" w:right="113"/>
              <w:jc w:val="right"/>
              <w:rPr>
                <w:sz w:val="14"/>
                <w:szCs w:val="14"/>
              </w:rPr>
            </w:pPr>
            <w:r w:rsidRPr="009F1970">
              <w:rPr>
                <w:sz w:val="14"/>
                <w:szCs w:val="14"/>
              </w:rPr>
              <w:t>248</w:t>
            </w:r>
          </w:p>
          <w:p w:rsidR="00A110A1" w:rsidRDefault="009F1970" w:rsidP="009F1970">
            <w:pPr>
              <w:ind w:left="113" w:right="113"/>
              <w:jc w:val="right"/>
              <w:rPr>
                <w:sz w:val="14"/>
                <w:szCs w:val="14"/>
              </w:rPr>
            </w:pPr>
            <w:r w:rsidRPr="009F1970">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890"/>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A110A1" w:rsidRPr="00F810C6" w:rsidRDefault="00A110A1" w:rsidP="00FC3D4C">
            <w:pPr>
              <w:ind w:left="113" w:right="113"/>
              <w:jc w:val="right"/>
              <w:rPr>
                <w:sz w:val="14"/>
                <w:szCs w:val="14"/>
              </w:rPr>
            </w:pPr>
            <w:r w:rsidRPr="00F810C6">
              <w:rPr>
                <w:sz w:val="14"/>
                <w:szCs w:val="14"/>
              </w:rPr>
              <w:t>Model 8</w:t>
            </w:r>
          </w:p>
        </w:tc>
        <w:tc>
          <w:tcPr>
            <w:tcW w:w="432" w:type="dxa"/>
            <w:tcBorders>
              <w:top w:val="nil"/>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Default="009F1970" w:rsidP="00FC3D4C">
            <w:pPr>
              <w:ind w:left="113" w:right="113"/>
              <w:jc w:val="right"/>
              <w:rPr>
                <w:sz w:val="12"/>
                <w:szCs w:val="12"/>
              </w:rPr>
            </w:pPr>
            <w:r>
              <w:rPr>
                <w:sz w:val="12"/>
                <w:szCs w:val="12"/>
              </w:rPr>
              <w:t>.36</w:t>
            </w:r>
            <w:r w:rsidR="00A110A1">
              <w:rPr>
                <w:sz w:val="12"/>
                <w:szCs w:val="12"/>
              </w:rPr>
              <w:t>***</w:t>
            </w:r>
          </w:p>
          <w:p w:rsidR="00A110A1" w:rsidRPr="00F810C6" w:rsidRDefault="00A110A1" w:rsidP="00FC3D4C">
            <w:pPr>
              <w:ind w:left="113" w:right="113"/>
              <w:jc w:val="right"/>
              <w:rPr>
                <w:sz w:val="12"/>
                <w:szCs w:val="12"/>
              </w:rPr>
            </w:pPr>
            <w:r>
              <w:rPr>
                <w:sz w:val="12"/>
                <w:szCs w:val="12"/>
              </w:rPr>
              <w:t>(</w:t>
            </w:r>
            <w:r w:rsidR="009F1970">
              <w:rPr>
                <w:sz w:val="12"/>
                <w:szCs w:val="12"/>
              </w:rPr>
              <w:t>.11</w:t>
            </w:r>
            <w:r>
              <w:rPr>
                <w:sz w:val="12"/>
                <w:szCs w:val="12"/>
              </w:rPr>
              <w:t>)</w:t>
            </w:r>
          </w:p>
        </w:tc>
        <w:tc>
          <w:tcPr>
            <w:tcW w:w="432" w:type="dxa"/>
            <w:tcBorders>
              <w:top w:val="nil"/>
              <w:left w:val="nil"/>
              <w:bottom w:val="nil"/>
              <w:right w:val="nil"/>
            </w:tcBorders>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nil"/>
            </w:tcBorders>
            <w:textDirection w:val="btLr"/>
          </w:tcPr>
          <w:p w:rsidR="00A110A1" w:rsidRDefault="009F1970" w:rsidP="00FC3D4C">
            <w:pPr>
              <w:ind w:left="113" w:right="113"/>
              <w:jc w:val="right"/>
              <w:rPr>
                <w:sz w:val="14"/>
                <w:szCs w:val="14"/>
              </w:rPr>
            </w:pPr>
            <w:r>
              <w:rPr>
                <w:sz w:val="14"/>
                <w:szCs w:val="14"/>
              </w:rPr>
              <w:t>.24</w:t>
            </w:r>
          </w:p>
          <w:p w:rsidR="00A110A1" w:rsidRDefault="009F1970" w:rsidP="00FC3D4C">
            <w:pPr>
              <w:ind w:left="113" w:right="113"/>
              <w:jc w:val="right"/>
              <w:rPr>
                <w:sz w:val="14"/>
                <w:szCs w:val="14"/>
              </w:rPr>
            </w:pPr>
            <w:r>
              <w:rPr>
                <w:sz w:val="14"/>
                <w:szCs w:val="14"/>
              </w:rPr>
              <w:t>.05</w:t>
            </w:r>
          </w:p>
          <w:p w:rsidR="00A110A1" w:rsidRDefault="009F1970" w:rsidP="00FC3D4C">
            <w:pPr>
              <w:ind w:left="113" w:right="113"/>
              <w:jc w:val="right"/>
              <w:rPr>
                <w:sz w:val="14"/>
                <w:szCs w:val="14"/>
              </w:rPr>
            </w:pPr>
            <w:r>
              <w:rPr>
                <w:sz w:val="14"/>
                <w:szCs w:val="14"/>
              </w:rPr>
              <w:t>.26</w:t>
            </w:r>
          </w:p>
          <w:p w:rsidR="009F1970" w:rsidRPr="009F1970" w:rsidRDefault="009F1970" w:rsidP="009F1970">
            <w:pPr>
              <w:ind w:left="113" w:right="113"/>
              <w:jc w:val="right"/>
              <w:rPr>
                <w:sz w:val="14"/>
                <w:szCs w:val="14"/>
              </w:rPr>
            </w:pPr>
            <w:r w:rsidRPr="009F1970">
              <w:rPr>
                <w:sz w:val="14"/>
                <w:szCs w:val="14"/>
              </w:rPr>
              <w:t>248</w:t>
            </w:r>
          </w:p>
          <w:p w:rsidR="00A110A1" w:rsidRPr="00F810C6" w:rsidRDefault="009F1970" w:rsidP="009F1970">
            <w:pPr>
              <w:ind w:left="113" w:right="113"/>
              <w:jc w:val="right"/>
              <w:rPr>
                <w:sz w:val="14"/>
                <w:szCs w:val="14"/>
              </w:rPr>
            </w:pPr>
            <w:r w:rsidRPr="009F1970">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890"/>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A110A1" w:rsidRPr="00F810C6" w:rsidRDefault="00A110A1" w:rsidP="00FC3D4C">
            <w:pPr>
              <w:ind w:left="113" w:right="113"/>
              <w:jc w:val="right"/>
              <w:rPr>
                <w:sz w:val="14"/>
                <w:szCs w:val="14"/>
              </w:rPr>
            </w:pPr>
            <w:r w:rsidRPr="00F810C6">
              <w:rPr>
                <w:sz w:val="14"/>
                <w:szCs w:val="14"/>
              </w:rPr>
              <w:t>Model 7</w:t>
            </w:r>
          </w:p>
        </w:tc>
        <w:tc>
          <w:tcPr>
            <w:tcW w:w="432" w:type="dxa"/>
            <w:tcBorders>
              <w:top w:val="nil"/>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Default="009F1970" w:rsidP="00FC3D4C">
            <w:pPr>
              <w:ind w:left="113" w:right="113"/>
              <w:jc w:val="right"/>
              <w:rPr>
                <w:sz w:val="12"/>
                <w:szCs w:val="12"/>
              </w:rPr>
            </w:pPr>
            <w:r>
              <w:rPr>
                <w:sz w:val="12"/>
                <w:szCs w:val="12"/>
              </w:rPr>
              <w:t>.07</w:t>
            </w:r>
            <w:r w:rsidR="00A110A1">
              <w:rPr>
                <w:sz w:val="12"/>
                <w:szCs w:val="12"/>
              </w:rPr>
              <w:t>***</w:t>
            </w:r>
          </w:p>
          <w:p w:rsidR="00A110A1" w:rsidRPr="00F810C6" w:rsidRDefault="00A110A1" w:rsidP="00FC3D4C">
            <w:pPr>
              <w:ind w:left="113" w:right="113"/>
              <w:jc w:val="right"/>
              <w:rPr>
                <w:sz w:val="12"/>
                <w:szCs w:val="12"/>
              </w:rPr>
            </w:pPr>
            <w:r>
              <w:rPr>
                <w:sz w:val="12"/>
                <w:szCs w:val="12"/>
              </w:rPr>
              <w:t>(</w:t>
            </w:r>
            <w:r w:rsidR="009F1970">
              <w:rPr>
                <w:sz w:val="12"/>
                <w:szCs w:val="12"/>
              </w:rPr>
              <w:t>.01</w:t>
            </w:r>
            <w:r>
              <w:rPr>
                <w:sz w:val="12"/>
                <w:szCs w:val="12"/>
              </w:rPr>
              <w:t>)</w:t>
            </w: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nil"/>
            </w:tcBorders>
            <w:textDirection w:val="btLr"/>
          </w:tcPr>
          <w:p w:rsidR="00A110A1" w:rsidRDefault="009F1970" w:rsidP="00FC3D4C">
            <w:pPr>
              <w:ind w:left="113" w:right="113"/>
              <w:jc w:val="right"/>
              <w:rPr>
                <w:sz w:val="14"/>
                <w:szCs w:val="14"/>
              </w:rPr>
            </w:pPr>
            <w:r>
              <w:rPr>
                <w:sz w:val="14"/>
                <w:szCs w:val="14"/>
              </w:rPr>
              <w:t>.02</w:t>
            </w:r>
          </w:p>
          <w:p w:rsidR="00A110A1" w:rsidRDefault="009F1970" w:rsidP="00FC3D4C">
            <w:pPr>
              <w:ind w:left="113" w:right="113"/>
              <w:jc w:val="right"/>
              <w:rPr>
                <w:sz w:val="14"/>
                <w:szCs w:val="14"/>
              </w:rPr>
            </w:pPr>
            <w:r>
              <w:rPr>
                <w:sz w:val="14"/>
                <w:szCs w:val="14"/>
              </w:rPr>
              <w:t>.41</w:t>
            </w:r>
          </w:p>
          <w:p w:rsidR="00A110A1" w:rsidRDefault="009F1970" w:rsidP="00FC3D4C">
            <w:pPr>
              <w:ind w:left="113" w:right="113"/>
              <w:jc w:val="right"/>
              <w:rPr>
                <w:sz w:val="14"/>
                <w:szCs w:val="14"/>
              </w:rPr>
            </w:pPr>
            <w:r>
              <w:rPr>
                <w:sz w:val="14"/>
                <w:szCs w:val="14"/>
              </w:rPr>
              <w:t>.02</w:t>
            </w:r>
          </w:p>
          <w:p w:rsidR="009F1970" w:rsidRPr="009F1970" w:rsidRDefault="009F1970" w:rsidP="009F1970">
            <w:pPr>
              <w:ind w:left="113" w:right="113"/>
              <w:jc w:val="right"/>
              <w:rPr>
                <w:sz w:val="14"/>
                <w:szCs w:val="14"/>
              </w:rPr>
            </w:pPr>
            <w:r w:rsidRPr="009F1970">
              <w:rPr>
                <w:sz w:val="14"/>
                <w:szCs w:val="14"/>
              </w:rPr>
              <w:t>248</w:t>
            </w:r>
          </w:p>
          <w:p w:rsidR="00A110A1" w:rsidRPr="00F810C6" w:rsidRDefault="009F1970" w:rsidP="009F1970">
            <w:pPr>
              <w:ind w:left="113" w:right="113"/>
              <w:jc w:val="right"/>
              <w:rPr>
                <w:sz w:val="14"/>
                <w:szCs w:val="14"/>
              </w:rPr>
            </w:pPr>
            <w:r w:rsidRPr="009F1970">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890"/>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A110A1" w:rsidRPr="00F810C6" w:rsidRDefault="00A110A1" w:rsidP="00FC3D4C">
            <w:pPr>
              <w:ind w:left="113" w:right="113"/>
              <w:jc w:val="right"/>
              <w:rPr>
                <w:sz w:val="14"/>
                <w:szCs w:val="14"/>
              </w:rPr>
            </w:pPr>
            <w:r w:rsidRPr="00F810C6">
              <w:rPr>
                <w:sz w:val="14"/>
                <w:szCs w:val="14"/>
              </w:rPr>
              <w:t>Model 6</w:t>
            </w:r>
          </w:p>
        </w:tc>
        <w:tc>
          <w:tcPr>
            <w:tcW w:w="432" w:type="dxa"/>
            <w:tcBorders>
              <w:top w:val="nil"/>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Default="009F1970" w:rsidP="00FC3D4C">
            <w:pPr>
              <w:ind w:left="113" w:right="113"/>
              <w:jc w:val="right"/>
              <w:rPr>
                <w:sz w:val="12"/>
                <w:szCs w:val="12"/>
              </w:rPr>
            </w:pPr>
            <w:r>
              <w:rPr>
                <w:sz w:val="12"/>
                <w:szCs w:val="12"/>
              </w:rPr>
              <w:t>.06</w:t>
            </w:r>
            <w:r w:rsidR="00A110A1">
              <w:rPr>
                <w:sz w:val="12"/>
                <w:szCs w:val="12"/>
              </w:rPr>
              <w:t>***</w:t>
            </w:r>
          </w:p>
          <w:p w:rsidR="00A110A1" w:rsidRPr="00F810C6" w:rsidRDefault="00A110A1" w:rsidP="00FC3D4C">
            <w:pPr>
              <w:ind w:left="113" w:right="113"/>
              <w:jc w:val="right"/>
              <w:rPr>
                <w:sz w:val="12"/>
                <w:szCs w:val="12"/>
              </w:rPr>
            </w:pPr>
            <w:r>
              <w:rPr>
                <w:sz w:val="12"/>
                <w:szCs w:val="12"/>
              </w:rPr>
              <w:t>(</w:t>
            </w:r>
            <w:r w:rsidR="009F1970">
              <w:rPr>
                <w:sz w:val="12"/>
                <w:szCs w:val="12"/>
              </w:rPr>
              <w:t>.02</w:t>
            </w:r>
            <w:r>
              <w:rPr>
                <w:sz w:val="12"/>
                <w:szCs w:val="12"/>
              </w:rPr>
              <w:t>)</w:t>
            </w: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nil"/>
            </w:tcBorders>
            <w:textDirection w:val="btLr"/>
          </w:tcPr>
          <w:p w:rsidR="00A110A1" w:rsidRDefault="009F1970" w:rsidP="00FC3D4C">
            <w:pPr>
              <w:ind w:left="113" w:right="113"/>
              <w:jc w:val="right"/>
              <w:rPr>
                <w:sz w:val="14"/>
                <w:szCs w:val="14"/>
              </w:rPr>
            </w:pPr>
            <w:r>
              <w:rPr>
                <w:sz w:val="14"/>
                <w:szCs w:val="14"/>
              </w:rPr>
              <w:t>.01</w:t>
            </w:r>
          </w:p>
          <w:p w:rsidR="00A110A1" w:rsidRDefault="009F1970" w:rsidP="00FC3D4C">
            <w:pPr>
              <w:ind w:left="113" w:right="113"/>
              <w:jc w:val="right"/>
              <w:rPr>
                <w:sz w:val="14"/>
                <w:szCs w:val="14"/>
              </w:rPr>
            </w:pPr>
            <w:r>
              <w:rPr>
                <w:sz w:val="14"/>
                <w:szCs w:val="14"/>
              </w:rPr>
              <w:t>.05</w:t>
            </w:r>
          </w:p>
          <w:p w:rsidR="00A110A1" w:rsidRDefault="009F1970" w:rsidP="00FC3D4C">
            <w:pPr>
              <w:ind w:left="113" w:right="113"/>
              <w:jc w:val="right"/>
              <w:rPr>
                <w:sz w:val="14"/>
                <w:szCs w:val="14"/>
              </w:rPr>
            </w:pPr>
            <w:r>
              <w:rPr>
                <w:sz w:val="14"/>
                <w:szCs w:val="14"/>
              </w:rPr>
              <w:t>.02</w:t>
            </w:r>
          </w:p>
          <w:p w:rsidR="009F1970" w:rsidRPr="009F1970" w:rsidRDefault="009F1970" w:rsidP="009F1970">
            <w:pPr>
              <w:ind w:left="113" w:right="113"/>
              <w:jc w:val="right"/>
              <w:rPr>
                <w:sz w:val="14"/>
                <w:szCs w:val="14"/>
              </w:rPr>
            </w:pPr>
            <w:r w:rsidRPr="009F1970">
              <w:rPr>
                <w:sz w:val="14"/>
                <w:szCs w:val="14"/>
              </w:rPr>
              <w:t>248</w:t>
            </w:r>
          </w:p>
          <w:p w:rsidR="00A110A1" w:rsidRPr="00F810C6" w:rsidRDefault="009F1970" w:rsidP="009F1970">
            <w:pPr>
              <w:ind w:left="113" w:right="113"/>
              <w:jc w:val="right"/>
              <w:rPr>
                <w:sz w:val="14"/>
                <w:szCs w:val="14"/>
              </w:rPr>
            </w:pPr>
            <w:r w:rsidRPr="009F1970">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890"/>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A110A1" w:rsidRPr="00F810C6" w:rsidRDefault="00A110A1" w:rsidP="00FC3D4C">
            <w:pPr>
              <w:ind w:left="113" w:right="113"/>
              <w:jc w:val="right"/>
              <w:rPr>
                <w:sz w:val="14"/>
                <w:szCs w:val="14"/>
              </w:rPr>
            </w:pPr>
            <w:r w:rsidRPr="00F810C6">
              <w:rPr>
                <w:sz w:val="14"/>
                <w:szCs w:val="14"/>
              </w:rPr>
              <w:t>Model 5</w:t>
            </w:r>
          </w:p>
        </w:tc>
        <w:tc>
          <w:tcPr>
            <w:tcW w:w="432" w:type="dxa"/>
            <w:tcBorders>
              <w:top w:val="nil"/>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Default="009F1970" w:rsidP="00FC3D4C">
            <w:pPr>
              <w:ind w:left="113" w:right="113"/>
              <w:jc w:val="right"/>
              <w:rPr>
                <w:sz w:val="12"/>
                <w:szCs w:val="12"/>
              </w:rPr>
            </w:pPr>
            <w:r>
              <w:rPr>
                <w:sz w:val="12"/>
                <w:szCs w:val="12"/>
              </w:rPr>
              <w:t>.07</w:t>
            </w:r>
            <w:r w:rsidR="00A110A1">
              <w:rPr>
                <w:sz w:val="12"/>
                <w:szCs w:val="12"/>
              </w:rPr>
              <w:t>***</w:t>
            </w:r>
          </w:p>
          <w:p w:rsidR="00A110A1" w:rsidRPr="00F810C6" w:rsidRDefault="00A110A1" w:rsidP="00FC3D4C">
            <w:pPr>
              <w:ind w:left="113" w:right="113"/>
              <w:jc w:val="right"/>
              <w:rPr>
                <w:sz w:val="12"/>
                <w:szCs w:val="12"/>
              </w:rPr>
            </w:pPr>
            <w:r>
              <w:rPr>
                <w:sz w:val="12"/>
                <w:szCs w:val="12"/>
              </w:rPr>
              <w:t>(</w:t>
            </w:r>
            <w:r w:rsidR="009F1970">
              <w:rPr>
                <w:sz w:val="12"/>
                <w:szCs w:val="12"/>
              </w:rPr>
              <w:t>.003</w:t>
            </w:r>
            <w:r>
              <w:rPr>
                <w:sz w:val="12"/>
                <w:szCs w:val="12"/>
              </w:rPr>
              <w:t>)</w:t>
            </w: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nil"/>
            </w:tcBorders>
            <w:textDirection w:val="btLr"/>
          </w:tcPr>
          <w:p w:rsidR="00A110A1" w:rsidRDefault="009F1970" w:rsidP="00FC3D4C">
            <w:pPr>
              <w:ind w:left="113" w:right="113"/>
              <w:jc w:val="right"/>
              <w:rPr>
                <w:sz w:val="14"/>
                <w:szCs w:val="14"/>
              </w:rPr>
            </w:pPr>
            <w:r>
              <w:rPr>
                <w:sz w:val="14"/>
                <w:szCs w:val="14"/>
              </w:rPr>
              <w:t>.001</w:t>
            </w:r>
          </w:p>
          <w:p w:rsidR="00A110A1" w:rsidRDefault="009F1970" w:rsidP="00FC3D4C">
            <w:pPr>
              <w:ind w:left="113" w:right="113"/>
              <w:jc w:val="right"/>
              <w:rPr>
                <w:sz w:val="14"/>
                <w:szCs w:val="14"/>
              </w:rPr>
            </w:pPr>
            <w:r>
              <w:rPr>
                <w:sz w:val="14"/>
                <w:szCs w:val="14"/>
              </w:rPr>
              <w:t>.78</w:t>
            </w:r>
          </w:p>
          <w:p w:rsidR="00A110A1" w:rsidRDefault="009F1970" w:rsidP="00FC3D4C">
            <w:pPr>
              <w:ind w:left="113" w:right="113"/>
              <w:jc w:val="right"/>
              <w:rPr>
                <w:sz w:val="14"/>
                <w:szCs w:val="14"/>
              </w:rPr>
            </w:pPr>
            <w:r>
              <w:rPr>
                <w:sz w:val="14"/>
                <w:szCs w:val="14"/>
              </w:rPr>
              <w:t>.001</w:t>
            </w:r>
          </w:p>
          <w:p w:rsidR="009F1970" w:rsidRPr="009F1970" w:rsidRDefault="009F1970" w:rsidP="009F1970">
            <w:pPr>
              <w:ind w:left="113" w:right="113"/>
              <w:jc w:val="right"/>
              <w:rPr>
                <w:sz w:val="14"/>
                <w:szCs w:val="14"/>
              </w:rPr>
            </w:pPr>
            <w:r w:rsidRPr="009F1970">
              <w:rPr>
                <w:sz w:val="14"/>
                <w:szCs w:val="14"/>
              </w:rPr>
              <w:t>248</w:t>
            </w:r>
          </w:p>
          <w:p w:rsidR="00A110A1" w:rsidRPr="00F810C6" w:rsidRDefault="009F1970" w:rsidP="009F1970">
            <w:pPr>
              <w:ind w:left="113" w:right="113"/>
              <w:jc w:val="right"/>
              <w:rPr>
                <w:sz w:val="14"/>
                <w:szCs w:val="14"/>
              </w:rPr>
            </w:pPr>
            <w:r w:rsidRPr="009F1970">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926"/>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A110A1" w:rsidRPr="00F810C6" w:rsidRDefault="00A110A1" w:rsidP="00FC3D4C">
            <w:pPr>
              <w:ind w:left="113" w:right="113"/>
              <w:jc w:val="right"/>
              <w:rPr>
                <w:sz w:val="14"/>
                <w:szCs w:val="14"/>
              </w:rPr>
            </w:pPr>
            <w:r w:rsidRPr="00F810C6">
              <w:rPr>
                <w:sz w:val="14"/>
                <w:szCs w:val="14"/>
              </w:rPr>
              <w:t>Model 4</w:t>
            </w:r>
          </w:p>
        </w:tc>
        <w:tc>
          <w:tcPr>
            <w:tcW w:w="432" w:type="dxa"/>
            <w:tcBorders>
              <w:top w:val="nil"/>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Default="009F1970" w:rsidP="00FC3D4C">
            <w:pPr>
              <w:ind w:left="113" w:right="113"/>
              <w:jc w:val="right"/>
              <w:rPr>
                <w:sz w:val="12"/>
                <w:szCs w:val="12"/>
              </w:rPr>
            </w:pPr>
            <w:r>
              <w:rPr>
                <w:sz w:val="12"/>
                <w:szCs w:val="12"/>
              </w:rPr>
              <w:t>.07</w:t>
            </w:r>
            <w:r w:rsidR="00A110A1">
              <w:rPr>
                <w:sz w:val="12"/>
                <w:szCs w:val="12"/>
              </w:rPr>
              <w:t>***</w:t>
            </w:r>
          </w:p>
          <w:p w:rsidR="00A110A1" w:rsidRPr="00F810C6" w:rsidRDefault="00A110A1" w:rsidP="00FC3D4C">
            <w:pPr>
              <w:ind w:left="113" w:right="113"/>
              <w:jc w:val="right"/>
              <w:rPr>
                <w:sz w:val="12"/>
                <w:szCs w:val="12"/>
              </w:rPr>
            </w:pPr>
            <w:r>
              <w:rPr>
                <w:sz w:val="12"/>
                <w:szCs w:val="12"/>
              </w:rPr>
              <w:t>(</w:t>
            </w:r>
            <w:r w:rsidR="009F1970">
              <w:rPr>
                <w:sz w:val="12"/>
                <w:szCs w:val="12"/>
              </w:rPr>
              <w:t>.003</w:t>
            </w:r>
            <w:r>
              <w:rPr>
                <w:sz w:val="12"/>
                <w:szCs w:val="12"/>
              </w:rPr>
              <w:t>)</w:t>
            </w: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nil"/>
            </w:tcBorders>
            <w:textDirection w:val="btLr"/>
          </w:tcPr>
          <w:p w:rsidR="00A110A1" w:rsidRDefault="009F1970" w:rsidP="00FC3D4C">
            <w:pPr>
              <w:ind w:left="113" w:right="113"/>
              <w:jc w:val="right"/>
              <w:rPr>
                <w:sz w:val="14"/>
                <w:szCs w:val="14"/>
              </w:rPr>
            </w:pPr>
            <w:r>
              <w:rPr>
                <w:sz w:val="14"/>
                <w:szCs w:val="14"/>
              </w:rPr>
              <w:t>.03</w:t>
            </w:r>
          </w:p>
          <w:p w:rsidR="00A110A1" w:rsidRDefault="009F1970" w:rsidP="00FC3D4C">
            <w:pPr>
              <w:ind w:left="113" w:right="113"/>
              <w:jc w:val="right"/>
              <w:rPr>
                <w:sz w:val="14"/>
                <w:szCs w:val="14"/>
              </w:rPr>
            </w:pPr>
            <w:r>
              <w:rPr>
                <w:sz w:val="14"/>
                <w:szCs w:val="14"/>
              </w:rPr>
              <w:t>.78</w:t>
            </w:r>
          </w:p>
          <w:p w:rsidR="00A110A1" w:rsidRDefault="009F1970" w:rsidP="00FC3D4C">
            <w:pPr>
              <w:ind w:left="113" w:right="113"/>
              <w:jc w:val="right"/>
              <w:rPr>
                <w:sz w:val="14"/>
                <w:szCs w:val="14"/>
              </w:rPr>
            </w:pPr>
            <w:r>
              <w:rPr>
                <w:sz w:val="14"/>
                <w:szCs w:val="14"/>
              </w:rPr>
              <w:t>.04</w:t>
            </w:r>
          </w:p>
          <w:p w:rsidR="009F1970" w:rsidRPr="009F1970" w:rsidRDefault="009F1970" w:rsidP="009F1970">
            <w:pPr>
              <w:ind w:left="113" w:right="113"/>
              <w:jc w:val="right"/>
              <w:rPr>
                <w:sz w:val="14"/>
                <w:szCs w:val="14"/>
              </w:rPr>
            </w:pPr>
            <w:r w:rsidRPr="009F1970">
              <w:rPr>
                <w:sz w:val="14"/>
                <w:szCs w:val="14"/>
              </w:rPr>
              <w:t>248</w:t>
            </w:r>
          </w:p>
          <w:p w:rsidR="00A110A1" w:rsidRPr="00F810C6" w:rsidRDefault="009F1970" w:rsidP="009F1970">
            <w:pPr>
              <w:ind w:left="113" w:right="113"/>
              <w:jc w:val="right"/>
              <w:rPr>
                <w:sz w:val="14"/>
                <w:szCs w:val="14"/>
              </w:rPr>
            </w:pPr>
            <w:r w:rsidRPr="009F1970">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872"/>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A110A1" w:rsidRPr="00F810C6" w:rsidRDefault="00A110A1" w:rsidP="00FC3D4C">
            <w:pPr>
              <w:ind w:left="113" w:right="113"/>
              <w:jc w:val="right"/>
              <w:rPr>
                <w:sz w:val="14"/>
                <w:szCs w:val="14"/>
              </w:rPr>
            </w:pPr>
            <w:r w:rsidRPr="00F810C6">
              <w:rPr>
                <w:sz w:val="14"/>
                <w:szCs w:val="14"/>
              </w:rPr>
              <w:t>Model 3</w:t>
            </w:r>
          </w:p>
        </w:tc>
        <w:tc>
          <w:tcPr>
            <w:tcW w:w="432" w:type="dxa"/>
            <w:tcBorders>
              <w:top w:val="nil"/>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Default="009F1970" w:rsidP="00FC3D4C">
            <w:pPr>
              <w:ind w:left="113" w:right="113"/>
              <w:jc w:val="right"/>
              <w:rPr>
                <w:sz w:val="12"/>
                <w:szCs w:val="12"/>
              </w:rPr>
            </w:pPr>
            <w:r>
              <w:rPr>
                <w:sz w:val="12"/>
                <w:szCs w:val="12"/>
              </w:rPr>
              <w:t>.49</w:t>
            </w:r>
            <w:r w:rsidR="00A110A1">
              <w:rPr>
                <w:sz w:val="12"/>
                <w:szCs w:val="12"/>
              </w:rPr>
              <w:t>***</w:t>
            </w:r>
          </w:p>
          <w:p w:rsidR="00A110A1" w:rsidRPr="00F810C6" w:rsidRDefault="00A110A1" w:rsidP="00FC3D4C">
            <w:pPr>
              <w:ind w:left="113" w:right="113"/>
              <w:jc w:val="right"/>
              <w:rPr>
                <w:sz w:val="12"/>
                <w:szCs w:val="12"/>
              </w:rPr>
            </w:pPr>
            <w:r>
              <w:rPr>
                <w:sz w:val="12"/>
                <w:szCs w:val="12"/>
              </w:rPr>
              <w:t>(</w:t>
            </w:r>
            <w:r w:rsidR="009F1970">
              <w:rPr>
                <w:sz w:val="12"/>
                <w:szCs w:val="12"/>
              </w:rPr>
              <w:t>.03</w:t>
            </w:r>
            <w:r>
              <w:rPr>
                <w:sz w:val="12"/>
                <w:szCs w:val="12"/>
              </w:rPr>
              <w:t>)</w:t>
            </w: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nil"/>
            </w:tcBorders>
            <w:textDirection w:val="btLr"/>
          </w:tcPr>
          <w:p w:rsidR="00A110A1" w:rsidRDefault="009F1970" w:rsidP="00FC3D4C">
            <w:pPr>
              <w:ind w:left="113" w:right="113"/>
              <w:jc w:val="right"/>
              <w:rPr>
                <w:sz w:val="14"/>
                <w:szCs w:val="14"/>
              </w:rPr>
            </w:pPr>
            <w:r>
              <w:rPr>
                <w:sz w:val="14"/>
                <w:szCs w:val="14"/>
              </w:rPr>
              <w:t>.04</w:t>
            </w:r>
          </w:p>
          <w:p w:rsidR="00A110A1" w:rsidRDefault="009F1970" w:rsidP="00FC3D4C">
            <w:pPr>
              <w:ind w:left="113" w:right="113"/>
              <w:jc w:val="right"/>
              <w:rPr>
                <w:sz w:val="14"/>
                <w:szCs w:val="14"/>
              </w:rPr>
            </w:pPr>
            <w:r>
              <w:rPr>
                <w:sz w:val="14"/>
                <w:szCs w:val="14"/>
              </w:rPr>
              <w:t>.53</w:t>
            </w:r>
          </w:p>
          <w:p w:rsidR="00A110A1" w:rsidRDefault="009F1970" w:rsidP="00FC3D4C">
            <w:pPr>
              <w:ind w:left="113" w:right="113"/>
              <w:jc w:val="right"/>
              <w:rPr>
                <w:sz w:val="14"/>
                <w:szCs w:val="14"/>
              </w:rPr>
            </w:pPr>
            <w:r>
              <w:rPr>
                <w:sz w:val="14"/>
                <w:szCs w:val="14"/>
              </w:rPr>
              <w:t>.04</w:t>
            </w:r>
          </w:p>
          <w:p w:rsidR="009F1970" w:rsidRPr="009F1970" w:rsidRDefault="009F1970" w:rsidP="009F1970">
            <w:pPr>
              <w:ind w:left="113" w:right="113"/>
              <w:jc w:val="right"/>
              <w:rPr>
                <w:sz w:val="14"/>
                <w:szCs w:val="14"/>
              </w:rPr>
            </w:pPr>
            <w:r w:rsidRPr="009F1970">
              <w:rPr>
                <w:sz w:val="14"/>
                <w:szCs w:val="14"/>
              </w:rPr>
              <w:t>248</w:t>
            </w:r>
          </w:p>
          <w:p w:rsidR="00A110A1" w:rsidRPr="00F810C6" w:rsidRDefault="009F1970" w:rsidP="009F1970">
            <w:pPr>
              <w:ind w:left="113" w:right="113"/>
              <w:jc w:val="right"/>
              <w:rPr>
                <w:sz w:val="14"/>
                <w:szCs w:val="14"/>
              </w:rPr>
            </w:pPr>
            <w:r w:rsidRPr="009F1970">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917"/>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A110A1" w:rsidRPr="00F810C6" w:rsidRDefault="00A110A1" w:rsidP="00FC3D4C">
            <w:pPr>
              <w:ind w:left="113" w:right="113"/>
              <w:jc w:val="right"/>
              <w:rPr>
                <w:sz w:val="14"/>
                <w:szCs w:val="14"/>
              </w:rPr>
            </w:pPr>
            <w:r w:rsidRPr="00F810C6">
              <w:rPr>
                <w:sz w:val="14"/>
                <w:szCs w:val="14"/>
              </w:rPr>
              <w:t>Model 2</w:t>
            </w:r>
          </w:p>
        </w:tc>
        <w:tc>
          <w:tcPr>
            <w:tcW w:w="432" w:type="dxa"/>
            <w:tcBorders>
              <w:top w:val="nil"/>
              <w:bottom w:val="nil"/>
              <w:right w:val="nil"/>
            </w:tcBorders>
            <w:shd w:val="clear" w:color="auto" w:fill="FFFFFF" w:themeFill="background1"/>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Default="009F1970" w:rsidP="00FC3D4C">
            <w:pPr>
              <w:ind w:left="113" w:right="113"/>
              <w:jc w:val="right"/>
              <w:rPr>
                <w:sz w:val="12"/>
                <w:szCs w:val="12"/>
              </w:rPr>
            </w:pPr>
            <w:r>
              <w:rPr>
                <w:sz w:val="12"/>
                <w:szCs w:val="12"/>
              </w:rPr>
              <w:t>.49</w:t>
            </w:r>
            <w:r w:rsidR="00A110A1">
              <w:rPr>
                <w:sz w:val="12"/>
                <w:szCs w:val="12"/>
              </w:rPr>
              <w:t>***</w:t>
            </w:r>
          </w:p>
          <w:p w:rsidR="00A110A1" w:rsidRPr="00F810C6" w:rsidRDefault="00A110A1" w:rsidP="00FC3D4C">
            <w:pPr>
              <w:ind w:left="113" w:right="113"/>
              <w:jc w:val="right"/>
              <w:rPr>
                <w:sz w:val="12"/>
                <w:szCs w:val="12"/>
              </w:rPr>
            </w:pPr>
            <w:r>
              <w:rPr>
                <w:sz w:val="12"/>
                <w:szCs w:val="12"/>
              </w:rPr>
              <w:t>(</w:t>
            </w:r>
            <w:r w:rsidR="009F1970">
              <w:rPr>
                <w:sz w:val="12"/>
                <w:szCs w:val="12"/>
              </w:rPr>
              <w:t>.02</w:t>
            </w:r>
            <w:r>
              <w:rPr>
                <w:sz w:val="12"/>
                <w:szCs w:val="12"/>
              </w:rPr>
              <w:t>)</w:t>
            </w: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nil"/>
            </w:tcBorders>
            <w:textDirection w:val="btLr"/>
          </w:tcPr>
          <w:p w:rsidR="00A110A1" w:rsidRDefault="009F1970" w:rsidP="00FC3D4C">
            <w:pPr>
              <w:ind w:left="113" w:right="113"/>
              <w:jc w:val="right"/>
              <w:rPr>
                <w:sz w:val="14"/>
                <w:szCs w:val="14"/>
              </w:rPr>
            </w:pPr>
            <w:r>
              <w:rPr>
                <w:sz w:val="14"/>
                <w:szCs w:val="14"/>
              </w:rPr>
              <w:t>.04</w:t>
            </w:r>
          </w:p>
          <w:p w:rsidR="00A110A1" w:rsidRDefault="009F1970" w:rsidP="00FC3D4C">
            <w:pPr>
              <w:ind w:left="113" w:right="113"/>
              <w:jc w:val="right"/>
              <w:rPr>
                <w:sz w:val="14"/>
                <w:szCs w:val="14"/>
              </w:rPr>
            </w:pPr>
            <w:r>
              <w:rPr>
                <w:sz w:val="14"/>
                <w:szCs w:val="14"/>
              </w:rPr>
              <w:t>.74</w:t>
            </w:r>
          </w:p>
          <w:p w:rsidR="00A110A1" w:rsidRDefault="009F1970" w:rsidP="00FC3D4C">
            <w:pPr>
              <w:ind w:left="113" w:right="113"/>
              <w:jc w:val="right"/>
              <w:rPr>
                <w:sz w:val="14"/>
                <w:szCs w:val="14"/>
              </w:rPr>
            </w:pPr>
            <w:r>
              <w:rPr>
                <w:sz w:val="14"/>
                <w:szCs w:val="14"/>
              </w:rPr>
              <w:t>.04</w:t>
            </w:r>
          </w:p>
          <w:p w:rsidR="009F1970" w:rsidRPr="009F1970" w:rsidRDefault="009F1970" w:rsidP="009F1970">
            <w:pPr>
              <w:ind w:left="113" w:right="113"/>
              <w:jc w:val="right"/>
              <w:rPr>
                <w:sz w:val="14"/>
                <w:szCs w:val="14"/>
              </w:rPr>
            </w:pPr>
            <w:r w:rsidRPr="009F1970">
              <w:rPr>
                <w:sz w:val="14"/>
                <w:szCs w:val="14"/>
              </w:rPr>
              <w:t>248</w:t>
            </w:r>
          </w:p>
          <w:p w:rsidR="00A110A1" w:rsidRPr="00F810C6" w:rsidRDefault="009F1970" w:rsidP="009F1970">
            <w:pPr>
              <w:ind w:left="113" w:right="113"/>
              <w:jc w:val="right"/>
              <w:rPr>
                <w:sz w:val="14"/>
                <w:szCs w:val="14"/>
              </w:rPr>
            </w:pPr>
            <w:r w:rsidRPr="009F1970">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971"/>
        </w:trPr>
        <w:tc>
          <w:tcPr>
            <w:tcW w:w="306" w:type="dxa"/>
            <w:vMerge/>
            <w:tcBorders>
              <w:left w:val="nil"/>
              <w:bottom w:val="nil"/>
            </w:tcBorders>
            <w:textDirection w:val="btLr"/>
          </w:tcPr>
          <w:p w:rsidR="00A110A1" w:rsidRPr="00F810C6" w:rsidRDefault="00A110A1" w:rsidP="00FC3D4C">
            <w:pPr>
              <w:ind w:left="113" w:right="113"/>
              <w:jc w:val="right"/>
              <w:rPr>
                <w:rFonts w:asciiTheme="minorHAnsi" w:hAnsiTheme="minorHAnsi" w:cstheme="minorBidi"/>
                <w:sz w:val="14"/>
                <w:szCs w:val="14"/>
              </w:rPr>
            </w:pPr>
          </w:p>
        </w:tc>
        <w:tc>
          <w:tcPr>
            <w:tcW w:w="306" w:type="dxa"/>
            <w:tcBorders>
              <w:top w:val="nil"/>
              <w:bottom w:val="single" w:sz="4" w:space="0" w:color="auto"/>
            </w:tcBorders>
            <w:noWrap/>
            <w:textDirection w:val="btLr"/>
          </w:tcPr>
          <w:p w:rsidR="00A110A1" w:rsidRPr="00F810C6" w:rsidRDefault="00A110A1" w:rsidP="00FC3D4C">
            <w:pPr>
              <w:ind w:left="113" w:right="113"/>
              <w:jc w:val="right"/>
              <w:rPr>
                <w:sz w:val="14"/>
                <w:szCs w:val="14"/>
              </w:rPr>
            </w:pPr>
            <w:r w:rsidRPr="00F810C6">
              <w:rPr>
                <w:sz w:val="14"/>
                <w:szCs w:val="14"/>
              </w:rPr>
              <w:t>Model 1</w:t>
            </w:r>
          </w:p>
        </w:tc>
        <w:tc>
          <w:tcPr>
            <w:tcW w:w="432" w:type="dxa"/>
            <w:tcBorders>
              <w:top w:val="nil"/>
              <w:bottom w:val="single" w:sz="4" w:space="0" w:color="auto"/>
              <w:right w:val="nil"/>
            </w:tcBorders>
            <w:shd w:val="clear" w:color="auto" w:fill="FFFFFF" w:themeFill="background1"/>
            <w:textDirection w:val="btLr"/>
          </w:tcPr>
          <w:p w:rsidR="00A110A1" w:rsidRDefault="00A110A1" w:rsidP="00FC3D4C">
            <w:pPr>
              <w:ind w:left="113" w:right="113"/>
              <w:jc w:val="right"/>
              <w:rPr>
                <w:sz w:val="12"/>
                <w:szCs w:val="12"/>
              </w:rPr>
            </w:pPr>
            <w:r w:rsidRPr="006425A0">
              <w:rPr>
                <w:sz w:val="12"/>
                <w:szCs w:val="12"/>
              </w:rPr>
              <w:t>.</w:t>
            </w:r>
            <w:r>
              <w:t xml:space="preserve"> </w:t>
            </w:r>
            <w:r w:rsidR="00AD5C82">
              <w:rPr>
                <w:sz w:val="12"/>
                <w:szCs w:val="12"/>
              </w:rPr>
              <w:t>.09</w:t>
            </w:r>
            <w:r>
              <w:rPr>
                <w:sz w:val="12"/>
                <w:szCs w:val="12"/>
              </w:rPr>
              <w:t>***</w:t>
            </w:r>
          </w:p>
          <w:p w:rsidR="00A110A1" w:rsidRPr="00F810C6" w:rsidRDefault="00A110A1" w:rsidP="00AD5C82">
            <w:pPr>
              <w:ind w:left="113" w:right="113"/>
              <w:jc w:val="right"/>
              <w:rPr>
                <w:sz w:val="12"/>
                <w:szCs w:val="12"/>
              </w:rPr>
            </w:pPr>
            <w:r>
              <w:rPr>
                <w:sz w:val="12"/>
                <w:szCs w:val="12"/>
              </w:rPr>
              <w:t>(</w:t>
            </w:r>
            <w:r w:rsidR="00AD5C82">
              <w:rPr>
                <w:sz w:val="12"/>
                <w:szCs w:val="12"/>
              </w:rPr>
              <w:t>.01)</w:t>
            </w:r>
          </w:p>
        </w:tc>
        <w:tc>
          <w:tcPr>
            <w:tcW w:w="432" w:type="dxa"/>
            <w:tcBorders>
              <w:top w:val="nil"/>
              <w:left w:val="nil"/>
              <w:bottom w:val="single" w:sz="4" w:space="0" w:color="auto"/>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shd w:val="clear" w:color="auto" w:fill="FFFFFF" w:themeFill="background1"/>
            <w:noWrap/>
            <w:textDirection w:val="btLr"/>
          </w:tcPr>
          <w:p w:rsidR="00A110A1" w:rsidRPr="00F810C6" w:rsidRDefault="00A110A1" w:rsidP="00FC3D4C">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textDirection w:val="btLr"/>
          </w:tcPr>
          <w:p w:rsidR="00A110A1" w:rsidRPr="00F810C6" w:rsidRDefault="00A110A1" w:rsidP="00FC3D4C">
            <w:pPr>
              <w:ind w:left="113" w:right="113"/>
              <w:jc w:val="right"/>
              <w:rPr>
                <w:sz w:val="12"/>
                <w:szCs w:val="12"/>
              </w:rPr>
            </w:pPr>
          </w:p>
        </w:tc>
        <w:tc>
          <w:tcPr>
            <w:tcW w:w="954" w:type="dxa"/>
            <w:tcBorders>
              <w:top w:val="nil"/>
              <w:bottom w:val="single" w:sz="4" w:space="0" w:color="auto"/>
            </w:tcBorders>
            <w:textDirection w:val="btLr"/>
          </w:tcPr>
          <w:p w:rsidR="00A110A1" w:rsidRDefault="009F1970" w:rsidP="00FC3D4C">
            <w:pPr>
              <w:ind w:left="113" w:right="113"/>
              <w:jc w:val="right"/>
              <w:rPr>
                <w:sz w:val="14"/>
                <w:szCs w:val="14"/>
              </w:rPr>
            </w:pPr>
            <w:r>
              <w:rPr>
                <w:sz w:val="14"/>
                <w:szCs w:val="14"/>
              </w:rPr>
              <w:t>.05</w:t>
            </w:r>
          </w:p>
          <w:p w:rsidR="00A110A1" w:rsidRDefault="009F1970" w:rsidP="00FC3D4C">
            <w:pPr>
              <w:ind w:left="113" w:right="113"/>
              <w:jc w:val="right"/>
              <w:rPr>
                <w:sz w:val="14"/>
                <w:szCs w:val="14"/>
              </w:rPr>
            </w:pPr>
            <w:r>
              <w:rPr>
                <w:sz w:val="14"/>
                <w:szCs w:val="14"/>
              </w:rPr>
              <w:t>.49</w:t>
            </w:r>
          </w:p>
          <w:p w:rsidR="00A110A1" w:rsidRDefault="009F1970" w:rsidP="00FC3D4C">
            <w:pPr>
              <w:ind w:left="113" w:right="113"/>
              <w:jc w:val="right"/>
              <w:rPr>
                <w:sz w:val="14"/>
                <w:szCs w:val="14"/>
              </w:rPr>
            </w:pPr>
            <w:r>
              <w:rPr>
                <w:sz w:val="14"/>
                <w:szCs w:val="14"/>
              </w:rPr>
              <w:t>.05</w:t>
            </w:r>
          </w:p>
          <w:p w:rsidR="00A110A1" w:rsidRDefault="009F1970" w:rsidP="009F1970">
            <w:pPr>
              <w:ind w:left="113" w:right="113"/>
              <w:jc w:val="right"/>
              <w:rPr>
                <w:sz w:val="14"/>
                <w:szCs w:val="14"/>
              </w:rPr>
            </w:pPr>
            <w:r>
              <w:rPr>
                <w:sz w:val="14"/>
                <w:szCs w:val="14"/>
              </w:rPr>
              <w:t>248</w:t>
            </w:r>
          </w:p>
          <w:p w:rsidR="009F1970" w:rsidRPr="00F810C6" w:rsidRDefault="009F1970" w:rsidP="009F1970">
            <w:pPr>
              <w:ind w:left="113" w:right="113"/>
              <w:jc w:val="right"/>
              <w:rPr>
                <w:sz w:val="14"/>
                <w:szCs w:val="14"/>
              </w:rPr>
            </w:pPr>
            <w:r>
              <w:rPr>
                <w:sz w:val="14"/>
                <w:szCs w:val="14"/>
              </w:rPr>
              <w:t>65</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r w:rsidR="00A110A1" w:rsidRPr="00F810C6" w:rsidTr="00A110A1">
        <w:trPr>
          <w:trHeight w:val="1493"/>
        </w:trPr>
        <w:tc>
          <w:tcPr>
            <w:tcW w:w="306" w:type="dxa"/>
            <w:vMerge/>
            <w:tcBorders>
              <w:left w:val="nil"/>
              <w:bottom w:val="nil"/>
            </w:tcBorders>
            <w:textDirection w:val="btLr"/>
          </w:tcPr>
          <w:p w:rsidR="00A110A1" w:rsidRPr="00F810C6" w:rsidRDefault="00A110A1" w:rsidP="00FC3D4C">
            <w:pPr>
              <w:ind w:left="113" w:right="113"/>
              <w:rPr>
                <w:rFonts w:asciiTheme="minorHAnsi" w:hAnsiTheme="minorHAnsi" w:cstheme="minorBidi"/>
                <w:sz w:val="14"/>
                <w:szCs w:val="14"/>
              </w:rPr>
            </w:pPr>
          </w:p>
        </w:tc>
        <w:tc>
          <w:tcPr>
            <w:tcW w:w="306" w:type="dxa"/>
            <w:tcBorders>
              <w:right w:val="nil"/>
            </w:tcBorders>
            <w:noWrap/>
            <w:textDirection w:val="btLr"/>
          </w:tcPr>
          <w:p w:rsidR="00A110A1" w:rsidRPr="00F810C6" w:rsidRDefault="00A110A1" w:rsidP="00FC3D4C">
            <w:pPr>
              <w:ind w:left="113" w:right="113"/>
              <w:rPr>
                <w:rFonts w:asciiTheme="minorHAnsi" w:hAnsiTheme="minorHAnsi" w:cstheme="minorBidi"/>
                <w:sz w:val="14"/>
                <w:szCs w:val="14"/>
              </w:rPr>
            </w:pPr>
          </w:p>
        </w:tc>
        <w:tc>
          <w:tcPr>
            <w:tcW w:w="432" w:type="dxa"/>
            <w:tcBorders>
              <w:right w:val="nil"/>
            </w:tcBorders>
            <w:shd w:val="clear" w:color="auto" w:fill="FFFFFF" w:themeFill="background1"/>
            <w:textDirection w:val="btLr"/>
          </w:tcPr>
          <w:p w:rsidR="00A110A1" w:rsidRPr="00A110A1" w:rsidRDefault="00A110A1" w:rsidP="00FC3D4C">
            <w:pPr>
              <w:ind w:left="113" w:right="113"/>
              <w:rPr>
                <w:sz w:val="14"/>
                <w:szCs w:val="14"/>
                <w:vertAlign w:val="superscript"/>
              </w:rPr>
            </w:pPr>
            <w:r>
              <w:rPr>
                <w:sz w:val="14"/>
                <w:szCs w:val="14"/>
              </w:rPr>
              <w:t>Inequality</w:t>
            </w:r>
          </w:p>
        </w:tc>
        <w:tc>
          <w:tcPr>
            <w:tcW w:w="432" w:type="dxa"/>
            <w:tcBorders>
              <w:left w:val="nil"/>
              <w:right w:val="nil"/>
            </w:tcBorders>
            <w:shd w:val="clear" w:color="auto" w:fill="E7E6E6" w:themeFill="background2"/>
            <w:noWrap/>
            <w:textDirection w:val="btLr"/>
          </w:tcPr>
          <w:p w:rsidR="00A110A1" w:rsidRPr="00F810C6" w:rsidRDefault="00A110A1" w:rsidP="00FC3D4C">
            <w:pPr>
              <w:ind w:left="113" w:right="113"/>
              <w:rPr>
                <w:sz w:val="14"/>
                <w:szCs w:val="14"/>
              </w:rPr>
            </w:pPr>
            <w:r w:rsidRPr="00F810C6">
              <w:rPr>
                <w:sz w:val="14"/>
                <w:szCs w:val="14"/>
              </w:rPr>
              <w:t>GDPPC</w:t>
            </w:r>
            <w:r w:rsidR="00D35EA4">
              <w:rPr>
                <w:sz w:val="14"/>
                <w:szCs w:val="14"/>
                <w:vertAlign w:val="superscript"/>
              </w:rPr>
              <w:t>a</w:t>
            </w:r>
          </w:p>
        </w:tc>
        <w:tc>
          <w:tcPr>
            <w:tcW w:w="432" w:type="dxa"/>
            <w:tcBorders>
              <w:left w:val="nil"/>
              <w:right w:val="nil"/>
            </w:tcBorders>
            <w:noWrap/>
            <w:textDirection w:val="btLr"/>
          </w:tcPr>
          <w:p w:rsidR="00A110A1" w:rsidRPr="00F810C6" w:rsidRDefault="00A110A1" w:rsidP="00FC3D4C">
            <w:pPr>
              <w:ind w:left="113" w:right="113"/>
              <w:rPr>
                <w:sz w:val="14"/>
                <w:szCs w:val="14"/>
                <w:vertAlign w:val="superscript"/>
              </w:rPr>
            </w:pPr>
            <w:r w:rsidRPr="00E13EC7">
              <w:rPr>
                <w:noProof/>
                <w:sz w:val="14"/>
                <w:szCs w:val="14"/>
              </w:rPr>
              <w:t>Democracy</w:t>
            </w:r>
          </w:p>
        </w:tc>
        <w:tc>
          <w:tcPr>
            <w:tcW w:w="432" w:type="dxa"/>
            <w:tcBorders>
              <w:left w:val="nil"/>
              <w:right w:val="nil"/>
            </w:tcBorders>
            <w:shd w:val="clear" w:color="auto" w:fill="E7E6E6" w:themeFill="background2"/>
            <w:noWrap/>
            <w:textDirection w:val="btLr"/>
          </w:tcPr>
          <w:p w:rsidR="00A110A1" w:rsidRPr="00F810C6" w:rsidRDefault="00A110A1" w:rsidP="00FC3D4C">
            <w:pPr>
              <w:ind w:left="113" w:right="113"/>
              <w:rPr>
                <w:sz w:val="14"/>
                <w:szCs w:val="14"/>
              </w:rPr>
            </w:pPr>
            <w:r w:rsidRPr="00F810C6">
              <w:rPr>
                <w:sz w:val="14"/>
                <w:szCs w:val="14"/>
              </w:rPr>
              <w:t xml:space="preserve">Age </w:t>
            </w:r>
            <w:r w:rsidRPr="00E13EC7">
              <w:rPr>
                <w:noProof/>
                <w:sz w:val="14"/>
                <w:szCs w:val="14"/>
              </w:rPr>
              <w:t>Cohort</w:t>
            </w:r>
          </w:p>
        </w:tc>
        <w:tc>
          <w:tcPr>
            <w:tcW w:w="432" w:type="dxa"/>
            <w:tcBorders>
              <w:left w:val="nil"/>
              <w:right w:val="nil"/>
            </w:tcBorders>
            <w:noWrap/>
            <w:textDirection w:val="btLr"/>
          </w:tcPr>
          <w:p w:rsidR="00A110A1" w:rsidRPr="00F810C6" w:rsidRDefault="00A110A1" w:rsidP="00FC3D4C">
            <w:pPr>
              <w:ind w:left="113" w:right="113"/>
              <w:rPr>
                <w:sz w:val="14"/>
                <w:szCs w:val="14"/>
              </w:rPr>
            </w:pPr>
            <w:r w:rsidRPr="00F810C6">
              <w:rPr>
                <w:sz w:val="14"/>
                <w:szCs w:val="14"/>
              </w:rPr>
              <w:t>Urban</w:t>
            </w:r>
          </w:p>
        </w:tc>
        <w:tc>
          <w:tcPr>
            <w:tcW w:w="432" w:type="dxa"/>
            <w:tcBorders>
              <w:left w:val="nil"/>
              <w:right w:val="nil"/>
            </w:tcBorders>
            <w:shd w:val="clear" w:color="auto" w:fill="E7E6E6" w:themeFill="background2"/>
            <w:noWrap/>
            <w:textDirection w:val="btLr"/>
          </w:tcPr>
          <w:p w:rsidR="00A110A1" w:rsidRPr="00F810C6" w:rsidRDefault="00A110A1" w:rsidP="00FC3D4C">
            <w:pPr>
              <w:ind w:left="113" w:right="113"/>
              <w:rPr>
                <w:sz w:val="14"/>
                <w:szCs w:val="14"/>
              </w:rPr>
            </w:pPr>
            <w:r w:rsidRPr="00F810C6">
              <w:rPr>
                <w:sz w:val="14"/>
                <w:szCs w:val="14"/>
              </w:rPr>
              <w:t xml:space="preserve">Physical </w:t>
            </w:r>
            <w:r w:rsidRPr="00E13EC7">
              <w:rPr>
                <w:noProof/>
                <w:sz w:val="14"/>
                <w:szCs w:val="14"/>
              </w:rPr>
              <w:t>Integrity</w:t>
            </w:r>
          </w:p>
        </w:tc>
        <w:tc>
          <w:tcPr>
            <w:tcW w:w="432" w:type="dxa"/>
            <w:tcBorders>
              <w:left w:val="nil"/>
              <w:right w:val="nil"/>
            </w:tcBorders>
            <w:noWrap/>
            <w:textDirection w:val="btLr"/>
          </w:tcPr>
          <w:p w:rsidR="00A110A1" w:rsidRPr="00F810C6" w:rsidRDefault="00A110A1" w:rsidP="00FC3D4C">
            <w:pPr>
              <w:ind w:left="113" w:right="113"/>
              <w:rPr>
                <w:sz w:val="14"/>
                <w:szCs w:val="14"/>
                <w:vertAlign w:val="superscript"/>
              </w:rPr>
            </w:pPr>
            <w:r w:rsidRPr="00F810C6">
              <w:rPr>
                <w:sz w:val="14"/>
                <w:szCs w:val="14"/>
              </w:rPr>
              <w:t>Sec</w:t>
            </w:r>
            <w:r>
              <w:rPr>
                <w:sz w:val="14"/>
                <w:szCs w:val="14"/>
              </w:rPr>
              <w:t>ondary</w:t>
            </w:r>
            <w:r w:rsidRPr="00F810C6">
              <w:rPr>
                <w:sz w:val="14"/>
                <w:szCs w:val="14"/>
              </w:rPr>
              <w:t xml:space="preserve"> </w:t>
            </w:r>
            <w:r w:rsidRPr="00E13EC7">
              <w:rPr>
                <w:noProof/>
                <w:sz w:val="14"/>
                <w:szCs w:val="14"/>
              </w:rPr>
              <w:t>Education</w:t>
            </w:r>
          </w:p>
        </w:tc>
        <w:tc>
          <w:tcPr>
            <w:tcW w:w="432" w:type="dxa"/>
            <w:tcBorders>
              <w:left w:val="nil"/>
              <w:right w:val="nil"/>
            </w:tcBorders>
            <w:shd w:val="clear" w:color="auto" w:fill="E7E6E6" w:themeFill="background2"/>
            <w:noWrap/>
            <w:textDirection w:val="btLr"/>
          </w:tcPr>
          <w:p w:rsidR="00A110A1" w:rsidRPr="00F810C6" w:rsidRDefault="00A110A1" w:rsidP="00FC3D4C">
            <w:pPr>
              <w:ind w:left="113" w:right="113"/>
              <w:rPr>
                <w:sz w:val="14"/>
                <w:szCs w:val="14"/>
              </w:rPr>
            </w:pPr>
            <w:r w:rsidRPr="00F810C6">
              <w:rPr>
                <w:sz w:val="14"/>
                <w:szCs w:val="14"/>
              </w:rPr>
              <w:t xml:space="preserve">Homicide </w:t>
            </w:r>
            <w:r w:rsidRPr="00525FCF">
              <w:rPr>
                <w:noProof/>
                <w:sz w:val="14"/>
                <w:szCs w:val="14"/>
              </w:rPr>
              <w:t>Rate</w:t>
            </w:r>
            <w:r w:rsidRPr="00525FCF">
              <w:rPr>
                <w:noProof/>
                <w:sz w:val="14"/>
                <w:szCs w:val="14"/>
                <w:vertAlign w:val="superscript"/>
              </w:rPr>
              <w:t>a</w:t>
            </w:r>
          </w:p>
        </w:tc>
        <w:tc>
          <w:tcPr>
            <w:tcW w:w="432" w:type="dxa"/>
            <w:tcBorders>
              <w:left w:val="nil"/>
              <w:right w:val="nil"/>
            </w:tcBorders>
            <w:textDirection w:val="btLr"/>
          </w:tcPr>
          <w:p w:rsidR="00A110A1" w:rsidRPr="00A110A1" w:rsidRDefault="00A110A1" w:rsidP="00FC3D4C">
            <w:pPr>
              <w:ind w:left="113" w:right="113"/>
              <w:rPr>
                <w:sz w:val="14"/>
                <w:szCs w:val="14"/>
                <w:vertAlign w:val="superscript"/>
              </w:rPr>
            </w:pPr>
            <w:r>
              <w:rPr>
                <w:sz w:val="14"/>
                <w:szCs w:val="14"/>
              </w:rPr>
              <w:t xml:space="preserve">Drug Offense </w:t>
            </w:r>
            <w:r w:rsidRPr="00525FCF">
              <w:rPr>
                <w:noProof/>
                <w:sz w:val="14"/>
                <w:szCs w:val="14"/>
              </w:rPr>
              <w:t>Rate</w:t>
            </w:r>
            <w:r w:rsidR="00D35EA4" w:rsidRPr="00525FCF">
              <w:rPr>
                <w:noProof/>
                <w:sz w:val="14"/>
                <w:szCs w:val="14"/>
                <w:vertAlign w:val="superscript"/>
              </w:rPr>
              <w:t>a</w:t>
            </w:r>
          </w:p>
        </w:tc>
        <w:tc>
          <w:tcPr>
            <w:tcW w:w="432" w:type="dxa"/>
            <w:tcBorders>
              <w:left w:val="nil"/>
              <w:right w:val="nil"/>
            </w:tcBorders>
            <w:shd w:val="clear" w:color="auto" w:fill="E7E6E6" w:themeFill="background2"/>
            <w:noWrap/>
            <w:textDirection w:val="btLr"/>
          </w:tcPr>
          <w:p w:rsidR="00A110A1" w:rsidRPr="00EA3315" w:rsidRDefault="00A110A1" w:rsidP="00FC3D4C">
            <w:pPr>
              <w:ind w:left="113" w:right="113"/>
              <w:rPr>
                <w:sz w:val="14"/>
                <w:szCs w:val="14"/>
                <w:vertAlign w:val="superscript"/>
              </w:rPr>
            </w:pPr>
            <w:r>
              <w:rPr>
                <w:sz w:val="14"/>
                <w:szCs w:val="14"/>
              </w:rPr>
              <w:t>Percentage Male</w:t>
            </w:r>
          </w:p>
        </w:tc>
        <w:tc>
          <w:tcPr>
            <w:tcW w:w="432" w:type="dxa"/>
            <w:tcBorders>
              <w:left w:val="nil"/>
              <w:right w:val="nil"/>
            </w:tcBorders>
            <w:shd w:val="clear" w:color="auto" w:fill="FFFFFF" w:themeFill="background1"/>
            <w:noWrap/>
            <w:textDirection w:val="btLr"/>
          </w:tcPr>
          <w:p w:rsidR="00A110A1" w:rsidRPr="00F810C6" w:rsidRDefault="00A110A1" w:rsidP="00FC3D4C">
            <w:pPr>
              <w:ind w:left="113" w:right="113"/>
              <w:rPr>
                <w:sz w:val="14"/>
                <w:szCs w:val="14"/>
              </w:rPr>
            </w:pPr>
            <w:r w:rsidRPr="00F810C6">
              <w:rPr>
                <w:sz w:val="14"/>
                <w:szCs w:val="14"/>
              </w:rPr>
              <w:t xml:space="preserve">Ethnic </w:t>
            </w:r>
            <w:r w:rsidRPr="00525FCF">
              <w:rPr>
                <w:noProof/>
                <w:sz w:val="14"/>
                <w:szCs w:val="14"/>
              </w:rPr>
              <w:t>Fractionalization</w:t>
            </w:r>
            <w:r w:rsidR="00D35EA4" w:rsidRPr="00525FCF">
              <w:rPr>
                <w:noProof/>
                <w:sz w:val="14"/>
                <w:szCs w:val="14"/>
                <w:vertAlign w:val="superscript"/>
              </w:rPr>
              <w:t>b</w:t>
            </w:r>
          </w:p>
        </w:tc>
        <w:tc>
          <w:tcPr>
            <w:tcW w:w="432" w:type="dxa"/>
            <w:tcBorders>
              <w:left w:val="nil"/>
              <w:right w:val="nil"/>
            </w:tcBorders>
            <w:shd w:val="clear" w:color="auto" w:fill="E7E6E6" w:themeFill="background2"/>
            <w:textDirection w:val="btLr"/>
          </w:tcPr>
          <w:p w:rsidR="00A110A1" w:rsidRPr="00F810C6" w:rsidRDefault="00A110A1" w:rsidP="00FC3D4C">
            <w:pPr>
              <w:ind w:left="113" w:right="113"/>
              <w:rPr>
                <w:sz w:val="14"/>
                <w:szCs w:val="14"/>
              </w:rPr>
            </w:pPr>
            <w:r w:rsidRPr="00F810C6">
              <w:rPr>
                <w:sz w:val="14"/>
                <w:szCs w:val="14"/>
              </w:rPr>
              <w:t>Time</w:t>
            </w:r>
          </w:p>
        </w:tc>
        <w:tc>
          <w:tcPr>
            <w:tcW w:w="954" w:type="dxa"/>
            <w:tcBorders>
              <w:top w:val="single" w:sz="4" w:space="0" w:color="auto"/>
            </w:tcBorders>
            <w:textDirection w:val="btLr"/>
          </w:tcPr>
          <w:p w:rsidR="00A110A1" w:rsidRDefault="00A110A1" w:rsidP="00FC3D4C">
            <w:pPr>
              <w:ind w:left="113" w:right="113"/>
              <w:rPr>
                <w:sz w:val="14"/>
                <w:szCs w:val="14"/>
              </w:rPr>
            </w:pPr>
            <w:r w:rsidRPr="00F810C6">
              <w:rPr>
                <w:i/>
                <w:sz w:val="14"/>
                <w:szCs w:val="14"/>
              </w:rPr>
              <w:t>R</w:t>
            </w:r>
            <w:r w:rsidRPr="00F810C6">
              <w:rPr>
                <w:sz w:val="14"/>
                <w:szCs w:val="14"/>
                <w:vertAlign w:val="superscript"/>
              </w:rPr>
              <w:t>2</w:t>
            </w:r>
            <w:r>
              <w:rPr>
                <w:sz w:val="14"/>
                <w:szCs w:val="14"/>
              </w:rPr>
              <w:t xml:space="preserve"> Overall</w:t>
            </w:r>
          </w:p>
          <w:p w:rsidR="00A110A1" w:rsidRDefault="00A110A1" w:rsidP="00FC3D4C">
            <w:pPr>
              <w:ind w:left="113" w:right="113"/>
              <w:rPr>
                <w:sz w:val="14"/>
                <w:szCs w:val="14"/>
              </w:rPr>
            </w:pPr>
            <w:r w:rsidRPr="00525FCF">
              <w:rPr>
                <w:i/>
                <w:noProof/>
                <w:sz w:val="14"/>
                <w:szCs w:val="14"/>
              </w:rPr>
              <w:t>R</w:t>
            </w:r>
            <w:r w:rsidR="00525FCF">
              <w:rPr>
                <w:i/>
                <w:noProof/>
                <w:sz w:val="14"/>
                <w:szCs w:val="14"/>
                <w:vertAlign w:val="superscript"/>
              </w:rPr>
              <w:t>2</w:t>
            </w:r>
            <w:r>
              <w:rPr>
                <w:i/>
                <w:sz w:val="14"/>
                <w:szCs w:val="14"/>
                <w:vertAlign w:val="superscript"/>
              </w:rPr>
              <w:t xml:space="preserve"> </w:t>
            </w:r>
            <w:r>
              <w:rPr>
                <w:sz w:val="14"/>
                <w:szCs w:val="14"/>
              </w:rPr>
              <w:t xml:space="preserve"> Within</w:t>
            </w:r>
          </w:p>
          <w:p w:rsidR="00A110A1" w:rsidRPr="00EA3315" w:rsidRDefault="00A110A1" w:rsidP="00FC3D4C">
            <w:pPr>
              <w:ind w:left="113" w:right="113"/>
              <w:rPr>
                <w:sz w:val="14"/>
                <w:szCs w:val="14"/>
              </w:rPr>
            </w:pPr>
            <w:r w:rsidRPr="00525FCF">
              <w:rPr>
                <w:i/>
                <w:noProof/>
                <w:sz w:val="14"/>
                <w:szCs w:val="14"/>
              </w:rPr>
              <w:t>R</w:t>
            </w:r>
            <w:r w:rsidR="00525FCF">
              <w:rPr>
                <w:i/>
                <w:noProof/>
                <w:sz w:val="14"/>
                <w:szCs w:val="14"/>
                <w:vertAlign w:val="superscript"/>
              </w:rPr>
              <w:t>2</w:t>
            </w:r>
            <w:r>
              <w:rPr>
                <w:sz w:val="14"/>
                <w:szCs w:val="14"/>
              </w:rPr>
              <w:t xml:space="preserve"> Between</w:t>
            </w:r>
          </w:p>
          <w:p w:rsidR="00A110A1" w:rsidRDefault="00A110A1" w:rsidP="00FC3D4C">
            <w:pPr>
              <w:ind w:left="113" w:right="113"/>
              <w:rPr>
                <w:sz w:val="14"/>
                <w:szCs w:val="14"/>
              </w:rPr>
            </w:pPr>
            <w:r>
              <w:rPr>
                <w:sz w:val="14"/>
                <w:szCs w:val="14"/>
              </w:rPr>
              <w:t>N observations</w:t>
            </w:r>
          </w:p>
          <w:p w:rsidR="00A110A1" w:rsidRPr="006425A0" w:rsidRDefault="00A110A1" w:rsidP="00FC3D4C">
            <w:pPr>
              <w:ind w:left="113" w:right="113"/>
              <w:rPr>
                <w:sz w:val="14"/>
                <w:szCs w:val="14"/>
              </w:rPr>
            </w:pPr>
            <w:r>
              <w:rPr>
                <w:sz w:val="14"/>
                <w:szCs w:val="14"/>
              </w:rPr>
              <w:t>N groups</w:t>
            </w:r>
          </w:p>
        </w:tc>
        <w:tc>
          <w:tcPr>
            <w:tcW w:w="1980" w:type="dxa"/>
            <w:vMerge/>
            <w:tcBorders>
              <w:top w:val="nil"/>
              <w:bottom w:val="nil"/>
              <w:right w:val="nil"/>
            </w:tcBorders>
            <w:textDirection w:val="btLr"/>
          </w:tcPr>
          <w:p w:rsidR="00A110A1" w:rsidRPr="00F810C6" w:rsidRDefault="00A110A1" w:rsidP="00FC3D4C">
            <w:pPr>
              <w:ind w:left="113" w:right="113"/>
              <w:rPr>
                <w:rFonts w:asciiTheme="minorHAnsi" w:hAnsiTheme="minorHAnsi" w:cstheme="minorBidi"/>
                <w:sz w:val="14"/>
                <w:szCs w:val="14"/>
              </w:rPr>
            </w:pPr>
          </w:p>
        </w:tc>
      </w:tr>
    </w:tbl>
    <w:p w:rsidR="0057732D" w:rsidRDefault="0057732D">
      <w:r>
        <w:br w:type="page"/>
      </w:r>
    </w:p>
    <w:p w:rsidR="004272CC" w:rsidRDefault="004272CC"/>
    <w:p w:rsidR="001A2FC5" w:rsidRDefault="004272CC" w:rsidP="004272CC">
      <w:pPr>
        <w:spacing w:line="480" w:lineRule="auto"/>
        <w:contextualSpacing/>
      </w:pPr>
      <w:r>
        <w:t xml:space="preserve">When </w:t>
      </w:r>
      <w:r w:rsidRPr="00E13EC7">
        <w:rPr>
          <w:noProof/>
        </w:rPr>
        <w:t>I</w:t>
      </w:r>
      <w:r>
        <w:t xml:space="preserve"> examine regions</w:t>
      </w:r>
      <w:r w:rsidR="001A2FC5">
        <w:t xml:space="preserve"> and world-systems position</w:t>
      </w:r>
      <w:r>
        <w:t xml:space="preserve">, </w:t>
      </w:r>
      <w:r w:rsidRPr="00E13EC7">
        <w:rPr>
          <w:noProof/>
        </w:rPr>
        <w:t>I</w:t>
      </w:r>
      <w:r>
        <w:t xml:space="preserve"> use each as referent categories in respective </w:t>
      </w:r>
      <w:r w:rsidRPr="00E13EC7">
        <w:rPr>
          <w:noProof/>
        </w:rPr>
        <w:t>analyses</w:t>
      </w:r>
      <w:r>
        <w:t xml:space="preserve">. I interact </w:t>
      </w:r>
      <w:r w:rsidRPr="00525FCF">
        <w:rPr>
          <w:noProof/>
        </w:rPr>
        <w:t>regional</w:t>
      </w:r>
      <w:r>
        <w:rPr>
          <w:noProof/>
        </w:rPr>
        <w:t xml:space="preserve"> variables</w:t>
      </w:r>
      <w:r>
        <w:t xml:space="preserve"> </w:t>
      </w:r>
      <w:r w:rsidR="001A2FC5">
        <w:t xml:space="preserve">and world-systems position </w:t>
      </w:r>
      <w:r>
        <w:t xml:space="preserve">with standardized time, which provides the effect of the </w:t>
      </w:r>
      <w:r w:rsidR="001A2FC5">
        <w:t xml:space="preserve">variable </w:t>
      </w:r>
      <w:r>
        <w:t xml:space="preserve">at the midpoint of the </w:t>
      </w:r>
      <w:r w:rsidRPr="00525FCF">
        <w:rPr>
          <w:noProof/>
        </w:rPr>
        <w:t>ana</w:t>
      </w:r>
      <w:r w:rsidR="000C1BD6" w:rsidRPr="00525FCF">
        <w:rPr>
          <w:noProof/>
        </w:rPr>
        <w:t>lysis</w:t>
      </w:r>
      <w:r w:rsidR="000C1BD6">
        <w:t xml:space="preserve">. As </w:t>
      </w:r>
      <w:r w:rsidR="00C86B22">
        <w:t>seen in Table 8</w:t>
      </w:r>
      <w:r>
        <w:t xml:space="preserve">, </w:t>
      </w:r>
      <w:r w:rsidR="00D35EA4">
        <w:t xml:space="preserve">only Latin America produces </w:t>
      </w:r>
      <w:r w:rsidR="00D35EA4" w:rsidRPr="00525FCF">
        <w:rPr>
          <w:noProof/>
        </w:rPr>
        <w:t>positive</w:t>
      </w:r>
      <w:r w:rsidR="00D35EA4">
        <w:t xml:space="preserve"> and significant</w:t>
      </w:r>
      <w:r>
        <w:t xml:space="preserve"> </w:t>
      </w:r>
      <w:r w:rsidR="00D35EA4">
        <w:t>coefficients when either the West or Eastern Europe and Central Asia are the referent categories</w:t>
      </w:r>
      <w:r>
        <w:t xml:space="preserve">. </w:t>
      </w:r>
      <w:r w:rsidR="00D35EA4">
        <w:t xml:space="preserve">There are no significant </w:t>
      </w:r>
      <w:r w:rsidR="00D35EA4" w:rsidRPr="00525FCF">
        <w:rPr>
          <w:noProof/>
        </w:rPr>
        <w:t>coefficients</w:t>
      </w:r>
      <w:r w:rsidR="00D35EA4">
        <w:t xml:space="preserve"> for any of the world-systems positions noted in Table 9. </w:t>
      </w:r>
    </w:p>
    <w:tbl>
      <w:tblPr>
        <w:tblStyle w:val="TableGrid"/>
        <w:tblW w:w="0" w:type="auto"/>
        <w:tblLook w:val="04A0" w:firstRow="1" w:lastRow="0" w:firstColumn="1" w:lastColumn="0" w:noHBand="0" w:noVBand="1"/>
      </w:tblPr>
      <w:tblGrid>
        <w:gridCol w:w="1435"/>
        <w:gridCol w:w="989"/>
        <w:gridCol w:w="1081"/>
        <w:gridCol w:w="1080"/>
        <w:gridCol w:w="1080"/>
        <w:gridCol w:w="1080"/>
        <w:gridCol w:w="1350"/>
      </w:tblGrid>
      <w:tr w:rsidR="00D35EA4" w:rsidTr="00D35EA4">
        <w:tc>
          <w:tcPr>
            <w:tcW w:w="8095" w:type="dxa"/>
            <w:gridSpan w:val="7"/>
            <w:tcBorders>
              <w:top w:val="nil"/>
              <w:left w:val="nil"/>
              <w:right w:val="nil"/>
            </w:tcBorders>
          </w:tcPr>
          <w:p w:rsidR="00D35EA4" w:rsidRDefault="00D35EA4" w:rsidP="006F0D5D">
            <w:pPr>
              <w:jc w:val="both"/>
            </w:pPr>
            <w:r w:rsidRPr="006F0D5D">
              <w:t>Table 8. FE Regression for Regional Variables</w:t>
            </w:r>
            <w:r>
              <w:rPr>
                <w:sz w:val="16"/>
                <w:szCs w:val="16"/>
              </w:rPr>
              <w:t>.</w:t>
            </w:r>
          </w:p>
        </w:tc>
      </w:tr>
      <w:tr w:rsidR="00D35EA4" w:rsidTr="00D35EA4">
        <w:tc>
          <w:tcPr>
            <w:tcW w:w="1435" w:type="dxa"/>
            <w:tcBorders>
              <w:bottom w:val="single" w:sz="4" w:space="0" w:color="auto"/>
            </w:tcBorders>
          </w:tcPr>
          <w:p w:rsidR="00D35EA4" w:rsidRDefault="00D35EA4" w:rsidP="00BC21EC"/>
        </w:tc>
        <w:tc>
          <w:tcPr>
            <w:tcW w:w="989" w:type="dxa"/>
            <w:tcBorders>
              <w:bottom w:val="single" w:sz="4" w:space="0" w:color="auto"/>
              <w:right w:val="nil"/>
            </w:tcBorders>
          </w:tcPr>
          <w:p w:rsidR="00D35EA4" w:rsidRPr="001B614B" w:rsidRDefault="00D35EA4" w:rsidP="00BC21EC">
            <w:pPr>
              <w:jc w:val="right"/>
              <w:rPr>
                <w:sz w:val="16"/>
                <w:szCs w:val="16"/>
              </w:rPr>
            </w:pPr>
            <w:r>
              <w:rPr>
                <w:sz w:val="16"/>
                <w:szCs w:val="16"/>
              </w:rPr>
              <w:t>Model 1</w:t>
            </w:r>
          </w:p>
        </w:tc>
        <w:tc>
          <w:tcPr>
            <w:tcW w:w="1081" w:type="dxa"/>
            <w:tcBorders>
              <w:left w:val="nil"/>
              <w:bottom w:val="single" w:sz="4" w:space="0" w:color="auto"/>
              <w:right w:val="nil"/>
            </w:tcBorders>
          </w:tcPr>
          <w:p w:rsidR="00D35EA4" w:rsidRPr="001B614B" w:rsidRDefault="00D35EA4" w:rsidP="00BC21EC">
            <w:pPr>
              <w:jc w:val="right"/>
              <w:rPr>
                <w:sz w:val="16"/>
                <w:szCs w:val="16"/>
              </w:rPr>
            </w:pPr>
            <w:r>
              <w:rPr>
                <w:sz w:val="16"/>
                <w:szCs w:val="16"/>
              </w:rPr>
              <w:t>Model 2</w:t>
            </w:r>
          </w:p>
        </w:tc>
        <w:tc>
          <w:tcPr>
            <w:tcW w:w="1080" w:type="dxa"/>
            <w:tcBorders>
              <w:left w:val="nil"/>
              <w:bottom w:val="single" w:sz="4" w:space="0" w:color="auto"/>
              <w:right w:val="nil"/>
            </w:tcBorders>
          </w:tcPr>
          <w:p w:rsidR="00D35EA4" w:rsidRPr="001B614B" w:rsidRDefault="00D35EA4" w:rsidP="00BC21EC">
            <w:pPr>
              <w:jc w:val="right"/>
              <w:rPr>
                <w:sz w:val="16"/>
                <w:szCs w:val="16"/>
              </w:rPr>
            </w:pPr>
            <w:r>
              <w:rPr>
                <w:sz w:val="16"/>
                <w:szCs w:val="16"/>
              </w:rPr>
              <w:t>Model 3</w:t>
            </w:r>
          </w:p>
        </w:tc>
        <w:tc>
          <w:tcPr>
            <w:tcW w:w="1080" w:type="dxa"/>
            <w:tcBorders>
              <w:left w:val="nil"/>
              <w:bottom w:val="single" w:sz="4" w:space="0" w:color="auto"/>
              <w:right w:val="nil"/>
            </w:tcBorders>
          </w:tcPr>
          <w:p w:rsidR="00D35EA4" w:rsidRPr="001B614B" w:rsidRDefault="00D35EA4" w:rsidP="00BC21EC">
            <w:pPr>
              <w:jc w:val="right"/>
              <w:rPr>
                <w:sz w:val="16"/>
                <w:szCs w:val="16"/>
              </w:rPr>
            </w:pPr>
            <w:r>
              <w:rPr>
                <w:sz w:val="16"/>
                <w:szCs w:val="16"/>
              </w:rPr>
              <w:t>Model 4</w:t>
            </w:r>
          </w:p>
        </w:tc>
        <w:tc>
          <w:tcPr>
            <w:tcW w:w="1080" w:type="dxa"/>
            <w:tcBorders>
              <w:left w:val="nil"/>
              <w:bottom w:val="single" w:sz="4" w:space="0" w:color="auto"/>
              <w:right w:val="nil"/>
            </w:tcBorders>
          </w:tcPr>
          <w:p w:rsidR="00D35EA4" w:rsidRPr="001B614B" w:rsidRDefault="00D35EA4" w:rsidP="00BC21EC">
            <w:pPr>
              <w:jc w:val="right"/>
              <w:rPr>
                <w:sz w:val="16"/>
                <w:szCs w:val="16"/>
              </w:rPr>
            </w:pPr>
            <w:r>
              <w:rPr>
                <w:sz w:val="16"/>
                <w:szCs w:val="16"/>
              </w:rPr>
              <w:t>Model 5</w:t>
            </w:r>
          </w:p>
        </w:tc>
        <w:tc>
          <w:tcPr>
            <w:tcW w:w="1350" w:type="dxa"/>
            <w:tcBorders>
              <w:left w:val="nil"/>
              <w:bottom w:val="single" w:sz="4" w:space="0" w:color="auto"/>
            </w:tcBorders>
          </w:tcPr>
          <w:p w:rsidR="00D35EA4" w:rsidRPr="001B614B" w:rsidRDefault="00D35EA4" w:rsidP="00BC21EC">
            <w:pPr>
              <w:jc w:val="right"/>
              <w:rPr>
                <w:sz w:val="16"/>
                <w:szCs w:val="16"/>
              </w:rPr>
            </w:pPr>
            <w:r>
              <w:rPr>
                <w:sz w:val="16"/>
                <w:szCs w:val="16"/>
              </w:rPr>
              <w:t>Model 6</w:t>
            </w:r>
          </w:p>
        </w:tc>
      </w:tr>
      <w:tr w:rsidR="00D35EA4" w:rsidTr="00D35EA4">
        <w:tc>
          <w:tcPr>
            <w:tcW w:w="1435" w:type="dxa"/>
            <w:tcBorders>
              <w:bottom w:val="nil"/>
            </w:tcBorders>
            <w:shd w:val="clear" w:color="auto" w:fill="E7E6E6" w:themeFill="background2"/>
          </w:tcPr>
          <w:p w:rsidR="00D35EA4" w:rsidRPr="001B614B" w:rsidRDefault="00D35EA4" w:rsidP="00BC21EC">
            <w:pPr>
              <w:rPr>
                <w:sz w:val="16"/>
                <w:szCs w:val="16"/>
              </w:rPr>
            </w:pPr>
            <w:r>
              <w:rPr>
                <w:sz w:val="16"/>
                <w:szCs w:val="16"/>
              </w:rPr>
              <w:t>Time</w:t>
            </w:r>
          </w:p>
        </w:tc>
        <w:tc>
          <w:tcPr>
            <w:tcW w:w="989" w:type="dxa"/>
            <w:tcBorders>
              <w:bottom w:val="nil"/>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1.44***</w:t>
            </w:r>
          </w:p>
          <w:p w:rsidR="00D35EA4" w:rsidRPr="001B614B" w:rsidRDefault="00D35EA4" w:rsidP="00BC21EC">
            <w:pPr>
              <w:jc w:val="right"/>
              <w:rPr>
                <w:sz w:val="14"/>
                <w:szCs w:val="14"/>
              </w:rPr>
            </w:pPr>
            <w:r w:rsidRPr="001B614B">
              <w:rPr>
                <w:sz w:val="14"/>
                <w:szCs w:val="14"/>
              </w:rPr>
              <w:t>(.23)</w:t>
            </w:r>
          </w:p>
        </w:tc>
        <w:tc>
          <w:tcPr>
            <w:tcW w:w="1081" w:type="dxa"/>
            <w:tcBorders>
              <w:left w:val="nil"/>
              <w:bottom w:val="nil"/>
              <w:right w:val="nil"/>
            </w:tcBorders>
            <w:shd w:val="clear" w:color="auto" w:fill="E7E6E6" w:themeFill="background2"/>
          </w:tcPr>
          <w:p w:rsidR="00D35EA4" w:rsidRDefault="00D35EA4" w:rsidP="00BC21EC">
            <w:pPr>
              <w:jc w:val="right"/>
              <w:rPr>
                <w:sz w:val="14"/>
                <w:szCs w:val="14"/>
              </w:rPr>
            </w:pPr>
            <w:r>
              <w:rPr>
                <w:sz w:val="14"/>
                <w:szCs w:val="14"/>
              </w:rPr>
              <w:t>1.73***</w:t>
            </w:r>
          </w:p>
          <w:p w:rsidR="00D35EA4" w:rsidRPr="001B614B" w:rsidRDefault="00D35EA4" w:rsidP="00BC21EC">
            <w:pPr>
              <w:jc w:val="right"/>
              <w:rPr>
                <w:sz w:val="14"/>
                <w:szCs w:val="14"/>
              </w:rPr>
            </w:pPr>
            <w:r>
              <w:rPr>
                <w:sz w:val="14"/>
                <w:szCs w:val="14"/>
              </w:rPr>
              <w:t>(.41)</w:t>
            </w:r>
          </w:p>
        </w:tc>
        <w:tc>
          <w:tcPr>
            <w:tcW w:w="1080" w:type="dxa"/>
            <w:tcBorders>
              <w:left w:val="nil"/>
              <w:bottom w:val="nil"/>
              <w:right w:val="nil"/>
            </w:tcBorders>
            <w:shd w:val="clear" w:color="auto" w:fill="E7E6E6" w:themeFill="background2"/>
          </w:tcPr>
          <w:p w:rsidR="00D35EA4" w:rsidRDefault="00D35EA4" w:rsidP="00BC21EC">
            <w:pPr>
              <w:jc w:val="right"/>
              <w:rPr>
                <w:sz w:val="14"/>
                <w:szCs w:val="14"/>
              </w:rPr>
            </w:pPr>
            <w:r>
              <w:rPr>
                <w:sz w:val="14"/>
                <w:szCs w:val="14"/>
              </w:rPr>
              <w:t>.93***</w:t>
            </w:r>
          </w:p>
          <w:p w:rsidR="00D35EA4" w:rsidRPr="001B614B" w:rsidRDefault="00D35EA4" w:rsidP="00BC21EC">
            <w:pPr>
              <w:jc w:val="right"/>
              <w:rPr>
                <w:sz w:val="14"/>
                <w:szCs w:val="14"/>
              </w:rPr>
            </w:pPr>
            <w:r>
              <w:rPr>
                <w:sz w:val="14"/>
                <w:szCs w:val="14"/>
              </w:rPr>
              <w:t>(27)</w:t>
            </w:r>
          </w:p>
        </w:tc>
        <w:tc>
          <w:tcPr>
            <w:tcW w:w="1080" w:type="dxa"/>
            <w:tcBorders>
              <w:left w:val="nil"/>
              <w:bottom w:val="nil"/>
              <w:right w:val="nil"/>
            </w:tcBorders>
            <w:shd w:val="clear" w:color="auto" w:fill="E7E6E6" w:themeFill="background2"/>
          </w:tcPr>
          <w:p w:rsidR="00D35EA4" w:rsidRDefault="00D35EA4" w:rsidP="00BC21EC">
            <w:pPr>
              <w:jc w:val="right"/>
              <w:rPr>
                <w:sz w:val="14"/>
                <w:szCs w:val="14"/>
              </w:rPr>
            </w:pPr>
            <w:r>
              <w:rPr>
                <w:sz w:val="14"/>
                <w:szCs w:val="14"/>
              </w:rPr>
              <w:t>2.84***</w:t>
            </w:r>
          </w:p>
          <w:p w:rsidR="00D35EA4" w:rsidRPr="001B614B" w:rsidRDefault="00D35EA4" w:rsidP="00BC21EC">
            <w:pPr>
              <w:jc w:val="right"/>
              <w:rPr>
                <w:sz w:val="14"/>
                <w:szCs w:val="14"/>
              </w:rPr>
            </w:pPr>
            <w:r>
              <w:rPr>
                <w:sz w:val="14"/>
                <w:szCs w:val="14"/>
              </w:rPr>
              <w:t>(.57)</w:t>
            </w:r>
          </w:p>
        </w:tc>
        <w:tc>
          <w:tcPr>
            <w:tcW w:w="1080" w:type="dxa"/>
            <w:tcBorders>
              <w:left w:val="nil"/>
              <w:bottom w:val="nil"/>
              <w:right w:val="nil"/>
            </w:tcBorders>
            <w:shd w:val="clear" w:color="auto" w:fill="E7E6E6" w:themeFill="background2"/>
          </w:tcPr>
          <w:p w:rsidR="00D35EA4" w:rsidRDefault="00D35EA4" w:rsidP="00BC21EC">
            <w:pPr>
              <w:jc w:val="right"/>
              <w:rPr>
                <w:sz w:val="14"/>
                <w:szCs w:val="14"/>
              </w:rPr>
            </w:pPr>
            <w:r>
              <w:rPr>
                <w:sz w:val="14"/>
                <w:szCs w:val="14"/>
              </w:rPr>
              <w:t>.98</w:t>
            </w:r>
          </w:p>
          <w:p w:rsidR="00D35EA4" w:rsidRPr="001B614B" w:rsidRDefault="00D35EA4" w:rsidP="00BC21EC">
            <w:pPr>
              <w:jc w:val="right"/>
              <w:rPr>
                <w:sz w:val="14"/>
                <w:szCs w:val="14"/>
              </w:rPr>
            </w:pPr>
            <w:r>
              <w:rPr>
                <w:sz w:val="14"/>
                <w:szCs w:val="14"/>
              </w:rPr>
              <w:t>(1.37)</w:t>
            </w:r>
          </w:p>
        </w:tc>
        <w:tc>
          <w:tcPr>
            <w:tcW w:w="1350" w:type="dxa"/>
            <w:tcBorders>
              <w:left w:val="nil"/>
              <w:bottom w:val="nil"/>
            </w:tcBorders>
            <w:shd w:val="clear" w:color="auto" w:fill="E7E6E6" w:themeFill="background2"/>
          </w:tcPr>
          <w:p w:rsidR="00D35EA4" w:rsidRDefault="00D35EA4" w:rsidP="00BC21EC">
            <w:pPr>
              <w:jc w:val="right"/>
              <w:rPr>
                <w:sz w:val="14"/>
                <w:szCs w:val="14"/>
              </w:rPr>
            </w:pPr>
            <w:r>
              <w:rPr>
                <w:sz w:val="14"/>
                <w:szCs w:val="14"/>
              </w:rPr>
              <w:t>-.25</w:t>
            </w:r>
          </w:p>
          <w:p w:rsidR="00D35EA4" w:rsidRPr="001B614B" w:rsidRDefault="00D35EA4" w:rsidP="00BC21EC">
            <w:pPr>
              <w:jc w:val="right"/>
              <w:rPr>
                <w:sz w:val="14"/>
                <w:szCs w:val="14"/>
              </w:rPr>
            </w:pPr>
            <w:r>
              <w:rPr>
                <w:sz w:val="14"/>
                <w:szCs w:val="14"/>
              </w:rPr>
              <w:t>(1.61)</w:t>
            </w:r>
          </w:p>
        </w:tc>
      </w:tr>
      <w:tr w:rsidR="00D35EA4" w:rsidTr="00D35EA4">
        <w:tc>
          <w:tcPr>
            <w:tcW w:w="1435" w:type="dxa"/>
            <w:tcBorders>
              <w:top w:val="nil"/>
              <w:bottom w:val="nil"/>
            </w:tcBorders>
          </w:tcPr>
          <w:p w:rsidR="00D35EA4" w:rsidRPr="001B614B" w:rsidRDefault="00D35EA4" w:rsidP="00BC21EC">
            <w:pPr>
              <w:rPr>
                <w:sz w:val="16"/>
                <w:szCs w:val="16"/>
              </w:rPr>
            </w:pPr>
            <w:r>
              <w:rPr>
                <w:sz w:val="16"/>
                <w:szCs w:val="16"/>
              </w:rPr>
              <w:t>West</w:t>
            </w:r>
          </w:p>
        </w:tc>
        <w:tc>
          <w:tcPr>
            <w:tcW w:w="989" w:type="dxa"/>
            <w:tcBorders>
              <w:top w:val="nil"/>
              <w:bottom w:val="nil"/>
              <w:right w:val="nil"/>
            </w:tcBorders>
          </w:tcPr>
          <w:p w:rsidR="00D35EA4" w:rsidRPr="001B614B" w:rsidRDefault="00D35EA4" w:rsidP="00BC21EC">
            <w:pPr>
              <w:jc w:val="right"/>
              <w:rPr>
                <w:sz w:val="14"/>
                <w:szCs w:val="14"/>
              </w:rPr>
            </w:pPr>
          </w:p>
        </w:tc>
        <w:tc>
          <w:tcPr>
            <w:tcW w:w="1081"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-.29</w:t>
            </w:r>
          </w:p>
          <w:p w:rsidR="00D35EA4" w:rsidRPr="001B614B" w:rsidRDefault="00D35EA4" w:rsidP="00BC21EC">
            <w:pPr>
              <w:jc w:val="right"/>
              <w:rPr>
                <w:sz w:val="14"/>
                <w:szCs w:val="14"/>
              </w:rPr>
            </w:pPr>
            <w:r w:rsidRPr="001B614B">
              <w:rPr>
                <w:sz w:val="14"/>
                <w:szCs w:val="14"/>
              </w:rPr>
              <w:t>(.47)</w:t>
            </w:r>
          </w:p>
        </w:tc>
        <w:tc>
          <w:tcPr>
            <w:tcW w:w="1080"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.52</w:t>
            </w:r>
          </w:p>
          <w:p w:rsidR="00D35EA4" w:rsidRPr="001B614B" w:rsidRDefault="00D35EA4" w:rsidP="00BC21EC">
            <w:pPr>
              <w:jc w:val="right"/>
              <w:rPr>
                <w:sz w:val="14"/>
                <w:szCs w:val="14"/>
              </w:rPr>
            </w:pPr>
            <w:r w:rsidRPr="001B614B">
              <w:rPr>
                <w:sz w:val="14"/>
                <w:szCs w:val="14"/>
              </w:rPr>
              <w:t>(.36)</w:t>
            </w:r>
          </w:p>
        </w:tc>
        <w:tc>
          <w:tcPr>
            <w:tcW w:w="1080"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 xml:space="preserve">-1.40* </w:t>
            </w:r>
          </w:p>
          <w:p w:rsidR="00D35EA4" w:rsidRPr="001B614B" w:rsidRDefault="00D35EA4" w:rsidP="00BC21EC">
            <w:pPr>
              <w:jc w:val="right"/>
              <w:rPr>
                <w:sz w:val="14"/>
                <w:szCs w:val="14"/>
              </w:rPr>
            </w:pPr>
            <w:r w:rsidRPr="001B614B">
              <w:rPr>
                <w:sz w:val="14"/>
                <w:szCs w:val="14"/>
              </w:rPr>
              <w:t>(.61)</w:t>
            </w:r>
          </w:p>
        </w:tc>
        <w:tc>
          <w:tcPr>
            <w:tcW w:w="1080"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.47</w:t>
            </w:r>
          </w:p>
          <w:p w:rsidR="00D35EA4" w:rsidRPr="001B614B" w:rsidRDefault="00D35EA4" w:rsidP="00BC21EC">
            <w:pPr>
              <w:jc w:val="right"/>
              <w:rPr>
                <w:sz w:val="14"/>
                <w:szCs w:val="14"/>
              </w:rPr>
            </w:pPr>
            <w:r w:rsidRPr="001B614B">
              <w:rPr>
                <w:sz w:val="14"/>
                <w:szCs w:val="14"/>
              </w:rPr>
              <w:t>(1.39)</w:t>
            </w:r>
          </w:p>
        </w:tc>
        <w:tc>
          <w:tcPr>
            <w:tcW w:w="1350" w:type="dxa"/>
            <w:tcBorders>
              <w:top w:val="nil"/>
              <w:left w:val="nil"/>
              <w:bottom w:val="nil"/>
            </w:tcBorders>
          </w:tcPr>
          <w:p w:rsidR="00D35EA4" w:rsidRPr="001B614B" w:rsidRDefault="00D35EA4" w:rsidP="00BC21EC">
            <w:pPr>
              <w:jc w:val="right"/>
              <w:rPr>
                <w:sz w:val="14"/>
                <w:szCs w:val="14"/>
              </w:rPr>
            </w:pPr>
            <w:r w:rsidRPr="001B614B">
              <w:rPr>
                <w:sz w:val="14"/>
                <w:szCs w:val="14"/>
              </w:rPr>
              <w:t>1.69</w:t>
            </w:r>
          </w:p>
          <w:p w:rsidR="00D35EA4" w:rsidRPr="001B614B" w:rsidRDefault="00D35EA4" w:rsidP="00BC21EC">
            <w:pPr>
              <w:jc w:val="right"/>
              <w:rPr>
                <w:sz w:val="14"/>
                <w:szCs w:val="14"/>
              </w:rPr>
            </w:pPr>
            <w:r w:rsidRPr="001B614B">
              <w:rPr>
                <w:sz w:val="14"/>
                <w:szCs w:val="14"/>
              </w:rPr>
              <w:t>(1.63)</w:t>
            </w:r>
          </w:p>
        </w:tc>
      </w:tr>
      <w:tr w:rsidR="00D35EA4" w:rsidTr="00D35EA4">
        <w:tc>
          <w:tcPr>
            <w:tcW w:w="1435" w:type="dxa"/>
            <w:tcBorders>
              <w:top w:val="nil"/>
              <w:bottom w:val="nil"/>
            </w:tcBorders>
            <w:shd w:val="clear" w:color="auto" w:fill="E7E6E6" w:themeFill="background2"/>
          </w:tcPr>
          <w:p w:rsidR="00D35EA4" w:rsidRPr="001B614B" w:rsidRDefault="00D35EA4" w:rsidP="00BC21EC">
            <w:pPr>
              <w:rPr>
                <w:sz w:val="16"/>
                <w:szCs w:val="16"/>
              </w:rPr>
            </w:pPr>
            <w:r>
              <w:rPr>
                <w:sz w:val="16"/>
                <w:szCs w:val="16"/>
              </w:rPr>
              <w:t>East Asia and the Pacific</w:t>
            </w:r>
          </w:p>
        </w:tc>
        <w:tc>
          <w:tcPr>
            <w:tcW w:w="989" w:type="dxa"/>
            <w:tcBorders>
              <w:top w:val="nil"/>
              <w:bottom w:val="nil"/>
              <w:right w:val="nil"/>
            </w:tcBorders>
            <w:shd w:val="clear" w:color="auto" w:fill="E7E6E6" w:themeFill="background2"/>
          </w:tcPr>
          <w:p w:rsidR="00D35EA4" w:rsidRPr="001B614B" w:rsidRDefault="00D35EA4" w:rsidP="00BC21EC">
            <w:pPr>
              <w:jc w:val="right"/>
              <w:rPr>
                <w:sz w:val="14"/>
                <w:szCs w:val="14"/>
              </w:rPr>
            </w:pPr>
            <w:r w:rsidRPr="001B614B">
              <w:rPr>
                <w:sz w:val="14"/>
                <w:szCs w:val="14"/>
              </w:rPr>
              <w:t>-.29</w:t>
            </w:r>
          </w:p>
          <w:p w:rsidR="00D35EA4" w:rsidRPr="001B614B" w:rsidRDefault="00D35EA4" w:rsidP="00BC21EC">
            <w:pPr>
              <w:jc w:val="right"/>
              <w:rPr>
                <w:sz w:val="14"/>
                <w:szCs w:val="14"/>
              </w:rPr>
            </w:pPr>
            <w:r w:rsidRPr="001B614B">
              <w:rPr>
                <w:sz w:val="14"/>
                <w:szCs w:val="14"/>
              </w:rPr>
              <w:t>(.47)</w:t>
            </w:r>
          </w:p>
        </w:tc>
        <w:tc>
          <w:tcPr>
            <w:tcW w:w="1081"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p>
        </w:tc>
        <w:tc>
          <w:tcPr>
            <w:tcW w:w="1080"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sidRPr="001B614B">
              <w:rPr>
                <w:sz w:val="14"/>
                <w:szCs w:val="14"/>
              </w:rPr>
              <w:t>.80</w:t>
            </w:r>
          </w:p>
          <w:p w:rsidR="00D35EA4" w:rsidRPr="001B614B" w:rsidRDefault="00D35EA4" w:rsidP="00BC21EC">
            <w:pPr>
              <w:jc w:val="right"/>
              <w:rPr>
                <w:sz w:val="14"/>
                <w:szCs w:val="14"/>
              </w:rPr>
            </w:pPr>
            <w:r w:rsidRPr="001B614B">
              <w:rPr>
                <w:sz w:val="14"/>
                <w:szCs w:val="14"/>
              </w:rPr>
              <w:t>(.49)</w:t>
            </w:r>
          </w:p>
        </w:tc>
        <w:tc>
          <w:tcPr>
            <w:tcW w:w="1080"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-.1.11</w:t>
            </w:r>
          </w:p>
          <w:p w:rsidR="00D35EA4" w:rsidRPr="001B614B" w:rsidRDefault="00D35EA4" w:rsidP="00BC21EC">
            <w:pPr>
              <w:jc w:val="right"/>
              <w:rPr>
                <w:sz w:val="14"/>
                <w:szCs w:val="14"/>
              </w:rPr>
            </w:pPr>
            <w:r w:rsidRPr="001B614B">
              <w:rPr>
                <w:sz w:val="14"/>
                <w:szCs w:val="14"/>
              </w:rPr>
              <w:t>(.70)</w:t>
            </w:r>
          </w:p>
        </w:tc>
        <w:tc>
          <w:tcPr>
            <w:tcW w:w="1080"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sidRPr="001B614B">
              <w:rPr>
                <w:sz w:val="14"/>
                <w:szCs w:val="14"/>
              </w:rPr>
              <w:t xml:space="preserve">.75 </w:t>
            </w:r>
          </w:p>
          <w:p w:rsidR="00D35EA4" w:rsidRPr="001B614B" w:rsidRDefault="00D35EA4" w:rsidP="00BC21EC">
            <w:pPr>
              <w:jc w:val="right"/>
              <w:rPr>
                <w:sz w:val="14"/>
                <w:szCs w:val="14"/>
              </w:rPr>
            </w:pPr>
            <w:r w:rsidRPr="001B614B">
              <w:rPr>
                <w:sz w:val="14"/>
                <w:szCs w:val="14"/>
              </w:rPr>
              <w:t>(1.43)</w:t>
            </w:r>
          </w:p>
        </w:tc>
        <w:tc>
          <w:tcPr>
            <w:tcW w:w="1350" w:type="dxa"/>
            <w:tcBorders>
              <w:top w:val="nil"/>
              <w:left w:val="nil"/>
              <w:bottom w:val="nil"/>
            </w:tcBorders>
            <w:shd w:val="clear" w:color="auto" w:fill="E7E6E6" w:themeFill="background2"/>
          </w:tcPr>
          <w:p w:rsidR="00D35EA4" w:rsidRPr="001B614B" w:rsidRDefault="00D35EA4" w:rsidP="00BC21EC">
            <w:pPr>
              <w:jc w:val="right"/>
              <w:rPr>
                <w:sz w:val="14"/>
                <w:szCs w:val="14"/>
              </w:rPr>
            </w:pPr>
            <w:r w:rsidRPr="001B614B">
              <w:rPr>
                <w:sz w:val="14"/>
                <w:szCs w:val="14"/>
              </w:rPr>
              <w:t>1.98</w:t>
            </w:r>
          </w:p>
          <w:p w:rsidR="00D35EA4" w:rsidRPr="001B614B" w:rsidRDefault="00D35EA4" w:rsidP="00BC21EC">
            <w:pPr>
              <w:jc w:val="right"/>
              <w:rPr>
                <w:sz w:val="14"/>
                <w:szCs w:val="14"/>
              </w:rPr>
            </w:pPr>
            <w:r w:rsidRPr="001B614B">
              <w:rPr>
                <w:sz w:val="14"/>
                <w:szCs w:val="14"/>
              </w:rPr>
              <w:t>(1.66)</w:t>
            </w:r>
          </w:p>
        </w:tc>
      </w:tr>
      <w:tr w:rsidR="00D35EA4" w:rsidTr="00D35EA4">
        <w:tc>
          <w:tcPr>
            <w:tcW w:w="1435" w:type="dxa"/>
            <w:tcBorders>
              <w:top w:val="nil"/>
              <w:bottom w:val="nil"/>
            </w:tcBorders>
          </w:tcPr>
          <w:p w:rsidR="00D35EA4" w:rsidRPr="001B614B" w:rsidRDefault="00D35EA4" w:rsidP="00BC21EC">
            <w:pPr>
              <w:rPr>
                <w:sz w:val="16"/>
                <w:szCs w:val="16"/>
              </w:rPr>
            </w:pPr>
            <w:r>
              <w:rPr>
                <w:sz w:val="16"/>
                <w:szCs w:val="16"/>
              </w:rPr>
              <w:t>Eastern Europe and Central Asia</w:t>
            </w:r>
          </w:p>
        </w:tc>
        <w:tc>
          <w:tcPr>
            <w:tcW w:w="989" w:type="dxa"/>
            <w:tcBorders>
              <w:top w:val="nil"/>
              <w:bottom w:val="nil"/>
              <w:right w:val="nil"/>
            </w:tcBorders>
          </w:tcPr>
          <w:p w:rsidR="00D35EA4" w:rsidRPr="001B614B" w:rsidRDefault="00D35EA4" w:rsidP="00BC21EC">
            <w:pPr>
              <w:jc w:val="right"/>
              <w:rPr>
                <w:sz w:val="14"/>
                <w:szCs w:val="14"/>
              </w:rPr>
            </w:pPr>
            <w:r w:rsidRPr="001B614B">
              <w:rPr>
                <w:sz w:val="14"/>
                <w:szCs w:val="14"/>
              </w:rPr>
              <w:t>-.51</w:t>
            </w:r>
          </w:p>
          <w:p w:rsidR="00D35EA4" w:rsidRPr="001B614B" w:rsidRDefault="00525FCF" w:rsidP="00BC21EC">
            <w:pPr>
              <w:jc w:val="right"/>
              <w:rPr>
                <w:sz w:val="14"/>
                <w:szCs w:val="14"/>
              </w:rPr>
            </w:pPr>
            <w:r>
              <w:rPr>
                <w:sz w:val="14"/>
                <w:szCs w:val="14"/>
              </w:rPr>
              <w:t>(.</w:t>
            </w:r>
            <w:r w:rsidR="00D35EA4" w:rsidRPr="001B614B">
              <w:rPr>
                <w:sz w:val="14"/>
                <w:szCs w:val="14"/>
              </w:rPr>
              <w:t>36)</w:t>
            </w:r>
          </w:p>
        </w:tc>
        <w:tc>
          <w:tcPr>
            <w:tcW w:w="1081"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-.80</w:t>
            </w:r>
          </w:p>
          <w:p w:rsidR="00D35EA4" w:rsidRPr="001B614B" w:rsidRDefault="00D35EA4" w:rsidP="00BC21EC">
            <w:pPr>
              <w:jc w:val="right"/>
              <w:rPr>
                <w:sz w:val="14"/>
                <w:szCs w:val="14"/>
              </w:rPr>
            </w:pPr>
            <w:r w:rsidRPr="001B614B">
              <w:rPr>
                <w:sz w:val="14"/>
                <w:szCs w:val="14"/>
              </w:rPr>
              <w:t>(.49)</w:t>
            </w:r>
          </w:p>
        </w:tc>
        <w:tc>
          <w:tcPr>
            <w:tcW w:w="1080" w:type="dxa"/>
            <w:tcBorders>
              <w:top w:val="nil"/>
              <w:left w:val="nil"/>
              <w:bottom w:val="nil"/>
              <w:right w:val="nil"/>
            </w:tcBorders>
          </w:tcPr>
          <w:p w:rsidR="00D35EA4" w:rsidRPr="001B614B" w:rsidRDefault="00D35EA4" w:rsidP="00BC21EC">
            <w:pPr>
              <w:jc w:val="right"/>
              <w:rPr>
                <w:sz w:val="14"/>
                <w:szCs w:val="14"/>
              </w:rPr>
            </w:pPr>
          </w:p>
        </w:tc>
        <w:tc>
          <w:tcPr>
            <w:tcW w:w="1080"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-1.91**</w:t>
            </w:r>
          </w:p>
          <w:p w:rsidR="00D35EA4" w:rsidRPr="001B614B" w:rsidRDefault="00D35EA4" w:rsidP="00BC21EC">
            <w:pPr>
              <w:jc w:val="right"/>
              <w:rPr>
                <w:sz w:val="14"/>
                <w:szCs w:val="14"/>
              </w:rPr>
            </w:pPr>
            <w:r w:rsidRPr="001B614B">
              <w:rPr>
                <w:sz w:val="14"/>
                <w:szCs w:val="14"/>
              </w:rPr>
              <w:t>(.63)</w:t>
            </w:r>
          </w:p>
        </w:tc>
        <w:tc>
          <w:tcPr>
            <w:tcW w:w="1080"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-.05</w:t>
            </w:r>
          </w:p>
          <w:p w:rsidR="00D35EA4" w:rsidRPr="001B614B" w:rsidRDefault="00D35EA4" w:rsidP="00BC21EC">
            <w:pPr>
              <w:jc w:val="right"/>
              <w:rPr>
                <w:sz w:val="14"/>
                <w:szCs w:val="14"/>
              </w:rPr>
            </w:pPr>
            <w:r w:rsidRPr="001B614B">
              <w:rPr>
                <w:sz w:val="14"/>
                <w:szCs w:val="14"/>
              </w:rPr>
              <w:t>(1.39)</w:t>
            </w:r>
          </w:p>
        </w:tc>
        <w:tc>
          <w:tcPr>
            <w:tcW w:w="1350" w:type="dxa"/>
            <w:tcBorders>
              <w:top w:val="nil"/>
              <w:left w:val="nil"/>
              <w:bottom w:val="nil"/>
            </w:tcBorders>
          </w:tcPr>
          <w:p w:rsidR="00D35EA4" w:rsidRPr="001B614B" w:rsidRDefault="00D35EA4" w:rsidP="00BC21EC">
            <w:pPr>
              <w:jc w:val="right"/>
              <w:rPr>
                <w:sz w:val="14"/>
                <w:szCs w:val="14"/>
              </w:rPr>
            </w:pPr>
            <w:r w:rsidRPr="001B614B">
              <w:rPr>
                <w:sz w:val="14"/>
                <w:szCs w:val="14"/>
              </w:rPr>
              <w:t>1.18</w:t>
            </w:r>
          </w:p>
          <w:p w:rsidR="00D35EA4" w:rsidRPr="001B614B" w:rsidRDefault="00D35EA4" w:rsidP="00BC21EC">
            <w:pPr>
              <w:jc w:val="right"/>
              <w:rPr>
                <w:sz w:val="14"/>
                <w:szCs w:val="14"/>
              </w:rPr>
            </w:pPr>
            <w:r w:rsidRPr="001B614B">
              <w:rPr>
                <w:sz w:val="14"/>
                <w:szCs w:val="14"/>
              </w:rPr>
              <w:t xml:space="preserve">(3.09)    </w:t>
            </w:r>
          </w:p>
        </w:tc>
      </w:tr>
      <w:tr w:rsidR="00D35EA4" w:rsidTr="00D35EA4">
        <w:tc>
          <w:tcPr>
            <w:tcW w:w="1435" w:type="dxa"/>
            <w:tcBorders>
              <w:top w:val="nil"/>
              <w:bottom w:val="nil"/>
            </w:tcBorders>
            <w:shd w:val="clear" w:color="auto" w:fill="E7E6E6" w:themeFill="background2"/>
          </w:tcPr>
          <w:p w:rsidR="00D35EA4" w:rsidRPr="001B614B" w:rsidRDefault="00D35EA4" w:rsidP="00BC21EC">
            <w:pPr>
              <w:rPr>
                <w:sz w:val="16"/>
                <w:szCs w:val="16"/>
              </w:rPr>
            </w:pPr>
            <w:r>
              <w:rPr>
                <w:sz w:val="16"/>
                <w:szCs w:val="16"/>
              </w:rPr>
              <w:t>Latin America</w:t>
            </w:r>
          </w:p>
        </w:tc>
        <w:tc>
          <w:tcPr>
            <w:tcW w:w="989" w:type="dxa"/>
            <w:tcBorders>
              <w:top w:val="nil"/>
              <w:bottom w:val="nil"/>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1.40*</w:t>
            </w:r>
          </w:p>
          <w:p w:rsidR="00D35EA4" w:rsidRPr="001B614B" w:rsidRDefault="00D35EA4" w:rsidP="00BC21EC">
            <w:pPr>
              <w:jc w:val="right"/>
              <w:rPr>
                <w:sz w:val="14"/>
                <w:szCs w:val="14"/>
              </w:rPr>
            </w:pPr>
            <w:r w:rsidRPr="001B614B">
              <w:rPr>
                <w:sz w:val="14"/>
                <w:szCs w:val="14"/>
              </w:rPr>
              <w:t>(.61)</w:t>
            </w:r>
          </w:p>
        </w:tc>
        <w:tc>
          <w:tcPr>
            <w:tcW w:w="1081"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1.11</w:t>
            </w:r>
          </w:p>
          <w:p w:rsidR="00D35EA4" w:rsidRPr="001B614B" w:rsidRDefault="00D35EA4" w:rsidP="00BC21EC">
            <w:pPr>
              <w:jc w:val="right"/>
              <w:rPr>
                <w:sz w:val="14"/>
                <w:szCs w:val="14"/>
              </w:rPr>
            </w:pPr>
            <w:r w:rsidRPr="001B614B">
              <w:rPr>
                <w:sz w:val="14"/>
                <w:szCs w:val="14"/>
              </w:rPr>
              <w:t>(.70)</w:t>
            </w:r>
          </w:p>
        </w:tc>
        <w:tc>
          <w:tcPr>
            <w:tcW w:w="1080"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1.91**</w:t>
            </w:r>
          </w:p>
          <w:p w:rsidR="00D35EA4" w:rsidRPr="001B614B" w:rsidRDefault="00D35EA4" w:rsidP="00BC21EC">
            <w:pPr>
              <w:jc w:val="right"/>
              <w:rPr>
                <w:sz w:val="14"/>
                <w:szCs w:val="14"/>
              </w:rPr>
            </w:pPr>
            <w:r w:rsidRPr="001B614B">
              <w:rPr>
                <w:sz w:val="14"/>
                <w:szCs w:val="14"/>
              </w:rPr>
              <w:t>(.63)</w:t>
            </w:r>
          </w:p>
        </w:tc>
        <w:tc>
          <w:tcPr>
            <w:tcW w:w="1080"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p>
        </w:tc>
        <w:tc>
          <w:tcPr>
            <w:tcW w:w="1080"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1.86</w:t>
            </w:r>
          </w:p>
          <w:p w:rsidR="00D35EA4" w:rsidRPr="001B614B" w:rsidRDefault="00D35EA4" w:rsidP="00BC21EC">
            <w:pPr>
              <w:jc w:val="right"/>
              <w:rPr>
                <w:sz w:val="14"/>
                <w:szCs w:val="14"/>
              </w:rPr>
            </w:pPr>
            <w:r w:rsidRPr="001B614B">
              <w:rPr>
                <w:sz w:val="14"/>
                <w:szCs w:val="14"/>
              </w:rPr>
              <w:t>(1.48)</w:t>
            </w:r>
          </w:p>
        </w:tc>
        <w:tc>
          <w:tcPr>
            <w:tcW w:w="1350" w:type="dxa"/>
            <w:tcBorders>
              <w:top w:val="nil"/>
              <w:left w:val="nil"/>
              <w:bottom w:val="nil"/>
            </w:tcBorders>
            <w:shd w:val="clear" w:color="auto" w:fill="E7E6E6" w:themeFill="background2"/>
          </w:tcPr>
          <w:p w:rsidR="00D35EA4" w:rsidRPr="001B614B" w:rsidRDefault="00D35EA4" w:rsidP="00BC21EC">
            <w:pPr>
              <w:jc w:val="right"/>
              <w:rPr>
                <w:sz w:val="14"/>
                <w:szCs w:val="14"/>
              </w:rPr>
            </w:pPr>
            <w:r w:rsidRPr="001B614B">
              <w:rPr>
                <w:sz w:val="14"/>
                <w:szCs w:val="14"/>
              </w:rPr>
              <w:t>3.09+</w:t>
            </w:r>
          </w:p>
          <w:p w:rsidR="00D35EA4" w:rsidRPr="001B614B" w:rsidRDefault="00D35EA4" w:rsidP="00BC21EC">
            <w:pPr>
              <w:jc w:val="right"/>
              <w:rPr>
                <w:sz w:val="14"/>
                <w:szCs w:val="14"/>
              </w:rPr>
            </w:pPr>
            <w:r w:rsidRPr="001B614B">
              <w:rPr>
                <w:sz w:val="14"/>
                <w:szCs w:val="14"/>
              </w:rPr>
              <w:t>(1.70)</w:t>
            </w:r>
          </w:p>
        </w:tc>
      </w:tr>
      <w:tr w:rsidR="00D35EA4" w:rsidTr="00D35EA4">
        <w:tc>
          <w:tcPr>
            <w:tcW w:w="1435" w:type="dxa"/>
            <w:tcBorders>
              <w:top w:val="nil"/>
              <w:bottom w:val="nil"/>
            </w:tcBorders>
          </w:tcPr>
          <w:p w:rsidR="00D35EA4" w:rsidRPr="001B614B" w:rsidRDefault="00D35EA4" w:rsidP="00BC21EC">
            <w:pPr>
              <w:rPr>
                <w:sz w:val="16"/>
                <w:szCs w:val="16"/>
              </w:rPr>
            </w:pPr>
            <w:r>
              <w:rPr>
                <w:sz w:val="16"/>
                <w:szCs w:val="16"/>
              </w:rPr>
              <w:t>Middle East and North Africa</w:t>
            </w:r>
          </w:p>
        </w:tc>
        <w:tc>
          <w:tcPr>
            <w:tcW w:w="989" w:type="dxa"/>
            <w:tcBorders>
              <w:top w:val="nil"/>
              <w:bottom w:val="nil"/>
              <w:right w:val="nil"/>
            </w:tcBorders>
          </w:tcPr>
          <w:p w:rsidR="00D35EA4" w:rsidRPr="001B614B" w:rsidRDefault="00D35EA4" w:rsidP="00BC21EC">
            <w:pPr>
              <w:jc w:val="right"/>
              <w:rPr>
                <w:sz w:val="14"/>
                <w:szCs w:val="14"/>
              </w:rPr>
            </w:pPr>
            <w:r w:rsidRPr="001B614B">
              <w:rPr>
                <w:sz w:val="14"/>
                <w:szCs w:val="14"/>
              </w:rPr>
              <w:t>-.47</w:t>
            </w:r>
          </w:p>
          <w:p w:rsidR="00D35EA4" w:rsidRPr="001B614B" w:rsidRDefault="00D35EA4" w:rsidP="00BC21EC">
            <w:pPr>
              <w:jc w:val="right"/>
              <w:rPr>
                <w:sz w:val="14"/>
                <w:szCs w:val="14"/>
              </w:rPr>
            </w:pPr>
            <w:r w:rsidRPr="001B614B">
              <w:rPr>
                <w:sz w:val="14"/>
                <w:szCs w:val="14"/>
              </w:rPr>
              <w:t>(1.39)</w:t>
            </w:r>
          </w:p>
        </w:tc>
        <w:tc>
          <w:tcPr>
            <w:tcW w:w="1081"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-.75</w:t>
            </w:r>
          </w:p>
          <w:p w:rsidR="00D35EA4" w:rsidRPr="001B614B" w:rsidRDefault="00D35EA4" w:rsidP="00BC21EC">
            <w:pPr>
              <w:jc w:val="right"/>
              <w:rPr>
                <w:sz w:val="14"/>
                <w:szCs w:val="14"/>
              </w:rPr>
            </w:pPr>
            <w:r w:rsidRPr="001B614B">
              <w:rPr>
                <w:sz w:val="14"/>
                <w:szCs w:val="14"/>
              </w:rPr>
              <w:t>(1.43)</w:t>
            </w:r>
          </w:p>
        </w:tc>
        <w:tc>
          <w:tcPr>
            <w:tcW w:w="1080"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.05</w:t>
            </w:r>
          </w:p>
          <w:p w:rsidR="00D35EA4" w:rsidRPr="001B614B" w:rsidRDefault="00D35EA4" w:rsidP="00BC21EC">
            <w:pPr>
              <w:jc w:val="right"/>
              <w:rPr>
                <w:sz w:val="14"/>
                <w:szCs w:val="14"/>
              </w:rPr>
            </w:pPr>
            <w:r w:rsidRPr="001B614B">
              <w:rPr>
                <w:sz w:val="14"/>
                <w:szCs w:val="14"/>
              </w:rPr>
              <w:t>(1.39)</w:t>
            </w:r>
          </w:p>
        </w:tc>
        <w:tc>
          <w:tcPr>
            <w:tcW w:w="1080" w:type="dxa"/>
            <w:tcBorders>
              <w:top w:val="nil"/>
              <w:left w:val="nil"/>
              <w:bottom w:val="nil"/>
              <w:right w:val="nil"/>
            </w:tcBorders>
          </w:tcPr>
          <w:p w:rsidR="00D35EA4" w:rsidRPr="001B614B" w:rsidRDefault="00D35EA4" w:rsidP="00BC21EC">
            <w:pPr>
              <w:jc w:val="right"/>
              <w:rPr>
                <w:sz w:val="14"/>
                <w:szCs w:val="14"/>
              </w:rPr>
            </w:pPr>
            <w:r w:rsidRPr="001B614B">
              <w:rPr>
                <w:sz w:val="14"/>
                <w:szCs w:val="14"/>
              </w:rPr>
              <w:t>-1.86</w:t>
            </w:r>
          </w:p>
          <w:p w:rsidR="00D35EA4" w:rsidRPr="001B614B" w:rsidRDefault="00D35EA4" w:rsidP="00BC21EC">
            <w:pPr>
              <w:jc w:val="right"/>
              <w:rPr>
                <w:sz w:val="14"/>
                <w:szCs w:val="14"/>
              </w:rPr>
            </w:pPr>
            <w:r w:rsidRPr="001B614B">
              <w:rPr>
                <w:sz w:val="14"/>
                <w:szCs w:val="14"/>
              </w:rPr>
              <w:t>(1.48)</w:t>
            </w:r>
          </w:p>
        </w:tc>
        <w:tc>
          <w:tcPr>
            <w:tcW w:w="1080" w:type="dxa"/>
            <w:tcBorders>
              <w:top w:val="nil"/>
              <w:left w:val="nil"/>
              <w:bottom w:val="nil"/>
              <w:right w:val="nil"/>
            </w:tcBorders>
          </w:tcPr>
          <w:p w:rsidR="00D35EA4" w:rsidRPr="001B614B" w:rsidRDefault="00D35EA4" w:rsidP="00BC21EC">
            <w:pPr>
              <w:jc w:val="right"/>
              <w:rPr>
                <w:sz w:val="14"/>
                <w:szCs w:val="14"/>
              </w:rPr>
            </w:pPr>
          </w:p>
        </w:tc>
        <w:tc>
          <w:tcPr>
            <w:tcW w:w="1350" w:type="dxa"/>
            <w:tcBorders>
              <w:top w:val="nil"/>
              <w:left w:val="nil"/>
              <w:bottom w:val="nil"/>
            </w:tcBorders>
          </w:tcPr>
          <w:p w:rsidR="00D35EA4" w:rsidRPr="001B614B" w:rsidRDefault="00D35EA4" w:rsidP="00BC21EC">
            <w:pPr>
              <w:jc w:val="right"/>
              <w:rPr>
                <w:sz w:val="14"/>
                <w:szCs w:val="14"/>
              </w:rPr>
            </w:pPr>
            <w:r w:rsidRPr="001B614B">
              <w:rPr>
                <w:sz w:val="14"/>
                <w:szCs w:val="14"/>
              </w:rPr>
              <w:t>1.23</w:t>
            </w:r>
          </w:p>
          <w:p w:rsidR="00D35EA4" w:rsidRPr="001B614B" w:rsidRDefault="00D35EA4" w:rsidP="00BC21EC">
            <w:pPr>
              <w:jc w:val="right"/>
              <w:rPr>
                <w:sz w:val="14"/>
                <w:szCs w:val="14"/>
              </w:rPr>
            </w:pPr>
            <w:r w:rsidRPr="001B614B">
              <w:rPr>
                <w:sz w:val="14"/>
                <w:szCs w:val="14"/>
              </w:rPr>
              <w:t>(2.11)</w:t>
            </w:r>
          </w:p>
        </w:tc>
      </w:tr>
      <w:tr w:rsidR="00D35EA4" w:rsidTr="00D35EA4">
        <w:tc>
          <w:tcPr>
            <w:tcW w:w="1435" w:type="dxa"/>
            <w:tcBorders>
              <w:top w:val="nil"/>
            </w:tcBorders>
            <w:shd w:val="clear" w:color="auto" w:fill="E7E6E6" w:themeFill="background2"/>
          </w:tcPr>
          <w:p w:rsidR="00D35EA4" w:rsidRPr="001B614B" w:rsidRDefault="00D35EA4" w:rsidP="00BC21EC">
            <w:pPr>
              <w:rPr>
                <w:sz w:val="16"/>
                <w:szCs w:val="16"/>
              </w:rPr>
            </w:pPr>
            <w:r>
              <w:rPr>
                <w:sz w:val="16"/>
                <w:szCs w:val="16"/>
              </w:rPr>
              <w:t>Sub-Saharan Africa</w:t>
            </w:r>
          </w:p>
        </w:tc>
        <w:tc>
          <w:tcPr>
            <w:tcW w:w="989" w:type="dxa"/>
            <w:tcBorders>
              <w:top w:val="nil"/>
              <w:bottom w:val="single" w:sz="4" w:space="0" w:color="auto"/>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-1.69</w:t>
            </w:r>
          </w:p>
          <w:p w:rsidR="00D35EA4" w:rsidRPr="001B614B" w:rsidRDefault="00D35EA4" w:rsidP="00BC21EC">
            <w:pPr>
              <w:jc w:val="right"/>
              <w:rPr>
                <w:sz w:val="14"/>
                <w:szCs w:val="14"/>
              </w:rPr>
            </w:pPr>
            <w:r w:rsidRPr="001B614B">
              <w:rPr>
                <w:sz w:val="14"/>
                <w:szCs w:val="14"/>
              </w:rPr>
              <w:t xml:space="preserve"> (1.63)</w:t>
            </w:r>
          </w:p>
        </w:tc>
        <w:tc>
          <w:tcPr>
            <w:tcW w:w="1081" w:type="dxa"/>
            <w:tcBorders>
              <w:top w:val="nil"/>
              <w:left w:val="nil"/>
              <w:bottom w:val="single" w:sz="4" w:space="0" w:color="auto"/>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-1.98</w:t>
            </w:r>
          </w:p>
          <w:p w:rsidR="00D35EA4" w:rsidRPr="001B614B" w:rsidRDefault="00D35EA4" w:rsidP="00BC21EC">
            <w:pPr>
              <w:jc w:val="right"/>
              <w:rPr>
                <w:sz w:val="14"/>
                <w:szCs w:val="14"/>
              </w:rPr>
            </w:pPr>
            <w:r w:rsidRPr="001B614B">
              <w:rPr>
                <w:sz w:val="14"/>
                <w:szCs w:val="14"/>
              </w:rPr>
              <w:t>(1.66)</w:t>
            </w:r>
          </w:p>
        </w:tc>
        <w:tc>
          <w:tcPr>
            <w:tcW w:w="1080" w:type="dxa"/>
            <w:tcBorders>
              <w:top w:val="nil"/>
              <w:left w:val="nil"/>
              <w:bottom w:val="single" w:sz="4" w:space="0" w:color="auto"/>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-1.18</w:t>
            </w:r>
          </w:p>
          <w:p w:rsidR="00D35EA4" w:rsidRPr="001B614B" w:rsidRDefault="00D35EA4" w:rsidP="00BC21EC">
            <w:pPr>
              <w:jc w:val="right"/>
              <w:rPr>
                <w:sz w:val="14"/>
                <w:szCs w:val="14"/>
              </w:rPr>
            </w:pPr>
            <w:r w:rsidRPr="001B614B">
              <w:rPr>
                <w:sz w:val="14"/>
                <w:szCs w:val="14"/>
              </w:rPr>
              <w:t>(1.63)</w:t>
            </w:r>
          </w:p>
        </w:tc>
        <w:tc>
          <w:tcPr>
            <w:tcW w:w="1080" w:type="dxa"/>
            <w:tcBorders>
              <w:top w:val="nil"/>
              <w:left w:val="nil"/>
              <w:bottom w:val="single" w:sz="4" w:space="0" w:color="auto"/>
              <w:right w:val="nil"/>
            </w:tcBorders>
            <w:shd w:val="clear" w:color="auto" w:fill="E7E6E6" w:themeFill="background2"/>
          </w:tcPr>
          <w:p w:rsidR="00D35EA4" w:rsidRPr="001B614B" w:rsidRDefault="00D35EA4" w:rsidP="00BC21EC">
            <w:pPr>
              <w:jc w:val="right"/>
              <w:rPr>
                <w:sz w:val="14"/>
                <w:szCs w:val="14"/>
              </w:rPr>
            </w:pPr>
            <w:r w:rsidRPr="001B614B">
              <w:rPr>
                <w:sz w:val="14"/>
                <w:szCs w:val="14"/>
              </w:rPr>
              <w:t>-3.09+</w:t>
            </w:r>
          </w:p>
          <w:p w:rsidR="00D35EA4" w:rsidRPr="001B614B" w:rsidRDefault="00D35EA4" w:rsidP="00BC21EC">
            <w:pPr>
              <w:jc w:val="right"/>
              <w:rPr>
                <w:sz w:val="14"/>
                <w:szCs w:val="14"/>
              </w:rPr>
            </w:pPr>
            <w:r w:rsidRPr="001B614B">
              <w:rPr>
                <w:sz w:val="14"/>
                <w:szCs w:val="14"/>
              </w:rPr>
              <w:t>(1.48)</w:t>
            </w:r>
          </w:p>
        </w:tc>
        <w:tc>
          <w:tcPr>
            <w:tcW w:w="1080" w:type="dxa"/>
            <w:tcBorders>
              <w:top w:val="nil"/>
              <w:left w:val="nil"/>
              <w:bottom w:val="single" w:sz="4" w:space="0" w:color="auto"/>
              <w:right w:val="nil"/>
            </w:tcBorders>
            <w:shd w:val="clear" w:color="auto" w:fill="E7E6E6" w:themeFill="background2"/>
          </w:tcPr>
          <w:p w:rsidR="00D35EA4" w:rsidRPr="001B614B" w:rsidRDefault="00D35EA4" w:rsidP="00BC21EC">
            <w:pPr>
              <w:jc w:val="right"/>
              <w:rPr>
                <w:sz w:val="14"/>
                <w:szCs w:val="14"/>
              </w:rPr>
            </w:pPr>
            <w:r w:rsidRPr="001B614B">
              <w:rPr>
                <w:sz w:val="14"/>
                <w:szCs w:val="14"/>
              </w:rPr>
              <w:t>-1.23</w:t>
            </w:r>
          </w:p>
          <w:p w:rsidR="00D35EA4" w:rsidRPr="001B614B" w:rsidRDefault="00D35EA4" w:rsidP="00BC21EC">
            <w:pPr>
              <w:jc w:val="right"/>
              <w:rPr>
                <w:sz w:val="14"/>
                <w:szCs w:val="14"/>
              </w:rPr>
            </w:pPr>
            <w:r w:rsidRPr="001B614B">
              <w:rPr>
                <w:sz w:val="14"/>
                <w:szCs w:val="14"/>
              </w:rPr>
              <w:t>(.2.11)</w:t>
            </w:r>
          </w:p>
        </w:tc>
        <w:tc>
          <w:tcPr>
            <w:tcW w:w="1350" w:type="dxa"/>
            <w:tcBorders>
              <w:top w:val="nil"/>
              <w:left w:val="nil"/>
              <w:bottom w:val="single" w:sz="4" w:space="0" w:color="auto"/>
            </w:tcBorders>
            <w:shd w:val="clear" w:color="auto" w:fill="E7E6E6" w:themeFill="background2"/>
          </w:tcPr>
          <w:p w:rsidR="00D35EA4" w:rsidRPr="001B614B" w:rsidRDefault="00D35EA4" w:rsidP="00BC21EC">
            <w:pPr>
              <w:jc w:val="right"/>
              <w:rPr>
                <w:sz w:val="14"/>
                <w:szCs w:val="14"/>
              </w:rPr>
            </w:pPr>
          </w:p>
        </w:tc>
      </w:tr>
      <w:tr w:rsidR="00D35EA4" w:rsidTr="00D35EA4">
        <w:tc>
          <w:tcPr>
            <w:tcW w:w="1435" w:type="dxa"/>
          </w:tcPr>
          <w:p w:rsidR="00D35EA4" w:rsidRPr="001B614B" w:rsidRDefault="00D35EA4" w:rsidP="00BC21EC">
            <w:pPr>
              <w:rPr>
                <w:sz w:val="16"/>
                <w:szCs w:val="16"/>
              </w:rPr>
            </w:pPr>
            <w:r w:rsidRPr="001B614B">
              <w:rPr>
                <w:i/>
                <w:sz w:val="16"/>
                <w:szCs w:val="16"/>
              </w:rPr>
              <w:t>R</w:t>
            </w:r>
            <w:r w:rsidRPr="001B614B">
              <w:rPr>
                <w:sz w:val="16"/>
                <w:szCs w:val="16"/>
                <w:vertAlign w:val="superscript"/>
              </w:rPr>
              <w:t>2</w:t>
            </w:r>
            <w:r w:rsidRPr="001B614B">
              <w:rPr>
                <w:sz w:val="16"/>
                <w:szCs w:val="16"/>
              </w:rPr>
              <w:t xml:space="preserve"> Overall</w:t>
            </w:r>
          </w:p>
          <w:p w:rsidR="00D35EA4" w:rsidRPr="001B614B" w:rsidRDefault="00D35EA4" w:rsidP="00BC21EC">
            <w:pPr>
              <w:rPr>
                <w:sz w:val="16"/>
                <w:szCs w:val="16"/>
              </w:rPr>
            </w:pPr>
            <w:r w:rsidRPr="001B614B">
              <w:rPr>
                <w:i/>
                <w:sz w:val="16"/>
                <w:szCs w:val="16"/>
              </w:rPr>
              <w:t>R</w:t>
            </w:r>
            <w:r w:rsidR="00525FCF">
              <w:rPr>
                <w:i/>
                <w:sz w:val="16"/>
                <w:szCs w:val="16"/>
                <w:vertAlign w:val="superscript"/>
              </w:rPr>
              <w:t>2</w:t>
            </w:r>
            <w:r w:rsidRPr="001B614B">
              <w:rPr>
                <w:i/>
                <w:sz w:val="16"/>
                <w:szCs w:val="16"/>
                <w:vertAlign w:val="superscript"/>
              </w:rPr>
              <w:t xml:space="preserve"> </w:t>
            </w:r>
            <w:r w:rsidRPr="001B614B">
              <w:rPr>
                <w:sz w:val="16"/>
                <w:szCs w:val="16"/>
              </w:rPr>
              <w:t xml:space="preserve"> Within</w:t>
            </w:r>
          </w:p>
          <w:p w:rsidR="00D35EA4" w:rsidRPr="001B614B" w:rsidRDefault="00D35EA4" w:rsidP="00BC21EC">
            <w:pPr>
              <w:rPr>
                <w:sz w:val="16"/>
                <w:szCs w:val="16"/>
              </w:rPr>
            </w:pPr>
            <w:r w:rsidRPr="001B614B">
              <w:rPr>
                <w:i/>
                <w:sz w:val="16"/>
                <w:szCs w:val="16"/>
              </w:rPr>
              <w:t>R</w:t>
            </w:r>
            <w:r w:rsidR="00525FCF">
              <w:rPr>
                <w:i/>
                <w:sz w:val="16"/>
                <w:szCs w:val="16"/>
                <w:vertAlign w:val="superscript"/>
              </w:rPr>
              <w:t>2</w:t>
            </w:r>
            <w:r w:rsidRPr="001B614B">
              <w:rPr>
                <w:sz w:val="16"/>
                <w:szCs w:val="16"/>
              </w:rPr>
              <w:t xml:space="preserve"> Between</w:t>
            </w:r>
          </w:p>
          <w:p w:rsidR="00D35EA4" w:rsidRPr="001B614B" w:rsidRDefault="00D35EA4" w:rsidP="00BC21EC">
            <w:pPr>
              <w:rPr>
                <w:sz w:val="16"/>
                <w:szCs w:val="16"/>
              </w:rPr>
            </w:pPr>
            <w:r w:rsidRPr="001B614B">
              <w:rPr>
                <w:sz w:val="16"/>
                <w:szCs w:val="16"/>
              </w:rPr>
              <w:t>N observations</w:t>
            </w:r>
          </w:p>
          <w:p w:rsidR="00D35EA4" w:rsidRPr="001B614B" w:rsidRDefault="00D35EA4" w:rsidP="00BC21EC">
            <w:pPr>
              <w:rPr>
                <w:sz w:val="16"/>
                <w:szCs w:val="16"/>
              </w:rPr>
            </w:pPr>
            <w:r w:rsidRPr="001B614B">
              <w:rPr>
                <w:sz w:val="16"/>
                <w:szCs w:val="16"/>
              </w:rPr>
              <w:t>N groups</w:t>
            </w:r>
          </w:p>
        </w:tc>
        <w:tc>
          <w:tcPr>
            <w:tcW w:w="989" w:type="dxa"/>
            <w:tcBorders>
              <w:right w:val="nil"/>
            </w:tcBorders>
          </w:tcPr>
          <w:p w:rsidR="00D35EA4" w:rsidRPr="001B614B" w:rsidRDefault="00D35EA4" w:rsidP="00BC21EC">
            <w:pPr>
              <w:jc w:val="right"/>
              <w:rPr>
                <w:sz w:val="14"/>
                <w:szCs w:val="14"/>
              </w:rPr>
            </w:pPr>
            <w:r w:rsidRPr="001B614B">
              <w:rPr>
                <w:sz w:val="14"/>
                <w:szCs w:val="14"/>
              </w:rPr>
              <w:t>.0002</w:t>
            </w:r>
          </w:p>
          <w:p w:rsidR="00D35EA4" w:rsidRPr="001B614B" w:rsidRDefault="00D35EA4" w:rsidP="00BC21EC">
            <w:pPr>
              <w:jc w:val="right"/>
              <w:rPr>
                <w:sz w:val="14"/>
                <w:szCs w:val="14"/>
              </w:rPr>
            </w:pPr>
            <w:r w:rsidRPr="001B614B">
              <w:rPr>
                <w:sz w:val="14"/>
                <w:szCs w:val="14"/>
              </w:rPr>
              <w:t>.34</w:t>
            </w:r>
          </w:p>
          <w:p w:rsidR="00D35EA4" w:rsidRPr="001B614B" w:rsidRDefault="00D35EA4" w:rsidP="00BC21EC">
            <w:pPr>
              <w:jc w:val="right"/>
              <w:rPr>
                <w:sz w:val="14"/>
                <w:szCs w:val="14"/>
              </w:rPr>
            </w:pPr>
            <w:r w:rsidRPr="001B614B">
              <w:rPr>
                <w:sz w:val="14"/>
                <w:szCs w:val="14"/>
              </w:rPr>
              <w:t>.0009</w:t>
            </w:r>
          </w:p>
          <w:p w:rsidR="00D35EA4" w:rsidRPr="001B614B" w:rsidRDefault="00D35EA4" w:rsidP="00BC21EC">
            <w:pPr>
              <w:jc w:val="right"/>
              <w:rPr>
                <w:sz w:val="14"/>
                <w:szCs w:val="14"/>
              </w:rPr>
            </w:pPr>
            <w:r w:rsidRPr="001B614B">
              <w:rPr>
                <w:sz w:val="14"/>
                <w:szCs w:val="14"/>
              </w:rPr>
              <w:t>248</w:t>
            </w:r>
          </w:p>
          <w:p w:rsidR="00D35EA4" w:rsidRPr="001B614B" w:rsidRDefault="00D35EA4" w:rsidP="00BC21EC">
            <w:pPr>
              <w:jc w:val="right"/>
              <w:rPr>
                <w:sz w:val="14"/>
                <w:szCs w:val="14"/>
              </w:rPr>
            </w:pPr>
            <w:r w:rsidRPr="001B614B">
              <w:rPr>
                <w:sz w:val="14"/>
                <w:szCs w:val="14"/>
              </w:rPr>
              <w:t>65</w:t>
            </w:r>
          </w:p>
        </w:tc>
        <w:tc>
          <w:tcPr>
            <w:tcW w:w="1081" w:type="dxa"/>
            <w:tcBorders>
              <w:left w:val="nil"/>
              <w:right w:val="nil"/>
            </w:tcBorders>
          </w:tcPr>
          <w:p w:rsidR="00D35EA4" w:rsidRPr="001B614B" w:rsidRDefault="00D35EA4" w:rsidP="00BC21EC">
            <w:pPr>
              <w:jc w:val="right"/>
              <w:rPr>
                <w:sz w:val="14"/>
                <w:szCs w:val="14"/>
              </w:rPr>
            </w:pPr>
            <w:r w:rsidRPr="001B614B">
              <w:rPr>
                <w:sz w:val="14"/>
                <w:szCs w:val="14"/>
              </w:rPr>
              <w:t>.0002</w:t>
            </w:r>
          </w:p>
          <w:p w:rsidR="00D35EA4" w:rsidRPr="001B614B" w:rsidRDefault="00D35EA4" w:rsidP="00BC21EC">
            <w:pPr>
              <w:jc w:val="right"/>
              <w:rPr>
                <w:sz w:val="14"/>
                <w:szCs w:val="14"/>
              </w:rPr>
            </w:pPr>
            <w:r w:rsidRPr="001B614B">
              <w:rPr>
                <w:sz w:val="14"/>
                <w:szCs w:val="14"/>
              </w:rPr>
              <w:t>.34</w:t>
            </w:r>
          </w:p>
          <w:p w:rsidR="00D35EA4" w:rsidRPr="001B614B" w:rsidRDefault="00D35EA4" w:rsidP="00BC21EC">
            <w:pPr>
              <w:jc w:val="right"/>
              <w:rPr>
                <w:sz w:val="14"/>
                <w:szCs w:val="14"/>
              </w:rPr>
            </w:pPr>
            <w:r w:rsidRPr="001B614B">
              <w:rPr>
                <w:sz w:val="14"/>
                <w:szCs w:val="14"/>
              </w:rPr>
              <w:t>.0009</w:t>
            </w:r>
          </w:p>
          <w:p w:rsidR="00D35EA4" w:rsidRPr="001B614B" w:rsidRDefault="00D35EA4" w:rsidP="00BC21EC">
            <w:pPr>
              <w:jc w:val="right"/>
              <w:rPr>
                <w:sz w:val="14"/>
                <w:szCs w:val="14"/>
              </w:rPr>
            </w:pPr>
            <w:r w:rsidRPr="001B614B">
              <w:rPr>
                <w:sz w:val="14"/>
                <w:szCs w:val="14"/>
              </w:rPr>
              <w:t>248</w:t>
            </w:r>
          </w:p>
          <w:p w:rsidR="00D35EA4" w:rsidRPr="001B614B" w:rsidRDefault="00D35EA4" w:rsidP="00BC21EC">
            <w:pPr>
              <w:jc w:val="right"/>
              <w:rPr>
                <w:sz w:val="14"/>
                <w:szCs w:val="14"/>
              </w:rPr>
            </w:pPr>
            <w:r w:rsidRPr="001B614B">
              <w:rPr>
                <w:sz w:val="14"/>
                <w:szCs w:val="14"/>
              </w:rPr>
              <w:t>65</w:t>
            </w:r>
          </w:p>
        </w:tc>
        <w:tc>
          <w:tcPr>
            <w:tcW w:w="1080" w:type="dxa"/>
            <w:tcBorders>
              <w:left w:val="nil"/>
              <w:right w:val="nil"/>
            </w:tcBorders>
          </w:tcPr>
          <w:p w:rsidR="00D35EA4" w:rsidRPr="001B614B" w:rsidRDefault="00D35EA4" w:rsidP="00BC21EC">
            <w:pPr>
              <w:jc w:val="right"/>
              <w:rPr>
                <w:sz w:val="14"/>
                <w:szCs w:val="14"/>
              </w:rPr>
            </w:pPr>
            <w:r w:rsidRPr="001B614B">
              <w:rPr>
                <w:sz w:val="14"/>
                <w:szCs w:val="14"/>
              </w:rPr>
              <w:t>.0002</w:t>
            </w:r>
          </w:p>
          <w:p w:rsidR="00D35EA4" w:rsidRPr="001B614B" w:rsidRDefault="00D35EA4" w:rsidP="00BC21EC">
            <w:pPr>
              <w:jc w:val="right"/>
              <w:rPr>
                <w:sz w:val="14"/>
                <w:szCs w:val="14"/>
              </w:rPr>
            </w:pPr>
            <w:r w:rsidRPr="001B614B">
              <w:rPr>
                <w:sz w:val="14"/>
                <w:szCs w:val="14"/>
              </w:rPr>
              <w:t>.34</w:t>
            </w:r>
          </w:p>
          <w:p w:rsidR="00D35EA4" w:rsidRPr="001B614B" w:rsidRDefault="00D35EA4" w:rsidP="00BC21EC">
            <w:pPr>
              <w:jc w:val="right"/>
              <w:rPr>
                <w:sz w:val="14"/>
                <w:szCs w:val="14"/>
              </w:rPr>
            </w:pPr>
            <w:r w:rsidRPr="001B614B">
              <w:rPr>
                <w:sz w:val="14"/>
                <w:szCs w:val="14"/>
              </w:rPr>
              <w:t>.0009</w:t>
            </w:r>
          </w:p>
          <w:p w:rsidR="00D35EA4" w:rsidRPr="001B614B" w:rsidRDefault="00D35EA4" w:rsidP="00BC21EC">
            <w:pPr>
              <w:jc w:val="right"/>
              <w:rPr>
                <w:sz w:val="14"/>
                <w:szCs w:val="14"/>
              </w:rPr>
            </w:pPr>
            <w:r w:rsidRPr="001B614B">
              <w:rPr>
                <w:sz w:val="14"/>
                <w:szCs w:val="14"/>
              </w:rPr>
              <w:t>248</w:t>
            </w:r>
          </w:p>
          <w:p w:rsidR="00D35EA4" w:rsidRPr="001B614B" w:rsidRDefault="00D35EA4" w:rsidP="00BC21EC">
            <w:pPr>
              <w:jc w:val="right"/>
              <w:rPr>
                <w:sz w:val="14"/>
                <w:szCs w:val="14"/>
              </w:rPr>
            </w:pPr>
            <w:r w:rsidRPr="001B614B">
              <w:rPr>
                <w:sz w:val="14"/>
                <w:szCs w:val="14"/>
              </w:rPr>
              <w:t>65</w:t>
            </w:r>
          </w:p>
        </w:tc>
        <w:tc>
          <w:tcPr>
            <w:tcW w:w="1080" w:type="dxa"/>
            <w:tcBorders>
              <w:left w:val="nil"/>
              <w:right w:val="nil"/>
            </w:tcBorders>
          </w:tcPr>
          <w:p w:rsidR="00D35EA4" w:rsidRPr="001B614B" w:rsidRDefault="00D35EA4" w:rsidP="00BC21EC">
            <w:pPr>
              <w:jc w:val="right"/>
              <w:rPr>
                <w:sz w:val="14"/>
                <w:szCs w:val="14"/>
              </w:rPr>
            </w:pPr>
            <w:r w:rsidRPr="001B614B">
              <w:rPr>
                <w:sz w:val="14"/>
                <w:szCs w:val="14"/>
              </w:rPr>
              <w:t>.0002</w:t>
            </w:r>
          </w:p>
          <w:p w:rsidR="00D35EA4" w:rsidRPr="001B614B" w:rsidRDefault="00D35EA4" w:rsidP="00BC21EC">
            <w:pPr>
              <w:jc w:val="right"/>
              <w:rPr>
                <w:sz w:val="14"/>
                <w:szCs w:val="14"/>
              </w:rPr>
            </w:pPr>
            <w:r w:rsidRPr="001B614B">
              <w:rPr>
                <w:sz w:val="14"/>
                <w:szCs w:val="14"/>
              </w:rPr>
              <w:t>.34</w:t>
            </w:r>
          </w:p>
          <w:p w:rsidR="00D35EA4" w:rsidRPr="001B614B" w:rsidRDefault="00D35EA4" w:rsidP="00BC21EC">
            <w:pPr>
              <w:jc w:val="right"/>
              <w:rPr>
                <w:sz w:val="14"/>
                <w:szCs w:val="14"/>
              </w:rPr>
            </w:pPr>
            <w:r w:rsidRPr="001B614B">
              <w:rPr>
                <w:sz w:val="14"/>
                <w:szCs w:val="14"/>
              </w:rPr>
              <w:t>.0009</w:t>
            </w:r>
          </w:p>
          <w:p w:rsidR="00D35EA4" w:rsidRPr="001B614B" w:rsidRDefault="00D35EA4" w:rsidP="00BC21EC">
            <w:pPr>
              <w:jc w:val="right"/>
              <w:rPr>
                <w:sz w:val="14"/>
                <w:szCs w:val="14"/>
              </w:rPr>
            </w:pPr>
            <w:r w:rsidRPr="001B614B">
              <w:rPr>
                <w:sz w:val="14"/>
                <w:szCs w:val="14"/>
              </w:rPr>
              <w:t>248</w:t>
            </w:r>
          </w:p>
          <w:p w:rsidR="00D35EA4" w:rsidRPr="001B614B" w:rsidRDefault="00D35EA4" w:rsidP="00BC21EC">
            <w:pPr>
              <w:jc w:val="right"/>
              <w:rPr>
                <w:sz w:val="14"/>
                <w:szCs w:val="14"/>
              </w:rPr>
            </w:pPr>
            <w:r w:rsidRPr="001B614B">
              <w:rPr>
                <w:sz w:val="14"/>
                <w:szCs w:val="14"/>
              </w:rPr>
              <w:t>65</w:t>
            </w:r>
          </w:p>
        </w:tc>
        <w:tc>
          <w:tcPr>
            <w:tcW w:w="1080" w:type="dxa"/>
            <w:tcBorders>
              <w:left w:val="nil"/>
              <w:right w:val="nil"/>
            </w:tcBorders>
          </w:tcPr>
          <w:p w:rsidR="00D35EA4" w:rsidRPr="001B614B" w:rsidRDefault="00D35EA4" w:rsidP="00BC21EC">
            <w:pPr>
              <w:jc w:val="right"/>
              <w:rPr>
                <w:sz w:val="14"/>
                <w:szCs w:val="14"/>
              </w:rPr>
            </w:pPr>
            <w:r w:rsidRPr="001B614B">
              <w:rPr>
                <w:sz w:val="14"/>
                <w:szCs w:val="14"/>
              </w:rPr>
              <w:t>.0002</w:t>
            </w:r>
          </w:p>
          <w:p w:rsidR="00D35EA4" w:rsidRPr="001B614B" w:rsidRDefault="00D35EA4" w:rsidP="00BC21EC">
            <w:pPr>
              <w:jc w:val="right"/>
              <w:rPr>
                <w:sz w:val="14"/>
                <w:szCs w:val="14"/>
              </w:rPr>
            </w:pPr>
            <w:r w:rsidRPr="001B614B">
              <w:rPr>
                <w:sz w:val="14"/>
                <w:szCs w:val="14"/>
              </w:rPr>
              <w:t>.34</w:t>
            </w:r>
          </w:p>
          <w:p w:rsidR="00D35EA4" w:rsidRPr="001B614B" w:rsidRDefault="00D35EA4" w:rsidP="00BC21EC">
            <w:pPr>
              <w:jc w:val="right"/>
              <w:rPr>
                <w:sz w:val="14"/>
                <w:szCs w:val="14"/>
              </w:rPr>
            </w:pPr>
            <w:r w:rsidRPr="001B614B">
              <w:rPr>
                <w:sz w:val="14"/>
                <w:szCs w:val="14"/>
              </w:rPr>
              <w:t>.0009</w:t>
            </w:r>
          </w:p>
          <w:p w:rsidR="00D35EA4" w:rsidRPr="001B614B" w:rsidRDefault="00D35EA4" w:rsidP="00BC21EC">
            <w:pPr>
              <w:jc w:val="right"/>
              <w:rPr>
                <w:sz w:val="14"/>
                <w:szCs w:val="14"/>
              </w:rPr>
            </w:pPr>
            <w:r w:rsidRPr="001B614B">
              <w:rPr>
                <w:sz w:val="14"/>
                <w:szCs w:val="14"/>
              </w:rPr>
              <w:t>248</w:t>
            </w:r>
          </w:p>
          <w:p w:rsidR="00D35EA4" w:rsidRPr="001B614B" w:rsidRDefault="00D35EA4" w:rsidP="00BC21EC">
            <w:pPr>
              <w:jc w:val="right"/>
              <w:rPr>
                <w:sz w:val="14"/>
                <w:szCs w:val="14"/>
              </w:rPr>
            </w:pPr>
            <w:r w:rsidRPr="001B614B">
              <w:rPr>
                <w:sz w:val="14"/>
                <w:szCs w:val="14"/>
              </w:rPr>
              <w:t>65</w:t>
            </w:r>
          </w:p>
        </w:tc>
        <w:tc>
          <w:tcPr>
            <w:tcW w:w="1350" w:type="dxa"/>
            <w:tcBorders>
              <w:left w:val="nil"/>
            </w:tcBorders>
          </w:tcPr>
          <w:p w:rsidR="00D35EA4" w:rsidRPr="001B614B" w:rsidRDefault="00D35EA4" w:rsidP="00BC21EC">
            <w:pPr>
              <w:jc w:val="right"/>
              <w:rPr>
                <w:sz w:val="14"/>
                <w:szCs w:val="14"/>
              </w:rPr>
            </w:pPr>
            <w:r w:rsidRPr="001B614B">
              <w:rPr>
                <w:sz w:val="14"/>
                <w:szCs w:val="14"/>
              </w:rPr>
              <w:t>.0002</w:t>
            </w:r>
          </w:p>
          <w:p w:rsidR="00D35EA4" w:rsidRPr="001B614B" w:rsidRDefault="00D35EA4" w:rsidP="00BC21EC">
            <w:pPr>
              <w:jc w:val="right"/>
              <w:rPr>
                <w:sz w:val="14"/>
                <w:szCs w:val="14"/>
              </w:rPr>
            </w:pPr>
            <w:r w:rsidRPr="001B614B">
              <w:rPr>
                <w:sz w:val="14"/>
                <w:szCs w:val="14"/>
              </w:rPr>
              <w:t>.34</w:t>
            </w:r>
          </w:p>
          <w:p w:rsidR="00D35EA4" w:rsidRPr="001B614B" w:rsidRDefault="00D35EA4" w:rsidP="00BC21EC">
            <w:pPr>
              <w:jc w:val="right"/>
              <w:rPr>
                <w:sz w:val="14"/>
                <w:szCs w:val="14"/>
              </w:rPr>
            </w:pPr>
            <w:r w:rsidRPr="001B614B">
              <w:rPr>
                <w:sz w:val="14"/>
                <w:szCs w:val="14"/>
              </w:rPr>
              <w:t>.0009</w:t>
            </w:r>
          </w:p>
          <w:p w:rsidR="00D35EA4" w:rsidRPr="001B614B" w:rsidRDefault="00D35EA4" w:rsidP="00BC21EC">
            <w:pPr>
              <w:jc w:val="right"/>
              <w:rPr>
                <w:sz w:val="14"/>
                <w:szCs w:val="14"/>
              </w:rPr>
            </w:pPr>
            <w:r w:rsidRPr="001B614B">
              <w:rPr>
                <w:sz w:val="14"/>
                <w:szCs w:val="14"/>
              </w:rPr>
              <w:t>248</w:t>
            </w:r>
          </w:p>
          <w:p w:rsidR="00D35EA4" w:rsidRPr="001B614B" w:rsidRDefault="00D35EA4" w:rsidP="00BC21EC">
            <w:pPr>
              <w:jc w:val="right"/>
              <w:rPr>
                <w:sz w:val="14"/>
                <w:szCs w:val="14"/>
              </w:rPr>
            </w:pPr>
            <w:r w:rsidRPr="001B614B">
              <w:rPr>
                <w:sz w:val="14"/>
                <w:szCs w:val="14"/>
              </w:rPr>
              <w:t>65</w:t>
            </w:r>
          </w:p>
        </w:tc>
      </w:tr>
    </w:tbl>
    <w:p w:rsidR="00C226AF" w:rsidRDefault="00C226AF"/>
    <w:tbl>
      <w:tblPr>
        <w:tblStyle w:val="TableGrid"/>
        <w:tblW w:w="0" w:type="auto"/>
        <w:tblLook w:val="04A0" w:firstRow="1" w:lastRow="0" w:firstColumn="1" w:lastColumn="0" w:noHBand="0" w:noVBand="1"/>
      </w:tblPr>
      <w:tblGrid>
        <w:gridCol w:w="2121"/>
        <w:gridCol w:w="1659"/>
        <w:gridCol w:w="2070"/>
        <w:gridCol w:w="2250"/>
      </w:tblGrid>
      <w:tr w:rsidR="00D35EA4" w:rsidTr="00D35EA4">
        <w:tc>
          <w:tcPr>
            <w:tcW w:w="8100" w:type="dxa"/>
            <w:gridSpan w:val="4"/>
            <w:tcBorders>
              <w:top w:val="nil"/>
              <w:left w:val="nil"/>
              <w:right w:val="nil"/>
            </w:tcBorders>
          </w:tcPr>
          <w:p w:rsidR="00D35EA4" w:rsidRPr="006F0D5D" w:rsidRDefault="00D35EA4" w:rsidP="00D35EA4">
            <w:pPr>
              <w:rPr>
                <w:rFonts w:eastAsiaTheme="minorEastAsia"/>
              </w:rPr>
            </w:pPr>
            <w:r w:rsidRPr="006F0D5D">
              <w:rPr>
                <w:rFonts w:eastAsiaTheme="minorEastAsia"/>
              </w:rPr>
              <w:t>Table 9. FE Regressions for World-Systems Variables</w:t>
            </w:r>
            <w:r w:rsidR="006F0D5D">
              <w:rPr>
                <w:rFonts w:eastAsiaTheme="minorEastAsia"/>
              </w:rPr>
              <w:t>.</w:t>
            </w:r>
          </w:p>
        </w:tc>
      </w:tr>
      <w:tr w:rsidR="00D35EA4" w:rsidTr="00D35EA4">
        <w:tc>
          <w:tcPr>
            <w:tcW w:w="2121" w:type="dxa"/>
            <w:tcBorders>
              <w:bottom w:val="single" w:sz="4" w:space="0" w:color="auto"/>
            </w:tcBorders>
          </w:tcPr>
          <w:p w:rsidR="00D35EA4" w:rsidRDefault="00D35EA4" w:rsidP="00D35EA4">
            <w:pPr>
              <w:rPr>
                <w:rFonts w:eastAsiaTheme="minorEastAsia"/>
              </w:rPr>
            </w:pPr>
          </w:p>
        </w:tc>
        <w:tc>
          <w:tcPr>
            <w:tcW w:w="1659" w:type="dxa"/>
            <w:tcBorders>
              <w:bottom w:val="single" w:sz="4" w:space="0" w:color="auto"/>
              <w:right w:val="nil"/>
            </w:tcBorders>
          </w:tcPr>
          <w:p w:rsidR="00D35EA4" w:rsidRPr="00D35EA4" w:rsidRDefault="00D35EA4" w:rsidP="00D35EA4">
            <w:pPr>
              <w:jc w:val="right"/>
              <w:rPr>
                <w:rFonts w:eastAsiaTheme="minorEastAsia"/>
                <w:sz w:val="16"/>
                <w:szCs w:val="16"/>
              </w:rPr>
            </w:pPr>
            <w:r>
              <w:rPr>
                <w:rFonts w:eastAsiaTheme="minorEastAsia"/>
                <w:sz w:val="16"/>
                <w:szCs w:val="16"/>
              </w:rPr>
              <w:t>Model 1</w:t>
            </w:r>
          </w:p>
        </w:tc>
        <w:tc>
          <w:tcPr>
            <w:tcW w:w="2070" w:type="dxa"/>
            <w:tcBorders>
              <w:left w:val="nil"/>
              <w:bottom w:val="single" w:sz="4" w:space="0" w:color="auto"/>
              <w:right w:val="nil"/>
            </w:tcBorders>
          </w:tcPr>
          <w:p w:rsidR="00D35EA4" w:rsidRPr="00D35EA4" w:rsidRDefault="00D35EA4" w:rsidP="00D35EA4">
            <w:pPr>
              <w:jc w:val="right"/>
              <w:rPr>
                <w:rFonts w:eastAsiaTheme="minorEastAsia"/>
                <w:sz w:val="16"/>
                <w:szCs w:val="16"/>
              </w:rPr>
            </w:pPr>
            <w:r>
              <w:rPr>
                <w:rFonts w:eastAsiaTheme="minorEastAsia"/>
                <w:sz w:val="16"/>
                <w:szCs w:val="16"/>
              </w:rPr>
              <w:t>Model 2</w:t>
            </w:r>
          </w:p>
        </w:tc>
        <w:tc>
          <w:tcPr>
            <w:tcW w:w="2250" w:type="dxa"/>
            <w:tcBorders>
              <w:left w:val="nil"/>
              <w:bottom w:val="single" w:sz="4" w:space="0" w:color="auto"/>
            </w:tcBorders>
          </w:tcPr>
          <w:p w:rsidR="00D35EA4" w:rsidRPr="00D35EA4" w:rsidRDefault="00D35EA4" w:rsidP="00D35EA4">
            <w:pPr>
              <w:jc w:val="right"/>
              <w:rPr>
                <w:rFonts w:eastAsiaTheme="minorEastAsia"/>
                <w:sz w:val="16"/>
                <w:szCs w:val="16"/>
              </w:rPr>
            </w:pPr>
            <w:r>
              <w:rPr>
                <w:rFonts w:eastAsiaTheme="minorEastAsia"/>
                <w:sz w:val="16"/>
                <w:szCs w:val="16"/>
              </w:rPr>
              <w:t>Model 3</w:t>
            </w:r>
          </w:p>
        </w:tc>
      </w:tr>
      <w:tr w:rsidR="00D35EA4" w:rsidTr="00D35EA4">
        <w:tc>
          <w:tcPr>
            <w:tcW w:w="2121" w:type="dxa"/>
            <w:tcBorders>
              <w:bottom w:val="nil"/>
            </w:tcBorders>
            <w:shd w:val="clear" w:color="auto" w:fill="FFFFFF" w:themeFill="background1"/>
          </w:tcPr>
          <w:p w:rsidR="00D35EA4" w:rsidRPr="00D35EA4" w:rsidRDefault="00D35EA4" w:rsidP="00D35EA4">
            <w:pPr>
              <w:rPr>
                <w:rFonts w:eastAsiaTheme="minorEastAsia"/>
                <w:sz w:val="16"/>
                <w:szCs w:val="16"/>
              </w:rPr>
            </w:pPr>
            <w:r>
              <w:rPr>
                <w:rFonts w:eastAsiaTheme="minorEastAsia"/>
                <w:sz w:val="16"/>
                <w:szCs w:val="16"/>
              </w:rPr>
              <w:t>Time</w:t>
            </w:r>
          </w:p>
        </w:tc>
        <w:tc>
          <w:tcPr>
            <w:tcW w:w="1659" w:type="dxa"/>
            <w:tcBorders>
              <w:bottom w:val="nil"/>
              <w:right w:val="nil"/>
            </w:tcBorders>
            <w:shd w:val="clear" w:color="auto" w:fill="FFFFFF" w:themeFill="background1"/>
          </w:tcPr>
          <w:p w:rsidR="00D35EA4" w:rsidRDefault="00D35EA4" w:rsidP="00D35EA4">
            <w:pPr>
              <w:jc w:val="right"/>
              <w:rPr>
                <w:rFonts w:eastAsiaTheme="minorEastAsia"/>
                <w:sz w:val="14"/>
                <w:szCs w:val="14"/>
              </w:rPr>
            </w:pPr>
            <w:r>
              <w:rPr>
                <w:rFonts w:eastAsiaTheme="minorEastAsia"/>
                <w:sz w:val="14"/>
                <w:szCs w:val="14"/>
              </w:rPr>
              <w:t>1.46***</w:t>
            </w:r>
          </w:p>
          <w:p w:rsidR="00D35EA4" w:rsidRPr="00D35EA4" w:rsidRDefault="00D35EA4" w:rsidP="00D35EA4">
            <w:pPr>
              <w:jc w:val="right"/>
              <w:rPr>
                <w:rFonts w:eastAsiaTheme="minorEastAsia"/>
                <w:sz w:val="14"/>
                <w:szCs w:val="14"/>
              </w:rPr>
            </w:pPr>
            <w:r>
              <w:rPr>
                <w:rFonts w:eastAsiaTheme="minorEastAsia"/>
                <w:sz w:val="14"/>
                <w:szCs w:val="14"/>
              </w:rPr>
              <w:t>(.17)</w:t>
            </w:r>
          </w:p>
        </w:tc>
        <w:tc>
          <w:tcPr>
            <w:tcW w:w="2070" w:type="dxa"/>
            <w:tcBorders>
              <w:left w:val="nil"/>
              <w:bottom w:val="nil"/>
              <w:right w:val="nil"/>
            </w:tcBorders>
            <w:shd w:val="clear" w:color="auto" w:fill="FFFFFF" w:themeFill="background1"/>
          </w:tcPr>
          <w:p w:rsidR="00D35EA4" w:rsidRDefault="00D35EA4" w:rsidP="00D35EA4">
            <w:pPr>
              <w:jc w:val="right"/>
              <w:rPr>
                <w:rFonts w:eastAsiaTheme="minorEastAsia"/>
                <w:sz w:val="14"/>
                <w:szCs w:val="14"/>
              </w:rPr>
            </w:pPr>
            <w:r>
              <w:rPr>
                <w:rFonts w:eastAsiaTheme="minorEastAsia"/>
                <w:sz w:val="14"/>
                <w:szCs w:val="14"/>
              </w:rPr>
              <w:t>.78</w:t>
            </w:r>
          </w:p>
          <w:p w:rsidR="00D35EA4" w:rsidRPr="00D35EA4" w:rsidRDefault="00D35EA4" w:rsidP="00D35EA4">
            <w:pPr>
              <w:jc w:val="right"/>
              <w:rPr>
                <w:rFonts w:eastAsiaTheme="minorEastAsia"/>
                <w:sz w:val="14"/>
                <w:szCs w:val="14"/>
              </w:rPr>
            </w:pPr>
            <w:r>
              <w:rPr>
                <w:rFonts w:eastAsiaTheme="minorEastAsia"/>
                <w:sz w:val="14"/>
                <w:szCs w:val="14"/>
              </w:rPr>
              <w:t>(.62)</w:t>
            </w:r>
          </w:p>
        </w:tc>
        <w:tc>
          <w:tcPr>
            <w:tcW w:w="2250" w:type="dxa"/>
            <w:tcBorders>
              <w:left w:val="nil"/>
              <w:bottom w:val="nil"/>
            </w:tcBorders>
            <w:shd w:val="clear" w:color="auto" w:fill="FFFFFF" w:themeFill="background1"/>
          </w:tcPr>
          <w:p w:rsidR="00D35EA4" w:rsidRDefault="00D35EA4" w:rsidP="00D35EA4">
            <w:pPr>
              <w:jc w:val="right"/>
              <w:rPr>
                <w:rFonts w:eastAsiaTheme="minorEastAsia"/>
                <w:sz w:val="14"/>
                <w:szCs w:val="14"/>
              </w:rPr>
            </w:pPr>
            <w:r>
              <w:rPr>
                <w:rFonts w:eastAsiaTheme="minorEastAsia"/>
                <w:sz w:val="14"/>
                <w:szCs w:val="14"/>
              </w:rPr>
              <w:t>1.31*</w:t>
            </w:r>
          </w:p>
          <w:p w:rsidR="00D35EA4" w:rsidRPr="00D35EA4" w:rsidRDefault="00D35EA4" w:rsidP="00D35EA4">
            <w:pPr>
              <w:jc w:val="right"/>
              <w:rPr>
                <w:rFonts w:eastAsiaTheme="minorEastAsia"/>
                <w:sz w:val="14"/>
                <w:szCs w:val="14"/>
              </w:rPr>
            </w:pPr>
            <w:r>
              <w:rPr>
                <w:rFonts w:eastAsiaTheme="minorEastAsia"/>
                <w:sz w:val="14"/>
                <w:szCs w:val="14"/>
              </w:rPr>
              <w:t>(.55)</w:t>
            </w:r>
          </w:p>
        </w:tc>
      </w:tr>
      <w:tr w:rsidR="00D35EA4" w:rsidTr="00D35EA4">
        <w:tc>
          <w:tcPr>
            <w:tcW w:w="2121" w:type="dxa"/>
            <w:tcBorders>
              <w:top w:val="nil"/>
              <w:bottom w:val="nil"/>
            </w:tcBorders>
            <w:shd w:val="clear" w:color="auto" w:fill="E7E6E6" w:themeFill="background2"/>
          </w:tcPr>
          <w:p w:rsidR="00D35EA4" w:rsidRPr="00D35EA4" w:rsidRDefault="00D35EA4" w:rsidP="00D35EA4">
            <w:pPr>
              <w:rPr>
                <w:rFonts w:eastAsiaTheme="minorEastAsia"/>
                <w:sz w:val="16"/>
                <w:szCs w:val="16"/>
              </w:rPr>
            </w:pPr>
            <w:r>
              <w:rPr>
                <w:rFonts w:eastAsiaTheme="minorEastAsia"/>
                <w:sz w:val="16"/>
                <w:szCs w:val="16"/>
              </w:rPr>
              <w:t>Core</w:t>
            </w:r>
          </w:p>
        </w:tc>
        <w:tc>
          <w:tcPr>
            <w:tcW w:w="1659" w:type="dxa"/>
            <w:tcBorders>
              <w:top w:val="nil"/>
              <w:bottom w:val="nil"/>
              <w:right w:val="nil"/>
            </w:tcBorders>
            <w:shd w:val="clear" w:color="auto" w:fill="E7E6E6" w:themeFill="background2"/>
          </w:tcPr>
          <w:p w:rsidR="00D35EA4" w:rsidRPr="00D35EA4" w:rsidRDefault="00D35EA4" w:rsidP="00D35EA4">
            <w:pPr>
              <w:jc w:val="right"/>
              <w:rPr>
                <w:rFonts w:eastAsiaTheme="minorEastAsia"/>
                <w:sz w:val="14"/>
                <w:szCs w:val="14"/>
              </w:rPr>
            </w:pPr>
          </w:p>
        </w:tc>
        <w:tc>
          <w:tcPr>
            <w:tcW w:w="2070" w:type="dxa"/>
            <w:tcBorders>
              <w:top w:val="nil"/>
              <w:left w:val="nil"/>
              <w:bottom w:val="nil"/>
              <w:right w:val="nil"/>
            </w:tcBorders>
            <w:shd w:val="clear" w:color="auto" w:fill="E7E6E6" w:themeFill="background2"/>
          </w:tcPr>
          <w:p w:rsidR="00D35EA4" w:rsidRDefault="00D35EA4" w:rsidP="00D35EA4">
            <w:pPr>
              <w:jc w:val="right"/>
              <w:rPr>
                <w:rFonts w:eastAsiaTheme="minorEastAsia"/>
                <w:sz w:val="14"/>
                <w:szCs w:val="14"/>
              </w:rPr>
            </w:pPr>
            <w:r>
              <w:rPr>
                <w:rFonts w:eastAsiaTheme="minorEastAsia"/>
                <w:sz w:val="14"/>
                <w:szCs w:val="14"/>
              </w:rPr>
              <w:t>.68</w:t>
            </w:r>
          </w:p>
          <w:p w:rsidR="00D35EA4" w:rsidRPr="00D35EA4" w:rsidRDefault="00D35EA4" w:rsidP="00D35EA4">
            <w:pPr>
              <w:jc w:val="right"/>
              <w:rPr>
                <w:rFonts w:eastAsiaTheme="minorEastAsia"/>
                <w:sz w:val="14"/>
                <w:szCs w:val="14"/>
              </w:rPr>
            </w:pPr>
            <w:r>
              <w:rPr>
                <w:rFonts w:eastAsiaTheme="minorEastAsia"/>
                <w:sz w:val="14"/>
                <w:szCs w:val="14"/>
              </w:rPr>
              <w:t>(.64)</w:t>
            </w:r>
          </w:p>
        </w:tc>
        <w:tc>
          <w:tcPr>
            <w:tcW w:w="2250" w:type="dxa"/>
            <w:tcBorders>
              <w:top w:val="nil"/>
              <w:left w:val="nil"/>
              <w:bottom w:val="nil"/>
            </w:tcBorders>
            <w:shd w:val="clear" w:color="auto" w:fill="E7E6E6" w:themeFill="background2"/>
          </w:tcPr>
          <w:p w:rsidR="00D35EA4" w:rsidRDefault="00D35EA4" w:rsidP="00D35EA4">
            <w:pPr>
              <w:jc w:val="right"/>
              <w:rPr>
                <w:rFonts w:eastAsiaTheme="minorEastAsia"/>
                <w:sz w:val="14"/>
                <w:szCs w:val="14"/>
              </w:rPr>
            </w:pPr>
            <w:r>
              <w:rPr>
                <w:rFonts w:eastAsiaTheme="minorEastAsia"/>
                <w:sz w:val="14"/>
                <w:szCs w:val="14"/>
              </w:rPr>
              <w:t>.15</w:t>
            </w:r>
          </w:p>
          <w:p w:rsidR="00D35EA4" w:rsidRPr="00D35EA4" w:rsidRDefault="00D35EA4" w:rsidP="00D35EA4">
            <w:pPr>
              <w:jc w:val="right"/>
              <w:rPr>
                <w:rFonts w:eastAsiaTheme="minorEastAsia"/>
                <w:sz w:val="14"/>
                <w:szCs w:val="14"/>
              </w:rPr>
            </w:pPr>
            <w:r>
              <w:rPr>
                <w:rFonts w:eastAsiaTheme="minorEastAsia"/>
                <w:sz w:val="14"/>
                <w:szCs w:val="14"/>
              </w:rPr>
              <w:t>(.57)</w:t>
            </w:r>
          </w:p>
        </w:tc>
      </w:tr>
      <w:tr w:rsidR="00D35EA4" w:rsidTr="00D35EA4">
        <w:tc>
          <w:tcPr>
            <w:tcW w:w="2121" w:type="dxa"/>
            <w:tcBorders>
              <w:top w:val="nil"/>
              <w:bottom w:val="nil"/>
            </w:tcBorders>
            <w:shd w:val="clear" w:color="auto" w:fill="FFFFFF" w:themeFill="background1"/>
          </w:tcPr>
          <w:p w:rsidR="00D35EA4" w:rsidRPr="00D35EA4" w:rsidRDefault="00D35EA4" w:rsidP="00D35EA4">
            <w:pPr>
              <w:rPr>
                <w:rFonts w:eastAsiaTheme="minorEastAsia"/>
                <w:sz w:val="16"/>
                <w:szCs w:val="16"/>
              </w:rPr>
            </w:pPr>
            <w:r>
              <w:rPr>
                <w:rFonts w:eastAsiaTheme="minorEastAsia"/>
                <w:sz w:val="16"/>
                <w:szCs w:val="16"/>
              </w:rPr>
              <w:t>Semiperiphery</w:t>
            </w:r>
          </w:p>
        </w:tc>
        <w:tc>
          <w:tcPr>
            <w:tcW w:w="1659" w:type="dxa"/>
            <w:tcBorders>
              <w:top w:val="nil"/>
              <w:bottom w:val="nil"/>
              <w:right w:val="nil"/>
            </w:tcBorders>
            <w:shd w:val="clear" w:color="auto" w:fill="FFFFFF" w:themeFill="background1"/>
          </w:tcPr>
          <w:p w:rsidR="00D35EA4" w:rsidRDefault="00D35EA4" w:rsidP="00D35EA4">
            <w:pPr>
              <w:jc w:val="right"/>
              <w:rPr>
                <w:rFonts w:eastAsiaTheme="minorEastAsia"/>
                <w:sz w:val="14"/>
                <w:szCs w:val="14"/>
              </w:rPr>
            </w:pPr>
            <w:r>
              <w:rPr>
                <w:rFonts w:eastAsiaTheme="minorEastAsia"/>
                <w:sz w:val="14"/>
                <w:szCs w:val="14"/>
              </w:rPr>
              <w:t>-.68</w:t>
            </w:r>
          </w:p>
          <w:p w:rsidR="00D35EA4" w:rsidRPr="00D35EA4" w:rsidRDefault="00D35EA4" w:rsidP="00D35EA4">
            <w:pPr>
              <w:jc w:val="right"/>
              <w:rPr>
                <w:rFonts w:eastAsiaTheme="minorEastAsia"/>
                <w:sz w:val="14"/>
                <w:szCs w:val="14"/>
              </w:rPr>
            </w:pPr>
            <w:r>
              <w:rPr>
                <w:rFonts w:eastAsiaTheme="minorEastAsia"/>
                <w:sz w:val="14"/>
                <w:szCs w:val="14"/>
              </w:rPr>
              <w:t>(.64)</w:t>
            </w:r>
          </w:p>
        </w:tc>
        <w:tc>
          <w:tcPr>
            <w:tcW w:w="2070" w:type="dxa"/>
            <w:tcBorders>
              <w:top w:val="nil"/>
              <w:left w:val="nil"/>
              <w:bottom w:val="nil"/>
              <w:right w:val="nil"/>
            </w:tcBorders>
            <w:shd w:val="clear" w:color="auto" w:fill="FFFFFF" w:themeFill="background1"/>
          </w:tcPr>
          <w:p w:rsidR="00D35EA4" w:rsidRPr="00D35EA4" w:rsidRDefault="00D35EA4" w:rsidP="00D35EA4">
            <w:pPr>
              <w:jc w:val="right"/>
              <w:rPr>
                <w:rFonts w:eastAsiaTheme="minorEastAsia"/>
                <w:sz w:val="14"/>
                <w:szCs w:val="14"/>
              </w:rPr>
            </w:pPr>
          </w:p>
        </w:tc>
        <w:tc>
          <w:tcPr>
            <w:tcW w:w="2250" w:type="dxa"/>
            <w:tcBorders>
              <w:top w:val="nil"/>
              <w:left w:val="nil"/>
              <w:bottom w:val="nil"/>
            </w:tcBorders>
            <w:shd w:val="clear" w:color="auto" w:fill="FFFFFF" w:themeFill="background1"/>
          </w:tcPr>
          <w:p w:rsidR="00D35EA4" w:rsidRDefault="00D35EA4" w:rsidP="00D35EA4">
            <w:pPr>
              <w:jc w:val="right"/>
              <w:rPr>
                <w:rFonts w:eastAsiaTheme="minorEastAsia"/>
                <w:sz w:val="14"/>
                <w:szCs w:val="14"/>
              </w:rPr>
            </w:pPr>
            <w:r>
              <w:rPr>
                <w:rFonts w:eastAsiaTheme="minorEastAsia"/>
                <w:sz w:val="14"/>
                <w:szCs w:val="14"/>
              </w:rPr>
              <w:t>-.53</w:t>
            </w:r>
          </w:p>
          <w:p w:rsidR="00D35EA4" w:rsidRPr="00D35EA4" w:rsidRDefault="00D35EA4" w:rsidP="00D35EA4">
            <w:pPr>
              <w:jc w:val="right"/>
              <w:rPr>
                <w:rFonts w:eastAsiaTheme="minorEastAsia"/>
                <w:sz w:val="14"/>
                <w:szCs w:val="14"/>
              </w:rPr>
            </w:pPr>
            <w:r>
              <w:rPr>
                <w:rFonts w:eastAsiaTheme="minorEastAsia"/>
                <w:sz w:val="14"/>
                <w:szCs w:val="14"/>
              </w:rPr>
              <w:t>(.83)</w:t>
            </w:r>
          </w:p>
        </w:tc>
      </w:tr>
      <w:tr w:rsidR="00D35EA4" w:rsidTr="00D35EA4">
        <w:trPr>
          <w:trHeight w:val="450"/>
        </w:trPr>
        <w:tc>
          <w:tcPr>
            <w:tcW w:w="2121" w:type="dxa"/>
            <w:tcBorders>
              <w:top w:val="nil"/>
              <w:bottom w:val="single" w:sz="4" w:space="0" w:color="auto"/>
            </w:tcBorders>
            <w:shd w:val="clear" w:color="auto" w:fill="E7E6E6" w:themeFill="background2"/>
          </w:tcPr>
          <w:p w:rsidR="00D35EA4" w:rsidRPr="00D35EA4" w:rsidRDefault="00D35EA4" w:rsidP="00D35EA4">
            <w:pPr>
              <w:rPr>
                <w:rFonts w:eastAsiaTheme="minorEastAsia"/>
                <w:sz w:val="16"/>
                <w:szCs w:val="16"/>
              </w:rPr>
            </w:pPr>
            <w:r>
              <w:rPr>
                <w:rFonts w:eastAsiaTheme="minorEastAsia"/>
                <w:sz w:val="16"/>
                <w:szCs w:val="16"/>
              </w:rPr>
              <w:t>Periphery</w:t>
            </w:r>
          </w:p>
        </w:tc>
        <w:tc>
          <w:tcPr>
            <w:tcW w:w="1659" w:type="dxa"/>
            <w:tcBorders>
              <w:top w:val="nil"/>
              <w:bottom w:val="single" w:sz="4" w:space="0" w:color="auto"/>
              <w:right w:val="nil"/>
            </w:tcBorders>
            <w:shd w:val="clear" w:color="auto" w:fill="E7E6E6" w:themeFill="background2"/>
          </w:tcPr>
          <w:p w:rsidR="00D35EA4" w:rsidRDefault="00D35EA4" w:rsidP="00D35EA4">
            <w:pPr>
              <w:jc w:val="right"/>
              <w:rPr>
                <w:rFonts w:eastAsiaTheme="minorEastAsia"/>
                <w:sz w:val="14"/>
                <w:szCs w:val="14"/>
              </w:rPr>
            </w:pPr>
            <w:r>
              <w:rPr>
                <w:rFonts w:eastAsiaTheme="minorEastAsia"/>
                <w:sz w:val="14"/>
                <w:szCs w:val="14"/>
              </w:rPr>
              <w:t>-.15</w:t>
            </w:r>
          </w:p>
          <w:p w:rsidR="00D35EA4" w:rsidRPr="00D35EA4" w:rsidRDefault="00D35EA4" w:rsidP="00D35EA4">
            <w:pPr>
              <w:jc w:val="right"/>
              <w:rPr>
                <w:rFonts w:eastAsiaTheme="minorEastAsia"/>
                <w:sz w:val="14"/>
                <w:szCs w:val="14"/>
              </w:rPr>
            </w:pPr>
            <w:r>
              <w:rPr>
                <w:rFonts w:eastAsiaTheme="minorEastAsia"/>
                <w:sz w:val="14"/>
                <w:szCs w:val="14"/>
              </w:rPr>
              <w:t>(.57)</w:t>
            </w:r>
          </w:p>
        </w:tc>
        <w:tc>
          <w:tcPr>
            <w:tcW w:w="2070" w:type="dxa"/>
            <w:tcBorders>
              <w:top w:val="nil"/>
              <w:left w:val="nil"/>
              <w:bottom w:val="single" w:sz="4" w:space="0" w:color="auto"/>
              <w:right w:val="nil"/>
            </w:tcBorders>
            <w:shd w:val="clear" w:color="auto" w:fill="E7E6E6" w:themeFill="background2"/>
          </w:tcPr>
          <w:p w:rsidR="00D35EA4" w:rsidRDefault="00D35EA4" w:rsidP="00D35EA4">
            <w:pPr>
              <w:jc w:val="right"/>
              <w:rPr>
                <w:rFonts w:eastAsiaTheme="minorEastAsia"/>
                <w:sz w:val="14"/>
                <w:szCs w:val="14"/>
              </w:rPr>
            </w:pPr>
            <w:r>
              <w:rPr>
                <w:rFonts w:eastAsiaTheme="minorEastAsia"/>
                <w:sz w:val="14"/>
                <w:szCs w:val="14"/>
              </w:rPr>
              <w:t>.53</w:t>
            </w:r>
          </w:p>
          <w:p w:rsidR="00D35EA4" w:rsidRPr="00D35EA4" w:rsidRDefault="00D35EA4" w:rsidP="00D35EA4">
            <w:pPr>
              <w:jc w:val="right"/>
              <w:rPr>
                <w:rFonts w:eastAsiaTheme="minorEastAsia"/>
                <w:sz w:val="14"/>
                <w:szCs w:val="14"/>
              </w:rPr>
            </w:pPr>
            <w:r>
              <w:rPr>
                <w:rFonts w:eastAsiaTheme="minorEastAsia"/>
                <w:sz w:val="14"/>
                <w:szCs w:val="14"/>
              </w:rPr>
              <w:t>(.83)</w:t>
            </w:r>
          </w:p>
        </w:tc>
        <w:tc>
          <w:tcPr>
            <w:tcW w:w="2250" w:type="dxa"/>
            <w:tcBorders>
              <w:top w:val="nil"/>
              <w:left w:val="nil"/>
              <w:bottom w:val="single" w:sz="4" w:space="0" w:color="auto"/>
            </w:tcBorders>
            <w:shd w:val="clear" w:color="auto" w:fill="E7E6E6" w:themeFill="background2"/>
          </w:tcPr>
          <w:p w:rsidR="00D35EA4" w:rsidRDefault="00D35EA4" w:rsidP="00D35EA4">
            <w:pPr>
              <w:jc w:val="right"/>
              <w:rPr>
                <w:rFonts w:eastAsiaTheme="minorEastAsia"/>
                <w:sz w:val="14"/>
                <w:szCs w:val="14"/>
              </w:rPr>
            </w:pPr>
          </w:p>
          <w:p w:rsidR="00D35EA4" w:rsidRPr="00D35EA4" w:rsidRDefault="00D35EA4" w:rsidP="00D35EA4">
            <w:pPr>
              <w:rPr>
                <w:rFonts w:eastAsiaTheme="minorEastAsia"/>
                <w:sz w:val="14"/>
                <w:szCs w:val="14"/>
              </w:rPr>
            </w:pPr>
          </w:p>
        </w:tc>
      </w:tr>
      <w:tr w:rsidR="00D35EA4" w:rsidTr="00D35EA4">
        <w:tc>
          <w:tcPr>
            <w:tcW w:w="2121" w:type="dxa"/>
            <w:tcBorders>
              <w:top w:val="single" w:sz="4" w:space="0" w:color="auto"/>
              <w:bottom w:val="single" w:sz="4" w:space="0" w:color="auto"/>
            </w:tcBorders>
          </w:tcPr>
          <w:p w:rsidR="00D35EA4" w:rsidRPr="00D35EA4" w:rsidRDefault="00D35EA4" w:rsidP="00D35EA4">
            <w:pPr>
              <w:rPr>
                <w:rFonts w:eastAsiaTheme="minorEastAsia"/>
                <w:sz w:val="16"/>
                <w:szCs w:val="16"/>
              </w:rPr>
            </w:pPr>
            <w:r w:rsidRPr="00D35EA4">
              <w:rPr>
                <w:rFonts w:eastAsiaTheme="minorEastAsia"/>
                <w:i/>
                <w:sz w:val="16"/>
                <w:szCs w:val="16"/>
              </w:rPr>
              <w:t>R</w:t>
            </w:r>
            <w:r w:rsidRPr="00D35EA4">
              <w:rPr>
                <w:rFonts w:eastAsiaTheme="minorEastAsia"/>
                <w:sz w:val="16"/>
                <w:szCs w:val="16"/>
                <w:vertAlign w:val="superscript"/>
              </w:rPr>
              <w:t>2</w:t>
            </w:r>
            <w:r w:rsidRPr="00D35EA4">
              <w:rPr>
                <w:rFonts w:eastAsiaTheme="minorEastAsia"/>
                <w:sz w:val="16"/>
                <w:szCs w:val="16"/>
              </w:rPr>
              <w:t xml:space="preserve"> Overall</w:t>
            </w:r>
          </w:p>
          <w:p w:rsidR="00D35EA4" w:rsidRPr="00D35EA4" w:rsidRDefault="00525FCF" w:rsidP="00D35EA4">
            <w:pPr>
              <w:rPr>
                <w:rFonts w:eastAsiaTheme="minorEastAsia"/>
                <w:sz w:val="16"/>
                <w:szCs w:val="16"/>
              </w:rPr>
            </w:pPr>
            <w:r>
              <w:rPr>
                <w:rFonts w:eastAsiaTheme="minorEastAsia"/>
                <w:i/>
                <w:noProof/>
                <w:sz w:val="16"/>
                <w:szCs w:val="16"/>
              </w:rPr>
              <w:t>R</w:t>
            </w:r>
            <w:r>
              <w:rPr>
                <w:rFonts w:eastAsiaTheme="minorEastAsia"/>
                <w:i/>
                <w:noProof/>
                <w:sz w:val="16"/>
                <w:szCs w:val="16"/>
                <w:vertAlign w:val="superscript"/>
              </w:rPr>
              <w:t>2</w:t>
            </w:r>
            <w:r w:rsidR="00D35EA4" w:rsidRPr="00D35EA4">
              <w:rPr>
                <w:rFonts w:eastAsiaTheme="minorEastAsia"/>
                <w:i/>
                <w:sz w:val="16"/>
                <w:szCs w:val="16"/>
                <w:vertAlign w:val="superscript"/>
              </w:rPr>
              <w:t xml:space="preserve"> </w:t>
            </w:r>
            <w:r w:rsidR="00D35EA4" w:rsidRPr="00D35EA4">
              <w:rPr>
                <w:rFonts w:eastAsiaTheme="minorEastAsia"/>
                <w:sz w:val="16"/>
                <w:szCs w:val="16"/>
              </w:rPr>
              <w:t xml:space="preserve"> Within</w:t>
            </w:r>
          </w:p>
          <w:p w:rsidR="00D35EA4" w:rsidRPr="00D35EA4" w:rsidRDefault="00D35EA4" w:rsidP="00D35EA4">
            <w:pPr>
              <w:rPr>
                <w:rFonts w:eastAsiaTheme="minorEastAsia"/>
                <w:sz w:val="16"/>
                <w:szCs w:val="16"/>
              </w:rPr>
            </w:pPr>
            <w:r w:rsidRPr="00525FCF">
              <w:rPr>
                <w:rFonts w:eastAsiaTheme="minorEastAsia"/>
                <w:i/>
                <w:noProof/>
                <w:sz w:val="16"/>
                <w:szCs w:val="16"/>
              </w:rPr>
              <w:t>R</w:t>
            </w:r>
            <w:r w:rsidR="00525FCF" w:rsidRPr="00525FCF">
              <w:rPr>
                <w:rFonts w:eastAsiaTheme="minorEastAsia"/>
                <w:i/>
                <w:noProof/>
                <w:sz w:val="16"/>
                <w:szCs w:val="16"/>
                <w:vertAlign w:val="superscript"/>
              </w:rPr>
              <w:t>2</w:t>
            </w:r>
            <w:r w:rsidRPr="00D35EA4">
              <w:rPr>
                <w:rFonts w:eastAsiaTheme="minorEastAsia"/>
                <w:sz w:val="16"/>
                <w:szCs w:val="16"/>
              </w:rPr>
              <w:t xml:space="preserve"> Between</w:t>
            </w:r>
          </w:p>
          <w:p w:rsidR="00D35EA4" w:rsidRPr="00D35EA4" w:rsidRDefault="00D35EA4" w:rsidP="00D35EA4">
            <w:pPr>
              <w:rPr>
                <w:rFonts w:eastAsiaTheme="minorEastAsia"/>
                <w:sz w:val="16"/>
                <w:szCs w:val="16"/>
              </w:rPr>
            </w:pPr>
            <w:r w:rsidRPr="00D35EA4">
              <w:rPr>
                <w:rFonts w:eastAsiaTheme="minorEastAsia"/>
                <w:sz w:val="16"/>
                <w:szCs w:val="16"/>
              </w:rPr>
              <w:t>N observations</w:t>
            </w:r>
          </w:p>
          <w:p w:rsidR="00D35EA4" w:rsidRDefault="00D35EA4" w:rsidP="00D35EA4">
            <w:pPr>
              <w:rPr>
                <w:rFonts w:eastAsiaTheme="minorEastAsia"/>
                <w:sz w:val="16"/>
                <w:szCs w:val="16"/>
              </w:rPr>
            </w:pPr>
            <w:r w:rsidRPr="00D35EA4">
              <w:rPr>
                <w:rFonts w:eastAsiaTheme="minorEastAsia"/>
                <w:sz w:val="16"/>
                <w:szCs w:val="16"/>
              </w:rPr>
              <w:t>N groups</w:t>
            </w:r>
          </w:p>
        </w:tc>
        <w:tc>
          <w:tcPr>
            <w:tcW w:w="1659" w:type="dxa"/>
            <w:tcBorders>
              <w:top w:val="single" w:sz="4" w:space="0" w:color="auto"/>
              <w:bottom w:val="single" w:sz="4" w:space="0" w:color="auto"/>
              <w:right w:val="nil"/>
            </w:tcBorders>
          </w:tcPr>
          <w:p w:rsidR="00D35EA4" w:rsidRDefault="00D35EA4" w:rsidP="00D35EA4">
            <w:pPr>
              <w:jc w:val="right"/>
              <w:rPr>
                <w:rFonts w:eastAsiaTheme="minorEastAsia"/>
                <w:sz w:val="14"/>
                <w:szCs w:val="14"/>
              </w:rPr>
            </w:pPr>
            <w:r>
              <w:rPr>
                <w:rFonts w:eastAsiaTheme="minorEastAsia"/>
                <w:sz w:val="14"/>
                <w:szCs w:val="14"/>
              </w:rPr>
              <w:t>.0004</w:t>
            </w:r>
          </w:p>
          <w:p w:rsidR="00D35EA4" w:rsidRDefault="00D35EA4" w:rsidP="00D35EA4">
            <w:pPr>
              <w:jc w:val="right"/>
              <w:rPr>
                <w:rFonts w:eastAsiaTheme="minorEastAsia"/>
                <w:sz w:val="14"/>
                <w:szCs w:val="14"/>
              </w:rPr>
            </w:pPr>
            <w:r>
              <w:rPr>
                <w:rFonts w:eastAsiaTheme="minorEastAsia"/>
                <w:sz w:val="14"/>
                <w:szCs w:val="14"/>
              </w:rPr>
              <w:t>.31</w:t>
            </w:r>
          </w:p>
          <w:p w:rsidR="00D35EA4" w:rsidRDefault="00D35EA4" w:rsidP="00D35EA4">
            <w:pPr>
              <w:jc w:val="right"/>
              <w:rPr>
                <w:rFonts w:eastAsiaTheme="minorEastAsia"/>
                <w:sz w:val="14"/>
                <w:szCs w:val="14"/>
              </w:rPr>
            </w:pPr>
            <w:r>
              <w:rPr>
                <w:rFonts w:eastAsiaTheme="minorEastAsia"/>
                <w:sz w:val="14"/>
                <w:szCs w:val="14"/>
              </w:rPr>
              <w:t>.0001</w:t>
            </w:r>
          </w:p>
          <w:p w:rsidR="00D35EA4" w:rsidRDefault="00D35EA4" w:rsidP="00D35EA4">
            <w:pPr>
              <w:jc w:val="right"/>
              <w:rPr>
                <w:rFonts w:eastAsiaTheme="minorEastAsia"/>
                <w:sz w:val="14"/>
                <w:szCs w:val="14"/>
              </w:rPr>
            </w:pPr>
            <w:r>
              <w:rPr>
                <w:rFonts w:eastAsiaTheme="minorEastAsia"/>
                <w:sz w:val="14"/>
                <w:szCs w:val="14"/>
              </w:rPr>
              <w:t>248</w:t>
            </w:r>
          </w:p>
          <w:p w:rsidR="00D35EA4" w:rsidRDefault="00D35EA4" w:rsidP="00D35EA4">
            <w:pPr>
              <w:jc w:val="right"/>
              <w:rPr>
                <w:rFonts w:eastAsiaTheme="minorEastAsia"/>
                <w:sz w:val="14"/>
                <w:szCs w:val="14"/>
              </w:rPr>
            </w:pPr>
            <w:r>
              <w:rPr>
                <w:rFonts w:eastAsiaTheme="minorEastAsia"/>
                <w:sz w:val="14"/>
                <w:szCs w:val="14"/>
              </w:rPr>
              <w:t>65</w:t>
            </w:r>
          </w:p>
        </w:tc>
        <w:tc>
          <w:tcPr>
            <w:tcW w:w="2070" w:type="dxa"/>
            <w:tcBorders>
              <w:top w:val="single" w:sz="4" w:space="0" w:color="auto"/>
              <w:left w:val="nil"/>
              <w:bottom w:val="single" w:sz="4" w:space="0" w:color="auto"/>
              <w:right w:val="nil"/>
            </w:tcBorders>
          </w:tcPr>
          <w:p w:rsidR="00D35EA4" w:rsidRPr="00D35EA4" w:rsidRDefault="00D35EA4" w:rsidP="00D35EA4">
            <w:pPr>
              <w:jc w:val="right"/>
              <w:rPr>
                <w:rFonts w:eastAsiaTheme="minorEastAsia"/>
                <w:sz w:val="14"/>
                <w:szCs w:val="14"/>
              </w:rPr>
            </w:pPr>
            <w:r w:rsidRPr="00D35EA4">
              <w:rPr>
                <w:rFonts w:eastAsiaTheme="minorEastAsia"/>
                <w:sz w:val="14"/>
                <w:szCs w:val="14"/>
              </w:rPr>
              <w:t>.0004</w:t>
            </w:r>
          </w:p>
          <w:p w:rsidR="00D35EA4" w:rsidRPr="00D35EA4" w:rsidRDefault="00D35EA4" w:rsidP="00D35EA4">
            <w:pPr>
              <w:jc w:val="right"/>
              <w:rPr>
                <w:rFonts w:eastAsiaTheme="minorEastAsia"/>
                <w:sz w:val="14"/>
                <w:szCs w:val="14"/>
              </w:rPr>
            </w:pPr>
            <w:r w:rsidRPr="00D35EA4">
              <w:rPr>
                <w:rFonts w:eastAsiaTheme="minorEastAsia"/>
                <w:sz w:val="14"/>
                <w:szCs w:val="14"/>
              </w:rPr>
              <w:t>.31</w:t>
            </w:r>
          </w:p>
          <w:p w:rsidR="00D35EA4" w:rsidRPr="00D35EA4" w:rsidRDefault="00D35EA4" w:rsidP="00D35EA4">
            <w:pPr>
              <w:jc w:val="right"/>
              <w:rPr>
                <w:rFonts w:eastAsiaTheme="minorEastAsia"/>
                <w:sz w:val="14"/>
                <w:szCs w:val="14"/>
              </w:rPr>
            </w:pPr>
            <w:r w:rsidRPr="00D35EA4">
              <w:rPr>
                <w:rFonts w:eastAsiaTheme="minorEastAsia"/>
                <w:sz w:val="14"/>
                <w:szCs w:val="14"/>
              </w:rPr>
              <w:t>.0001</w:t>
            </w:r>
          </w:p>
          <w:p w:rsidR="00D35EA4" w:rsidRPr="00D35EA4" w:rsidRDefault="00D35EA4" w:rsidP="00D35EA4">
            <w:pPr>
              <w:jc w:val="right"/>
              <w:rPr>
                <w:rFonts w:eastAsiaTheme="minorEastAsia"/>
                <w:sz w:val="14"/>
                <w:szCs w:val="14"/>
              </w:rPr>
            </w:pPr>
            <w:r w:rsidRPr="00D35EA4">
              <w:rPr>
                <w:rFonts w:eastAsiaTheme="minorEastAsia"/>
                <w:sz w:val="14"/>
                <w:szCs w:val="14"/>
              </w:rPr>
              <w:t>248</w:t>
            </w:r>
          </w:p>
          <w:p w:rsidR="00D35EA4" w:rsidRDefault="00D35EA4" w:rsidP="00D35EA4">
            <w:pPr>
              <w:jc w:val="right"/>
              <w:rPr>
                <w:rFonts w:eastAsiaTheme="minorEastAsia"/>
                <w:sz w:val="14"/>
                <w:szCs w:val="14"/>
              </w:rPr>
            </w:pPr>
            <w:r w:rsidRPr="00D35EA4">
              <w:rPr>
                <w:rFonts w:eastAsiaTheme="minorEastAsia"/>
                <w:sz w:val="14"/>
                <w:szCs w:val="14"/>
              </w:rPr>
              <w:t>65</w:t>
            </w:r>
          </w:p>
        </w:tc>
        <w:tc>
          <w:tcPr>
            <w:tcW w:w="2250" w:type="dxa"/>
            <w:tcBorders>
              <w:top w:val="single" w:sz="4" w:space="0" w:color="auto"/>
              <w:left w:val="nil"/>
              <w:bottom w:val="single" w:sz="4" w:space="0" w:color="auto"/>
            </w:tcBorders>
          </w:tcPr>
          <w:p w:rsidR="00D35EA4" w:rsidRPr="00D35EA4" w:rsidRDefault="00D35EA4" w:rsidP="00D35EA4">
            <w:pPr>
              <w:jc w:val="right"/>
              <w:rPr>
                <w:rFonts w:eastAsiaTheme="minorEastAsia"/>
                <w:sz w:val="14"/>
                <w:szCs w:val="14"/>
              </w:rPr>
            </w:pPr>
            <w:r w:rsidRPr="00D35EA4">
              <w:rPr>
                <w:rFonts w:eastAsiaTheme="minorEastAsia"/>
                <w:sz w:val="14"/>
                <w:szCs w:val="14"/>
              </w:rPr>
              <w:t>.0004</w:t>
            </w:r>
          </w:p>
          <w:p w:rsidR="00D35EA4" w:rsidRPr="00D35EA4" w:rsidRDefault="00D35EA4" w:rsidP="00D35EA4">
            <w:pPr>
              <w:jc w:val="right"/>
              <w:rPr>
                <w:rFonts w:eastAsiaTheme="minorEastAsia"/>
                <w:sz w:val="14"/>
                <w:szCs w:val="14"/>
              </w:rPr>
            </w:pPr>
            <w:r w:rsidRPr="00D35EA4">
              <w:rPr>
                <w:rFonts w:eastAsiaTheme="minorEastAsia"/>
                <w:sz w:val="14"/>
                <w:szCs w:val="14"/>
              </w:rPr>
              <w:t>.31</w:t>
            </w:r>
          </w:p>
          <w:p w:rsidR="00D35EA4" w:rsidRPr="00D35EA4" w:rsidRDefault="00D35EA4" w:rsidP="00D35EA4">
            <w:pPr>
              <w:jc w:val="right"/>
              <w:rPr>
                <w:rFonts w:eastAsiaTheme="minorEastAsia"/>
                <w:sz w:val="14"/>
                <w:szCs w:val="14"/>
              </w:rPr>
            </w:pPr>
            <w:r w:rsidRPr="00D35EA4">
              <w:rPr>
                <w:rFonts w:eastAsiaTheme="minorEastAsia"/>
                <w:sz w:val="14"/>
                <w:szCs w:val="14"/>
              </w:rPr>
              <w:t>.0001</w:t>
            </w:r>
          </w:p>
          <w:p w:rsidR="00D35EA4" w:rsidRPr="00D35EA4" w:rsidRDefault="00D35EA4" w:rsidP="00D35EA4">
            <w:pPr>
              <w:jc w:val="right"/>
              <w:rPr>
                <w:rFonts w:eastAsiaTheme="minorEastAsia"/>
                <w:sz w:val="14"/>
                <w:szCs w:val="14"/>
              </w:rPr>
            </w:pPr>
            <w:r w:rsidRPr="00D35EA4">
              <w:rPr>
                <w:rFonts w:eastAsiaTheme="minorEastAsia"/>
                <w:sz w:val="14"/>
                <w:szCs w:val="14"/>
              </w:rPr>
              <w:t>248</w:t>
            </w:r>
          </w:p>
          <w:p w:rsidR="00D35EA4" w:rsidRDefault="00D35EA4" w:rsidP="00D35EA4">
            <w:pPr>
              <w:jc w:val="right"/>
              <w:rPr>
                <w:rFonts w:eastAsiaTheme="minorEastAsia"/>
                <w:sz w:val="14"/>
                <w:szCs w:val="14"/>
              </w:rPr>
            </w:pPr>
            <w:r w:rsidRPr="00D35EA4">
              <w:rPr>
                <w:rFonts w:eastAsiaTheme="minorEastAsia"/>
                <w:sz w:val="14"/>
                <w:szCs w:val="14"/>
              </w:rPr>
              <w:t>65</w:t>
            </w:r>
          </w:p>
        </w:tc>
      </w:tr>
      <w:tr w:rsidR="00D35EA4" w:rsidTr="00D35EA4">
        <w:tc>
          <w:tcPr>
            <w:tcW w:w="2121" w:type="dxa"/>
            <w:tcBorders>
              <w:top w:val="single" w:sz="4" w:space="0" w:color="auto"/>
              <w:left w:val="nil"/>
              <w:bottom w:val="nil"/>
              <w:right w:val="nil"/>
            </w:tcBorders>
          </w:tcPr>
          <w:p w:rsidR="00D35EA4" w:rsidRDefault="00D35EA4" w:rsidP="00D35EA4">
            <w:pPr>
              <w:rPr>
                <w:rFonts w:eastAsiaTheme="minorEastAsia"/>
                <w:sz w:val="16"/>
                <w:szCs w:val="16"/>
              </w:rPr>
            </w:pPr>
          </w:p>
        </w:tc>
        <w:tc>
          <w:tcPr>
            <w:tcW w:w="1659" w:type="dxa"/>
            <w:tcBorders>
              <w:top w:val="single" w:sz="4" w:space="0" w:color="auto"/>
              <w:left w:val="nil"/>
              <w:bottom w:val="nil"/>
              <w:right w:val="nil"/>
            </w:tcBorders>
          </w:tcPr>
          <w:p w:rsidR="00D35EA4" w:rsidRDefault="00D35EA4" w:rsidP="00D35EA4">
            <w:pPr>
              <w:jc w:val="right"/>
              <w:rPr>
                <w:rFonts w:eastAsiaTheme="minorEastAsia"/>
                <w:sz w:val="14"/>
                <w:szCs w:val="14"/>
              </w:rPr>
            </w:pPr>
          </w:p>
        </w:tc>
        <w:tc>
          <w:tcPr>
            <w:tcW w:w="2070" w:type="dxa"/>
            <w:tcBorders>
              <w:top w:val="single" w:sz="4" w:space="0" w:color="auto"/>
              <w:left w:val="nil"/>
              <w:bottom w:val="nil"/>
              <w:right w:val="nil"/>
            </w:tcBorders>
          </w:tcPr>
          <w:p w:rsidR="00D35EA4" w:rsidRDefault="00D35EA4" w:rsidP="00D35EA4">
            <w:pPr>
              <w:jc w:val="right"/>
              <w:rPr>
                <w:rFonts w:eastAsiaTheme="minorEastAsia"/>
                <w:sz w:val="14"/>
                <w:szCs w:val="14"/>
              </w:rPr>
            </w:pPr>
          </w:p>
        </w:tc>
        <w:tc>
          <w:tcPr>
            <w:tcW w:w="2250" w:type="dxa"/>
            <w:tcBorders>
              <w:top w:val="single" w:sz="4" w:space="0" w:color="auto"/>
              <w:left w:val="nil"/>
              <w:bottom w:val="nil"/>
              <w:right w:val="nil"/>
            </w:tcBorders>
          </w:tcPr>
          <w:p w:rsidR="00D35EA4" w:rsidRDefault="00D35EA4" w:rsidP="00D35EA4">
            <w:pPr>
              <w:jc w:val="right"/>
              <w:rPr>
                <w:rFonts w:eastAsiaTheme="minorEastAsia"/>
                <w:sz w:val="14"/>
                <w:szCs w:val="14"/>
              </w:rPr>
            </w:pPr>
          </w:p>
        </w:tc>
      </w:tr>
      <w:tr w:rsidR="00D35EA4" w:rsidTr="00D35EA4">
        <w:tc>
          <w:tcPr>
            <w:tcW w:w="2121" w:type="dxa"/>
            <w:tcBorders>
              <w:top w:val="nil"/>
              <w:left w:val="nil"/>
              <w:bottom w:val="nil"/>
              <w:right w:val="nil"/>
            </w:tcBorders>
          </w:tcPr>
          <w:p w:rsidR="00D35EA4" w:rsidRDefault="00D35EA4" w:rsidP="00D35EA4">
            <w:pPr>
              <w:rPr>
                <w:rFonts w:eastAsiaTheme="minorEastAsia"/>
                <w:sz w:val="16"/>
                <w:szCs w:val="16"/>
              </w:rPr>
            </w:pPr>
          </w:p>
        </w:tc>
        <w:tc>
          <w:tcPr>
            <w:tcW w:w="1659" w:type="dxa"/>
            <w:tcBorders>
              <w:top w:val="nil"/>
              <w:left w:val="nil"/>
              <w:bottom w:val="nil"/>
              <w:right w:val="nil"/>
            </w:tcBorders>
          </w:tcPr>
          <w:p w:rsidR="00D35EA4" w:rsidRDefault="00D35EA4" w:rsidP="00D35EA4">
            <w:pPr>
              <w:jc w:val="right"/>
              <w:rPr>
                <w:rFonts w:eastAsiaTheme="minorEastAsia"/>
                <w:sz w:val="14"/>
                <w:szCs w:val="14"/>
              </w:rPr>
            </w:pPr>
          </w:p>
        </w:tc>
        <w:tc>
          <w:tcPr>
            <w:tcW w:w="2070" w:type="dxa"/>
            <w:tcBorders>
              <w:top w:val="nil"/>
              <w:left w:val="nil"/>
              <w:bottom w:val="nil"/>
              <w:right w:val="nil"/>
            </w:tcBorders>
          </w:tcPr>
          <w:p w:rsidR="00D35EA4" w:rsidRDefault="00D35EA4" w:rsidP="00D35EA4">
            <w:pPr>
              <w:jc w:val="right"/>
              <w:rPr>
                <w:rFonts w:eastAsiaTheme="minorEastAsia"/>
                <w:sz w:val="14"/>
                <w:szCs w:val="14"/>
              </w:rPr>
            </w:pPr>
          </w:p>
        </w:tc>
        <w:tc>
          <w:tcPr>
            <w:tcW w:w="2250" w:type="dxa"/>
            <w:tcBorders>
              <w:top w:val="nil"/>
              <w:left w:val="nil"/>
              <w:bottom w:val="nil"/>
              <w:right w:val="nil"/>
            </w:tcBorders>
          </w:tcPr>
          <w:p w:rsidR="00D35EA4" w:rsidRDefault="00D35EA4" w:rsidP="00D35EA4">
            <w:pPr>
              <w:jc w:val="right"/>
              <w:rPr>
                <w:rFonts w:eastAsiaTheme="minorEastAsia"/>
                <w:sz w:val="14"/>
                <w:szCs w:val="14"/>
              </w:rPr>
            </w:pPr>
          </w:p>
        </w:tc>
      </w:tr>
    </w:tbl>
    <w:p w:rsidR="00C226AF" w:rsidRPr="00C226AF" w:rsidRDefault="00A47A45" w:rsidP="00D35EA4">
      <w:pPr>
        <w:spacing w:line="480" w:lineRule="auto"/>
        <w:ind w:firstLine="720"/>
        <w:contextualSpacing/>
      </w:pPr>
      <w:r>
        <w:rPr>
          <w:rFonts w:eastAsiaTheme="minorEastAsia"/>
        </w:rPr>
        <w:t xml:space="preserve">I run </w:t>
      </w:r>
      <w:r w:rsidR="00C226AF">
        <w:rPr>
          <w:rFonts w:eastAsiaTheme="minorEastAsia"/>
        </w:rPr>
        <w:t>RE model</w:t>
      </w:r>
      <w:r>
        <w:rPr>
          <w:rFonts w:eastAsiaTheme="minorEastAsia"/>
        </w:rPr>
        <w:t>s</w:t>
      </w:r>
      <w:r w:rsidR="00C226AF">
        <w:rPr>
          <w:rFonts w:eastAsiaTheme="minorEastAsia"/>
        </w:rPr>
        <w:t xml:space="preserve"> for the log of incarceration rates for each of my primary independent variables </w:t>
      </w:r>
      <w:r w:rsidR="00C226AF" w:rsidRPr="00525FCF">
        <w:rPr>
          <w:rFonts w:eastAsiaTheme="minorEastAsia"/>
          <w:noProof/>
        </w:rPr>
        <w:t>and</w:t>
      </w:r>
      <w:r w:rsidR="00C226AF">
        <w:rPr>
          <w:rFonts w:eastAsiaTheme="minorEastAsia"/>
        </w:rPr>
        <w:t xml:space="preserve"> my contr</w:t>
      </w:r>
      <w:r w:rsidR="00D35EA4">
        <w:rPr>
          <w:rFonts w:eastAsiaTheme="minorEastAsia"/>
        </w:rPr>
        <w:t>ol variables</w:t>
      </w:r>
      <w:r w:rsidR="00C226AF">
        <w:t xml:space="preserve">. Inequality </w:t>
      </w:r>
      <w:r w:rsidR="00D35EA4">
        <w:t xml:space="preserve">and gross domestic product </w:t>
      </w:r>
      <w:r w:rsidR="00D35EA4">
        <w:lastRenderedPageBreak/>
        <w:t xml:space="preserve">per capita (logged) both </w:t>
      </w:r>
      <w:r w:rsidR="00C226AF">
        <w:t xml:space="preserve">fail to produce a significant coefficient. Democracy produces a positive and </w:t>
      </w:r>
      <w:r w:rsidR="00C226AF" w:rsidRPr="00525FCF">
        <w:rPr>
          <w:noProof/>
        </w:rPr>
        <w:t>significant</w:t>
      </w:r>
      <w:r w:rsidR="00C226AF">
        <w:t xml:space="preserve"> result (</w:t>
      </w:r>
      <w:r w:rsidR="00C226AF">
        <w:rPr>
          <w:i/>
        </w:rPr>
        <w:t>z</w:t>
      </w:r>
      <w:r w:rsidR="00D35EA4">
        <w:t xml:space="preserve"> = 3.52</w:t>
      </w:r>
      <w:r w:rsidR="00C226AF">
        <w:t xml:space="preserve">, </w:t>
      </w:r>
      <w:r w:rsidR="00C226AF">
        <w:rPr>
          <w:i/>
        </w:rPr>
        <w:t>p</w:t>
      </w:r>
      <w:r w:rsidR="00D35EA4">
        <w:t xml:space="preserve"> &lt;</w:t>
      </w:r>
      <w:r w:rsidR="00C226AF">
        <w:t xml:space="preserve"> .001). The following control variables produce positive and significant coefficients: percent of population between the ages of 15 and 64 (</w:t>
      </w:r>
      <w:r w:rsidR="00C226AF">
        <w:rPr>
          <w:i/>
        </w:rPr>
        <w:t>z</w:t>
      </w:r>
      <w:r w:rsidR="00D35EA4">
        <w:t xml:space="preserve"> = 2.07</w:t>
      </w:r>
      <w:r w:rsidR="00C226AF">
        <w:t xml:space="preserve">, </w:t>
      </w:r>
      <w:r w:rsidR="00C226AF">
        <w:rPr>
          <w:i/>
        </w:rPr>
        <w:t>p</w:t>
      </w:r>
      <w:r w:rsidR="00D35EA4">
        <w:t xml:space="preserve"> &lt;.05</w:t>
      </w:r>
      <w:r w:rsidR="00C226AF">
        <w:t>), percentage of the population residing in urban areas (</w:t>
      </w:r>
      <w:r w:rsidR="00C226AF">
        <w:rPr>
          <w:i/>
        </w:rPr>
        <w:t>z</w:t>
      </w:r>
      <w:r w:rsidR="00D35EA4">
        <w:t xml:space="preserve"> = 2.97</w:t>
      </w:r>
      <w:r w:rsidR="00C226AF">
        <w:t xml:space="preserve">, </w:t>
      </w:r>
      <w:r w:rsidR="00C226AF">
        <w:rPr>
          <w:i/>
        </w:rPr>
        <w:t>p</w:t>
      </w:r>
      <w:r w:rsidR="00D35EA4">
        <w:t xml:space="preserve"> &lt; .0</w:t>
      </w:r>
      <w:r w:rsidR="00C226AF">
        <w:t>1), percentage of the population having completed secondary education (</w:t>
      </w:r>
      <w:r w:rsidR="00C226AF">
        <w:rPr>
          <w:i/>
        </w:rPr>
        <w:t xml:space="preserve">z </w:t>
      </w:r>
      <w:r w:rsidR="00D35EA4">
        <w:t>= 2.68</w:t>
      </w:r>
      <w:r w:rsidR="00C226AF">
        <w:t xml:space="preserve">, </w:t>
      </w:r>
      <w:r w:rsidR="00C226AF">
        <w:rPr>
          <w:i/>
        </w:rPr>
        <w:t>p</w:t>
      </w:r>
      <w:r w:rsidR="00D35EA4">
        <w:t xml:space="preserve"> &lt; .01).</w:t>
      </w:r>
      <w:r w:rsidR="00C226AF">
        <w:t xml:space="preserve"> Physical integrity rights</w:t>
      </w:r>
      <w:r w:rsidR="00D35EA4">
        <w:t xml:space="preserve">, homicide </w:t>
      </w:r>
      <w:r w:rsidR="00D35EA4" w:rsidRPr="00295E9C">
        <w:rPr>
          <w:noProof/>
        </w:rPr>
        <w:t>rat</w:t>
      </w:r>
      <w:r w:rsidR="00D35EA4">
        <w:t xml:space="preserve">es (logged), and ethnic fractionalization </w:t>
      </w:r>
      <w:r w:rsidR="00C226AF">
        <w:t xml:space="preserve">fail to produce significant results. </w:t>
      </w:r>
      <w:r w:rsidR="00D35EA4">
        <w:t>Drug offense rates (logged) produce a positive and significant coefficient (</w:t>
      </w:r>
      <w:r w:rsidR="00D35EA4" w:rsidRPr="00D35EA4">
        <w:rPr>
          <w:i/>
        </w:rPr>
        <w:t>z</w:t>
      </w:r>
      <w:r w:rsidR="00D35EA4">
        <w:t xml:space="preserve"> = 4.89, </w:t>
      </w:r>
      <w:r w:rsidR="00D35EA4">
        <w:rPr>
          <w:i/>
        </w:rPr>
        <w:t xml:space="preserve">p </w:t>
      </w:r>
      <w:r w:rsidR="00D35EA4">
        <w:t>&lt; .001) and t</w:t>
      </w:r>
      <w:r w:rsidR="00C226AF" w:rsidRPr="00D35EA4">
        <w:t>he</w:t>
      </w:r>
      <w:r w:rsidR="00C226AF">
        <w:t xml:space="preserve"> percentage of the population that is male produces a negative and significant coefficient (</w:t>
      </w:r>
      <w:r w:rsidR="00C226AF">
        <w:rPr>
          <w:i/>
        </w:rPr>
        <w:t>z</w:t>
      </w:r>
      <w:r w:rsidR="00D35EA4">
        <w:t xml:space="preserve"> = -4.23</w:t>
      </w:r>
      <w:r w:rsidR="00C226AF">
        <w:t xml:space="preserve">, </w:t>
      </w:r>
      <w:r w:rsidR="00C226AF">
        <w:rPr>
          <w:i/>
        </w:rPr>
        <w:t>p</w:t>
      </w:r>
      <w:r w:rsidR="00D35EA4">
        <w:t xml:space="preserve"> &lt; .001).</w:t>
      </w:r>
    </w:p>
    <w:p w:rsidR="00C226AF" w:rsidRDefault="00C226AF" w:rsidP="00C226AF">
      <w:pPr>
        <w:spacing w:line="480" w:lineRule="auto"/>
        <w:ind w:firstLine="720"/>
        <w:contextualSpacing/>
      </w:pPr>
      <w:r>
        <w:br w:type="page"/>
      </w:r>
    </w:p>
    <w:p w:rsidR="00C226AF" w:rsidRDefault="00C226AF"/>
    <w:tbl>
      <w:tblPr>
        <w:tblStyle w:val="TableGrid5"/>
        <w:tblW w:w="8730" w:type="dxa"/>
        <w:tblLayout w:type="fixed"/>
        <w:tblLook w:val="02A0" w:firstRow="1" w:lastRow="0" w:firstColumn="1" w:lastColumn="0" w:noHBand="1" w:noVBand="0"/>
      </w:tblPr>
      <w:tblGrid>
        <w:gridCol w:w="306"/>
        <w:gridCol w:w="306"/>
        <w:gridCol w:w="432"/>
        <w:gridCol w:w="432"/>
        <w:gridCol w:w="432"/>
        <w:gridCol w:w="432"/>
        <w:gridCol w:w="432"/>
        <w:gridCol w:w="432"/>
        <w:gridCol w:w="432"/>
        <w:gridCol w:w="432"/>
        <w:gridCol w:w="432"/>
        <w:gridCol w:w="432"/>
        <w:gridCol w:w="432"/>
        <w:gridCol w:w="432"/>
        <w:gridCol w:w="954"/>
        <w:gridCol w:w="1980"/>
      </w:tblGrid>
      <w:tr w:rsidR="00C226AF" w:rsidRPr="00F810C6" w:rsidTr="00CB0261">
        <w:trPr>
          <w:trHeight w:val="890"/>
        </w:trPr>
        <w:tc>
          <w:tcPr>
            <w:tcW w:w="306" w:type="dxa"/>
            <w:vMerge w:val="restart"/>
            <w:tcBorders>
              <w:top w:val="nil"/>
              <w:left w:val="nil"/>
              <w:bottom w:val="nil"/>
            </w:tcBorders>
            <w:textDirection w:val="btLr"/>
          </w:tcPr>
          <w:p w:rsidR="00C226AF" w:rsidRPr="006425A0" w:rsidRDefault="00295E9C" w:rsidP="00CB0261">
            <w:pPr>
              <w:ind w:left="113" w:right="113"/>
              <w:rPr>
                <w:sz w:val="16"/>
                <w:szCs w:val="16"/>
              </w:rPr>
            </w:pPr>
            <w:r>
              <w:rPr>
                <w:sz w:val="16"/>
                <w:szCs w:val="16"/>
              </w:rPr>
              <w:t>Table 10</w:t>
            </w:r>
            <w:r w:rsidR="00C86B22">
              <w:rPr>
                <w:sz w:val="16"/>
                <w:szCs w:val="16"/>
              </w:rPr>
              <w:t>.</w:t>
            </w:r>
            <w:r w:rsidR="00C226AF">
              <w:rPr>
                <w:sz w:val="16"/>
                <w:szCs w:val="16"/>
              </w:rPr>
              <w:t xml:space="preserve"> RE Regression for each Explan</w:t>
            </w:r>
            <w:r w:rsidR="00C86B22">
              <w:rPr>
                <w:sz w:val="16"/>
                <w:szCs w:val="16"/>
              </w:rPr>
              <w:t>atory Variable</w:t>
            </w:r>
            <w:r w:rsidR="00C226AF">
              <w:rPr>
                <w:sz w:val="16"/>
                <w:szCs w:val="16"/>
              </w:rPr>
              <w:t xml:space="preserve">. </w:t>
            </w:r>
          </w:p>
        </w:tc>
        <w:tc>
          <w:tcPr>
            <w:tcW w:w="306" w:type="dxa"/>
            <w:tcBorders>
              <w:top w:val="single" w:sz="4" w:space="0" w:color="auto"/>
              <w:bottom w:val="nil"/>
            </w:tcBorders>
            <w:noWrap/>
            <w:textDirection w:val="btLr"/>
          </w:tcPr>
          <w:p w:rsidR="00C226AF" w:rsidRPr="00F810C6" w:rsidRDefault="00C226AF" w:rsidP="00CB0261">
            <w:pPr>
              <w:ind w:left="113" w:right="113"/>
              <w:jc w:val="right"/>
              <w:rPr>
                <w:sz w:val="14"/>
                <w:szCs w:val="14"/>
              </w:rPr>
            </w:pPr>
            <w:r>
              <w:rPr>
                <w:sz w:val="14"/>
                <w:szCs w:val="14"/>
              </w:rPr>
              <w:t>Model 11</w:t>
            </w:r>
          </w:p>
        </w:tc>
        <w:tc>
          <w:tcPr>
            <w:tcW w:w="432" w:type="dxa"/>
            <w:tcBorders>
              <w:top w:val="single" w:sz="4" w:space="0" w:color="auto"/>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single" w:sz="4" w:space="0" w:color="auto"/>
              <w:left w:val="nil"/>
              <w:bottom w:val="nil"/>
              <w:right w:val="nil"/>
            </w:tcBorders>
            <w:shd w:val="clear" w:color="auto" w:fill="FFFFFF" w:themeFill="background1"/>
            <w:noWrap/>
            <w:textDirection w:val="btLr"/>
          </w:tcPr>
          <w:p w:rsidR="00C226AF" w:rsidRDefault="00D35EA4" w:rsidP="00CB0261">
            <w:pPr>
              <w:ind w:left="113" w:right="113"/>
              <w:jc w:val="right"/>
              <w:rPr>
                <w:sz w:val="12"/>
                <w:szCs w:val="12"/>
              </w:rPr>
            </w:pPr>
            <w:r>
              <w:rPr>
                <w:sz w:val="12"/>
                <w:szCs w:val="12"/>
              </w:rPr>
              <w:t>.20</w:t>
            </w:r>
          </w:p>
          <w:p w:rsidR="00C226AF" w:rsidRPr="00F810C6" w:rsidRDefault="00C226AF" w:rsidP="00CB0261">
            <w:pPr>
              <w:ind w:left="113" w:right="113"/>
              <w:jc w:val="right"/>
              <w:rPr>
                <w:sz w:val="12"/>
                <w:szCs w:val="12"/>
              </w:rPr>
            </w:pPr>
            <w:r>
              <w:rPr>
                <w:sz w:val="12"/>
                <w:szCs w:val="12"/>
              </w:rPr>
              <w:t>(</w:t>
            </w:r>
            <w:r w:rsidR="00D35EA4">
              <w:rPr>
                <w:sz w:val="12"/>
                <w:szCs w:val="12"/>
              </w:rPr>
              <w:t>.31</w:t>
            </w:r>
            <w:r>
              <w:rPr>
                <w:sz w:val="12"/>
                <w:szCs w:val="12"/>
              </w:rPr>
              <w:t>)</w:t>
            </w:r>
          </w:p>
        </w:tc>
        <w:tc>
          <w:tcPr>
            <w:tcW w:w="432" w:type="dxa"/>
            <w:tcBorders>
              <w:top w:val="single" w:sz="4" w:space="0" w:color="auto"/>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single" w:sz="4" w:space="0" w:color="auto"/>
              <w:bottom w:val="nil"/>
            </w:tcBorders>
            <w:textDirection w:val="btLr"/>
          </w:tcPr>
          <w:p w:rsidR="00C226AF" w:rsidRDefault="00D35EA4" w:rsidP="00CB0261">
            <w:pPr>
              <w:ind w:left="113" w:right="113"/>
              <w:jc w:val="right"/>
              <w:rPr>
                <w:sz w:val="14"/>
                <w:szCs w:val="14"/>
              </w:rPr>
            </w:pPr>
            <w:r>
              <w:rPr>
                <w:sz w:val="14"/>
                <w:szCs w:val="14"/>
              </w:rPr>
              <w:t>.07</w:t>
            </w:r>
          </w:p>
          <w:p w:rsidR="00C226AF" w:rsidRDefault="00D35EA4" w:rsidP="00CB0261">
            <w:pPr>
              <w:ind w:left="113" w:right="113"/>
              <w:jc w:val="right"/>
              <w:rPr>
                <w:sz w:val="14"/>
                <w:szCs w:val="14"/>
              </w:rPr>
            </w:pPr>
            <w:r>
              <w:rPr>
                <w:sz w:val="14"/>
                <w:szCs w:val="14"/>
              </w:rPr>
              <w:t>.00</w:t>
            </w:r>
          </w:p>
          <w:p w:rsidR="00C226AF" w:rsidRDefault="00D35EA4" w:rsidP="00CB0261">
            <w:pPr>
              <w:ind w:left="113" w:right="113"/>
              <w:jc w:val="right"/>
              <w:rPr>
                <w:sz w:val="14"/>
                <w:szCs w:val="14"/>
              </w:rPr>
            </w:pPr>
            <w:r>
              <w:rPr>
                <w:sz w:val="14"/>
                <w:szCs w:val="14"/>
              </w:rPr>
              <w:t>.004</w:t>
            </w:r>
          </w:p>
          <w:p w:rsidR="00C226AF" w:rsidRDefault="00D35EA4" w:rsidP="00CB0261">
            <w:pPr>
              <w:ind w:left="113" w:right="113"/>
              <w:jc w:val="right"/>
              <w:rPr>
                <w:sz w:val="14"/>
                <w:szCs w:val="14"/>
              </w:rPr>
            </w:pPr>
            <w:r>
              <w:rPr>
                <w:sz w:val="14"/>
                <w:szCs w:val="14"/>
              </w:rPr>
              <w:t>325</w:t>
            </w:r>
          </w:p>
          <w:p w:rsidR="00C226AF" w:rsidRPr="00F810C6" w:rsidRDefault="00D35EA4" w:rsidP="00CB0261">
            <w:pPr>
              <w:ind w:left="113" w:right="113"/>
              <w:jc w:val="right"/>
              <w:rPr>
                <w:sz w:val="14"/>
                <w:szCs w:val="14"/>
              </w:rPr>
            </w:pPr>
            <w:r>
              <w:rPr>
                <w:sz w:val="14"/>
                <w:szCs w:val="14"/>
              </w:rPr>
              <w:t>77</w:t>
            </w:r>
          </w:p>
        </w:tc>
        <w:tc>
          <w:tcPr>
            <w:tcW w:w="1980" w:type="dxa"/>
            <w:vMerge w:val="restart"/>
            <w:tcBorders>
              <w:top w:val="nil"/>
              <w:bottom w:val="nil"/>
              <w:right w:val="nil"/>
            </w:tcBorders>
            <w:textDirection w:val="btLr"/>
          </w:tcPr>
          <w:p w:rsidR="00C226AF" w:rsidRDefault="00D35EA4" w:rsidP="00CB0261">
            <w:pPr>
              <w:ind w:left="113" w:right="113"/>
              <w:rPr>
                <w:sz w:val="14"/>
                <w:szCs w:val="14"/>
              </w:rPr>
            </w:pPr>
            <w:r>
              <w:rPr>
                <w:sz w:val="14"/>
                <w:szCs w:val="14"/>
              </w:rPr>
              <w:t>Note: a =</w:t>
            </w:r>
            <w:r w:rsidR="00C226AF" w:rsidRPr="00E30E81">
              <w:rPr>
                <w:sz w:val="14"/>
                <w:szCs w:val="14"/>
              </w:rPr>
              <w:t xml:space="preserve"> variable lo</w:t>
            </w:r>
            <w:r>
              <w:rPr>
                <w:sz w:val="14"/>
                <w:szCs w:val="14"/>
              </w:rPr>
              <w:t xml:space="preserve">gged; b </w:t>
            </w:r>
            <w:r w:rsidR="00C226AF">
              <w:rPr>
                <w:sz w:val="14"/>
                <w:szCs w:val="14"/>
              </w:rPr>
              <w:t>= * time (standardized)</w:t>
            </w:r>
          </w:p>
          <w:p w:rsidR="00C226AF" w:rsidRPr="00F810C6" w:rsidRDefault="00C226AF" w:rsidP="00CB0261">
            <w:pPr>
              <w:ind w:left="113" w:right="113"/>
              <w:rPr>
                <w:rFonts w:asciiTheme="minorHAnsi" w:hAnsiTheme="minorHAnsi" w:cstheme="minorBidi"/>
                <w:sz w:val="14"/>
                <w:szCs w:val="14"/>
              </w:rPr>
            </w:pPr>
            <w:r>
              <w:rPr>
                <w:sz w:val="14"/>
                <w:szCs w:val="14"/>
              </w:rPr>
              <w:t>+p&lt;.10; *p&lt;.05; **p&lt;.01; ***p&lt;.001.</w:t>
            </w:r>
          </w:p>
        </w:tc>
      </w:tr>
      <w:tr w:rsidR="00C226AF" w:rsidRPr="00F810C6" w:rsidTr="00CB0261">
        <w:trPr>
          <w:trHeight w:val="980"/>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C226AF" w:rsidRPr="00F810C6" w:rsidRDefault="00C226AF" w:rsidP="00CB0261">
            <w:pPr>
              <w:ind w:left="113" w:right="113"/>
              <w:jc w:val="right"/>
              <w:rPr>
                <w:sz w:val="14"/>
                <w:szCs w:val="14"/>
              </w:rPr>
            </w:pPr>
            <w:r>
              <w:rPr>
                <w:sz w:val="14"/>
                <w:szCs w:val="14"/>
              </w:rPr>
              <w:t>Model 10</w:t>
            </w:r>
          </w:p>
        </w:tc>
        <w:tc>
          <w:tcPr>
            <w:tcW w:w="432" w:type="dxa"/>
            <w:tcBorders>
              <w:top w:val="nil"/>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6425A0" w:rsidRDefault="00C226AF" w:rsidP="00CB0261">
            <w:pPr>
              <w:ind w:left="113" w:right="113"/>
              <w:jc w:val="right"/>
              <w:rPr>
                <w:sz w:val="12"/>
                <w:szCs w:val="12"/>
              </w:rPr>
            </w:pPr>
          </w:p>
        </w:tc>
        <w:tc>
          <w:tcPr>
            <w:tcW w:w="432" w:type="dxa"/>
            <w:tcBorders>
              <w:top w:val="nil"/>
              <w:left w:val="nil"/>
              <w:bottom w:val="nil"/>
              <w:right w:val="nil"/>
            </w:tcBorders>
            <w:textDirection w:val="btLr"/>
          </w:tcPr>
          <w:p w:rsidR="00C226AF" w:rsidRPr="00EA3315"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Default="00D35EA4" w:rsidP="00CB0261">
            <w:pPr>
              <w:ind w:left="113" w:right="113"/>
              <w:jc w:val="right"/>
              <w:rPr>
                <w:sz w:val="12"/>
                <w:szCs w:val="12"/>
              </w:rPr>
            </w:pPr>
            <w:r>
              <w:rPr>
                <w:sz w:val="12"/>
                <w:szCs w:val="12"/>
              </w:rPr>
              <w:t>-.19</w:t>
            </w:r>
            <w:r w:rsidR="00C226AF">
              <w:rPr>
                <w:sz w:val="12"/>
                <w:szCs w:val="12"/>
              </w:rPr>
              <w:t>***</w:t>
            </w:r>
          </w:p>
          <w:p w:rsidR="00C226AF" w:rsidRPr="00F810C6" w:rsidRDefault="00C226AF" w:rsidP="00CB0261">
            <w:pPr>
              <w:ind w:left="113" w:right="113"/>
              <w:jc w:val="right"/>
              <w:rPr>
                <w:sz w:val="12"/>
                <w:szCs w:val="12"/>
              </w:rPr>
            </w:pPr>
            <w:r>
              <w:rPr>
                <w:sz w:val="12"/>
                <w:szCs w:val="12"/>
              </w:rPr>
              <w:t>(</w:t>
            </w:r>
            <w:r w:rsidR="00D35EA4">
              <w:rPr>
                <w:sz w:val="12"/>
                <w:szCs w:val="12"/>
              </w:rPr>
              <w:t>.04</w:t>
            </w:r>
            <w:r>
              <w:rPr>
                <w:sz w:val="12"/>
                <w:szCs w:val="12"/>
              </w:rPr>
              <w:t>)</w:t>
            </w:r>
          </w:p>
        </w:tc>
        <w:tc>
          <w:tcPr>
            <w:tcW w:w="432" w:type="dxa"/>
            <w:tcBorders>
              <w:top w:val="nil"/>
              <w:left w:val="nil"/>
              <w:bottom w:val="nil"/>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nil"/>
            </w:tcBorders>
            <w:textDirection w:val="btLr"/>
          </w:tcPr>
          <w:p w:rsidR="00C226AF" w:rsidRDefault="00D35EA4" w:rsidP="00CB0261">
            <w:pPr>
              <w:ind w:left="113" w:right="113"/>
              <w:jc w:val="right"/>
              <w:rPr>
                <w:sz w:val="14"/>
                <w:szCs w:val="14"/>
              </w:rPr>
            </w:pPr>
            <w:r>
              <w:rPr>
                <w:sz w:val="14"/>
                <w:szCs w:val="14"/>
              </w:rPr>
              <w:t>.18</w:t>
            </w:r>
          </w:p>
          <w:p w:rsidR="00C226AF" w:rsidRDefault="00D35EA4" w:rsidP="00CB0261">
            <w:pPr>
              <w:ind w:left="113" w:right="113"/>
              <w:jc w:val="right"/>
              <w:rPr>
                <w:sz w:val="14"/>
                <w:szCs w:val="14"/>
              </w:rPr>
            </w:pPr>
            <w:r>
              <w:rPr>
                <w:sz w:val="14"/>
                <w:szCs w:val="14"/>
              </w:rPr>
              <w:t>.02</w:t>
            </w:r>
          </w:p>
          <w:p w:rsidR="00C226AF" w:rsidRDefault="00D35EA4" w:rsidP="00CB0261">
            <w:pPr>
              <w:ind w:left="113" w:right="113"/>
              <w:jc w:val="right"/>
              <w:rPr>
                <w:sz w:val="14"/>
                <w:szCs w:val="14"/>
              </w:rPr>
            </w:pPr>
            <w:r>
              <w:rPr>
                <w:sz w:val="14"/>
                <w:szCs w:val="14"/>
              </w:rPr>
              <w:t>.21</w:t>
            </w:r>
          </w:p>
          <w:p w:rsidR="00C226AF" w:rsidRDefault="00D35EA4" w:rsidP="00CB0261">
            <w:pPr>
              <w:ind w:left="113" w:right="113"/>
              <w:jc w:val="right"/>
              <w:rPr>
                <w:sz w:val="14"/>
                <w:szCs w:val="14"/>
              </w:rPr>
            </w:pPr>
            <w:r>
              <w:rPr>
                <w:sz w:val="14"/>
                <w:szCs w:val="14"/>
              </w:rPr>
              <w:t>325</w:t>
            </w:r>
          </w:p>
          <w:p w:rsidR="00C226AF" w:rsidRDefault="00D35EA4" w:rsidP="00CB0261">
            <w:pPr>
              <w:ind w:left="113" w:right="113"/>
              <w:jc w:val="right"/>
              <w:rPr>
                <w:sz w:val="14"/>
                <w:szCs w:val="14"/>
              </w:rPr>
            </w:pPr>
            <w:r>
              <w:rPr>
                <w:sz w:val="14"/>
                <w:szCs w:val="14"/>
              </w:rPr>
              <w:t>77</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890"/>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C226AF" w:rsidRPr="00F810C6" w:rsidRDefault="00C226AF" w:rsidP="00CB0261">
            <w:pPr>
              <w:ind w:left="113" w:right="113"/>
              <w:jc w:val="right"/>
              <w:rPr>
                <w:sz w:val="14"/>
                <w:szCs w:val="14"/>
              </w:rPr>
            </w:pPr>
            <w:r w:rsidRPr="00F810C6">
              <w:rPr>
                <w:sz w:val="14"/>
                <w:szCs w:val="14"/>
              </w:rPr>
              <w:t>Model 9</w:t>
            </w:r>
          </w:p>
        </w:tc>
        <w:tc>
          <w:tcPr>
            <w:tcW w:w="432" w:type="dxa"/>
            <w:tcBorders>
              <w:top w:val="nil"/>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6425A0" w:rsidRDefault="00C226AF" w:rsidP="00CB0261">
            <w:pPr>
              <w:ind w:left="113" w:right="113"/>
              <w:jc w:val="right"/>
              <w:rPr>
                <w:sz w:val="12"/>
                <w:szCs w:val="12"/>
              </w:rPr>
            </w:pPr>
          </w:p>
        </w:tc>
        <w:tc>
          <w:tcPr>
            <w:tcW w:w="432" w:type="dxa"/>
            <w:tcBorders>
              <w:top w:val="nil"/>
              <w:left w:val="nil"/>
              <w:bottom w:val="nil"/>
              <w:right w:val="nil"/>
            </w:tcBorders>
            <w:textDirection w:val="btLr"/>
          </w:tcPr>
          <w:p w:rsidR="00C226AF" w:rsidRDefault="00D35EA4" w:rsidP="00CB0261">
            <w:pPr>
              <w:ind w:left="113" w:right="113"/>
              <w:jc w:val="right"/>
              <w:rPr>
                <w:sz w:val="12"/>
                <w:szCs w:val="12"/>
              </w:rPr>
            </w:pPr>
            <w:r>
              <w:rPr>
                <w:sz w:val="12"/>
                <w:szCs w:val="12"/>
              </w:rPr>
              <w:t>..08***</w:t>
            </w:r>
          </w:p>
          <w:p w:rsidR="00C226AF" w:rsidRPr="00F810C6" w:rsidRDefault="00C226AF" w:rsidP="00CB0261">
            <w:pPr>
              <w:ind w:left="113" w:right="113"/>
              <w:jc w:val="right"/>
              <w:rPr>
                <w:sz w:val="12"/>
                <w:szCs w:val="12"/>
              </w:rPr>
            </w:pPr>
            <w:r>
              <w:rPr>
                <w:sz w:val="12"/>
                <w:szCs w:val="12"/>
              </w:rPr>
              <w:t>(</w:t>
            </w:r>
            <w:r w:rsidR="00D35EA4">
              <w:rPr>
                <w:sz w:val="12"/>
                <w:szCs w:val="12"/>
              </w:rPr>
              <w:t>.02</w:t>
            </w:r>
            <w:r>
              <w:rPr>
                <w:sz w:val="12"/>
                <w:szCs w:val="12"/>
              </w:rPr>
              <w:t>)</w:t>
            </w: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nil"/>
            </w:tcBorders>
            <w:textDirection w:val="btLr"/>
          </w:tcPr>
          <w:p w:rsidR="00C226AF" w:rsidRDefault="00D35EA4" w:rsidP="00CB0261">
            <w:pPr>
              <w:ind w:left="113" w:right="113"/>
              <w:jc w:val="right"/>
              <w:rPr>
                <w:sz w:val="14"/>
                <w:szCs w:val="14"/>
              </w:rPr>
            </w:pPr>
            <w:r>
              <w:rPr>
                <w:sz w:val="14"/>
                <w:szCs w:val="14"/>
              </w:rPr>
              <w:t>.02</w:t>
            </w:r>
          </w:p>
          <w:p w:rsidR="00C226AF" w:rsidRDefault="00D35EA4" w:rsidP="00CB0261">
            <w:pPr>
              <w:ind w:left="113" w:right="113"/>
              <w:jc w:val="right"/>
              <w:rPr>
                <w:sz w:val="14"/>
                <w:szCs w:val="14"/>
              </w:rPr>
            </w:pPr>
            <w:r>
              <w:rPr>
                <w:sz w:val="14"/>
                <w:szCs w:val="14"/>
              </w:rPr>
              <w:t>.08</w:t>
            </w:r>
          </w:p>
          <w:p w:rsidR="00C226AF" w:rsidRDefault="00D35EA4" w:rsidP="00CB0261">
            <w:pPr>
              <w:ind w:left="113" w:right="113"/>
              <w:jc w:val="right"/>
              <w:rPr>
                <w:sz w:val="14"/>
                <w:szCs w:val="14"/>
              </w:rPr>
            </w:pPr>
            <w:r>
              <w:rPr>
                <w:sz w:val="14"/>
                <w:szCs w:val="14"/>
              </w:rPr>
              <w:t>.06</w:t>
            </w:r>
          </w:p>
          <w:p w:rsidR="00C226AF" w:rsidRDefault="00D35EA4" w:rsidP="00CB0261">
            <w:pPr>
              <w:ind w:left="113" w:right="113"/>
              <w:jc w:val="right"/>
              <w:rPr>
                <w:sz w:val="14"/>
                <w:szCs w:val="14"/>
              </w:rPr>
            </w:pPr>
            <w:r>
              <w:rPr>
                <w:sz w:val="14"/>
                <w:szCs w:val="14"/>
              </w:rPr>
              <w:t>325</w:t>
            </w:r>
          </w:p>
          <w:p w:rsidR="00C226AF" w:rsidRDefault="00D35EA4" w:rsidP="00CB0261">
            <w:pPr>
              <w:ind w:left="113" w:right="113"/>
              <w:jc w:val="right"/>
              <w:rPr>
                <w:sz w:val="14"/>
                <w:szCs w:val="14"/>
              </w:rPr>
            </w:pPr>
            <w:r>
              <w:rPr>
                <w:sz w:val="14"/>
                <w:szCs w:val="14"/>
              </w:rPr>
              <w:t>77</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890"/>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C226AF" w:rsidRPr="00F810C6" w:rsidRDefault="00C226AF" w:rsidP="00CB0261">
            <w:pPr>
              <w:ind w:left="113" w:right="113"/>
              <w:jc w:val="right"/>
              <w:rPr>
                <w:sz w:val="14"/>
                <w:szCs w:val="14"/>
              </w:rPr>
            </w:pPr>
            <w:r w:rsidRPr="00F810C6">
              <w:rPr>
                <w:sz w:val="14"/>
                <w:szCs w:val="14"/>
              </w:rPr>
              <w:t>Model 8</w:t>
            </w:r>
          </w:p>
        </w:tc>
        <w:tc>
          <w:tcPr>
            <w:tcW w:w="432" w:type="dxa"/>
            <w:tcBorders>
              <w:top w:val="nil"/>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D35EA4" w:rsidRDefault="00D35EA4" w:rsidP="00D35EA4">
            <w:pPr>
              <w:ind w:left="113" w:right="113"/>
              <w:jc w:val="right"/>
              <w:rPr>
                <w:sz w:val="12"/>
                <w:szCs w:val="12"/>
              </w:rPr>
            </w:pPr>
            <w:r>
              <w:rPr>
                <w:sz w:val="12"/>
                <w:szCs w:val="12"/>
              </w:rPr>
              <w:t>.02</w:t>
            </w:r>
            <w:r w:rsidR="00C226AF" w:rsidRPr="00067DB2">
              <w:rPr>
                <w:sz w:val="12"/>
                <w:szCs w:val="12"/>
              </w:rPr>
              <w:t xml:space="preserve"> </w:t>
            </w:r>
          </w:p>
          <w:p w:rsidR="00C226AF" w:rsidRPr="00F810C6" w:rsidRDefault="00C226AF" w:rsidP="00D35EA4">
            <w:pPr>
              <w:ind w:left="113" w:right="113"/>
              <w:jc w:val="right"/>
              <w:rPr>
                <w:sz w:val="12"/>
                <w:szCs w:val="12"/>
              </w:rPr>
            </w:pPr>
            <w:r>
              <w:rPr>
                <w:sz w:val="12"/>
                <w:szCs w:val="12"/>
              </w:rPr>
              <w:t>(</w:t>
            </w:r>
            <w:r w:rsidR="00D35EA4">
              <w:rPr>
                <w:sz w:val="12"/>
                <w:szCs w:val="12"/>
              </w:rPr>
              <w:t>.04</w:t>
            </w:r>
            <w:r>
              <w:rPr>
                <w:sz w:val="12"/>
                <w:szCs w:val="12"/>
              </w:rPr>
              <w:t>)</w:t>
            </w:r>
          </w:p>
        </w:tc>
        <w:tc>
          <w:tcPr>
            <w:tcW w:w="432" w:type="dxa"/>
            <w:tcBorders>
              <w:top w:val="nil"/>
              <w:left w:val="nil"/>
              <w:bottom w:val="nil"/>
              <w:right w:val="nil"/>
            </w:tcBorders>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nil"/>
            </w:tcBorders>
            <w:textDirection w:val="btLr"/>
          </w:tcPr>
          <w:p w:rsidR="00C226AF" w:rsidRDefault="00D35EA4" w:rsidP="00CB0261">
            <w:pPr>
              <w:ind w:left="113" w:right="113"/>
              <w:jc w:val="right"/>
              <w:rPr>
                <w:sz w:val="14"/>
                <w:szCs w:val="14"/>
              </w:rPr>
            </w:pPr>
            <w:r>
              <w:rPr>
                <w:sz w:val="14"/>
                <w:szCs w:val="14"/>
              </w:rPr>
              <w:t>.17</w:t>
            </w:r>
          </w:p>
          <w:p w:rsidR="00C226AF" w:rsidRDefault="00D35EA4" w:rsidP="00CB0261">
            <w:pPr>
              <w:ind w:left="113" w:right="113"/>
              <w:jc w:val="right"/>
              <w:rPr>
                <w:sz w:val="14"/>
                <w:szCs w:val="14"/>
              </w:rPr>
            </w:pPr>
            <w:r>
              <w:rPr>
                <w:sz w:val="14"/>
                <w:szCs w:val="14"/>
              </w:rPr>
              <w:t>.04</w:t>
            </w:r>
          </w:p>
          <w:p w:rsidR="00C226AF" w:rsidRDefault="00D35EA4" w:rsidP="00CB0261">
            <w:pPr>
              <w:ind w:left="113" w:right="113"/>
              <w:jc w:val="right"/>
              <w:rPr>
                <w:sz w:val="14"/>
                <w:szCs w:val="14"/>
              </w:rPr>
            </w:pPr>
            <w:r>
              <w:rPr>
                <w:sz w:val="14"/>
                <w:szCs w:val="14"/>
              </w:rPr>
              <w:t>.09</w:t>
            </w:r>
          </w:p>
          <w:p w:rsidR="00C226AF" w:rsidRDefault="00D35EA4" w:rsidP="00CB0261">
            <w:pPr>
              <w:ind w:left="113" w:right="113"/>
              <w:jc w:val="right"/>
              <w:rPr>
                <w:sz w:val="14"/>
                <w:szCs w:val="14"/>
              </w:rPr>
            </w:pPr>
            <w:r>
              <w:rPr>
                <w:sz w:val="14"/>
                <w:szCs w:val="14"/>
              </w:rPr>
              <w:t>325</w:t>
            </w:r>
          </w:p>
          <w:p w:rsidR="00C226AF" w:rsidRPr="00F810C6" w:rsidRDefault="00D35EA4" w:rsidP="00CB0261">
            <w:pPr>
              <w:ind w:left="113" w:right="113"/>
              <w:jc w:val="right"/>
              <w:rPr>
                <w:sz w:val="14"/>
                <w:szCs w:val="14"/>
              </w:rPr>
            </w:pPr>
            <w:r>
              <w:rPr>
                <w:sz w:val="14"/>
                <w:szCs w:val="14"/>
              </w:rPr>
              <w:t>77</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980"/>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C226AF" w:rsidRPr="00F810C6" w:rsidRDefault="00C226AF" w:rsidP="00CB0261">
            <w:pPr>
              <w:ind w:left="113" w:right="113"/>
              <w:jc w:val="right"/>
              <w:rPr>
                <w:sz w:val="14"/>
                <w:szCs w:val="14"/>
              </w:rPr>
            </w:pPr>
            <w:r w:rsidRPr="00F810C6">
              <w:rPr>
                <w:sz w:val="14"/>
                <w:szCs w:val="14"/>
              </w:rPr>
              <w:t>Model 7</w:t>
            </w:r>
          </w:p>
        </w:tc>
        <w:tc>
          <w:tcPr>
            <w:tcW w:w="432" w:type="dxa"/>
            <w:tcBorders>
              <w:top w:val="nil"/>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Default="00C226AF" w:rsidP="00CB0261">
            <w:pPr>
              <w:ind w:left="113" w:right="113"/>
              <w:jc w:val="right"/>
              <w:rPr>
                <w:sz w:val="12"/>
                <w:szCs w:val="12"/>
              </w:rPr>
            </w:pPr>
            <w:r w:rsidRPr="00B122EA">
              <w:rPr>
                <w:sz w:val="12"/>
                <w:szCs w:val="12"/>
              </w:rPr>
              <w:t>.</w:t>
            </w:r>
            <w:r>
              <w:t xml:space="preserve"> </w:t>
            </w:r>
            <w:r w:rsidR="00D35EA4">
              <w:rPr>
                <w:sz w:val="12"/>
                <w:szCs w:val="12"/>
              </w:rPr>
              <w:t>.01</w:t>
            </w:r>
            <w:r>
              <w:rPr>
                <w:sz w:val="12"/>
                <w:szCs w:val="12"/>
              </w:rPr>
              <w:t>**</w:t>
            </w:r>
          </w:p>
          <w:p w:rsidR="00C226AF" w:rsidRPr="00F810C6" w:rsidRDefault="00C226AF" w:rsidP="00CB0261">
            <w:pPr>
              <w:ind w:left="113" w:right="113"/>
              <w:jc w:val="right"/>
              <w:rPr>
                <w:sz w:val="12"/>
                <w:szCs w:val="12"/>
              </w:rPr>
            </w:pPr>
            <w:r>
              <w:rPr>
                <w:sz w:val="12"/>
                <w:szCs w:val="12"/>
              </w:rPr>
              <w:t>(</w:t>
            </w:r>
            <w:r w:rsidR="00D35EA4">
              <w:rPr>
                <w:sz w:val="12"/>
                <w:szCs w:val="12"/>
              </w:rPr>
              <w:t>.003</w:t>
            </w:r>
            <w:r>
              <w:rPr>
                <w:sz w:val="12"/>
                <w:szCs w:val="12"/>
              </w:rPr>
              <w:t>)</w:t>
            </w: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nil"/>
            </w:tcBorders>
            <w:textDirection w:val="btLr"/>
          </w:tcPr>
          <w:p w:rsidR="00C226AF" w:rsidRDefault="00D35EA4" w:rsidP="00CB0261">
            <w:pPr>
              <w:ind w:left="113" w:right="113"/>
              <w:jc w:val="right"/>
              <w:rPr>
                <w:sz w:val="14"/>
                <w:szCs w:val="14"/>
              </w:rPr>
            </w:pPr>
            <w:r>
              <w:rPr>
                <w:sz w:val="14"/>
                <w:szCs w:val="14"/>
              </w:rPr>
              <w:t>.03</w:t>
            </w:r>
          </w:p>
          <w:p w:rsidR="00C226AF" w:rsidRDefault="00D35EA4" w:rsidP="00CB0261">
            <w:pPr>
              <w:ind w:left="113" w:right="113"/>
              <w:jc w:val="right"/>
              <w:rPr>
                <w:sz w:val="14"/>
                <w:szCs w:val="14"/>
              </w:rPr>
            </w:pPr>
            <w:r>
              <w:rPr>
                <w:sz w:val="14"/>
                <w:szCs w:val="14"/>
              </w:rPr>
              <w:t>.02</w:t>
            </w:r>
          </w:p>
          <w:p w:rsidR="00C226AF" w:rsidRDefault="00D35EA4" w:rsidP="00CB0261">
            <w:pPr>
              <w:ind w:left="113" w:right="113"/>
              <w:jc w:val="right"/>
              <w:rPr>
                <w:sz w:val="14"/>
                <w:szCs w:val="14"/>
              </w:rPr>
            </w:pPr>
            <w:r>
              <w:rPr>
                <w:sz w:val="14"/>
                <w:szCs w:val="14"/>
              </w:rPr>
              <w:t>.07</w:t>
            </w:r>
          </w:p>
          <w:p w:rsidR="00C226AF" w:rsidRDefault="00D35EA4" w:rsidP="00CB0261">
            <w:pPr>
              <w:ind w:left="113" w:right="113"/>
              <w:jc w:val="right"/>
              <w:rPr>
                <w:sz w:val="14"/>
                <w:szCs w:val="14"/>
              </w:rPr>
            </w:pPr>
            <w:r>
              <w:rPr>
                <w:sz w:val="14"/>
                <w:szCs w:val="14"/>
              </w:rPr>
              <w:t>325</w:t>
            </w:r>
          </w:p>
          <w:p w:rsidR="00C226AF" w:rsidRPr="00F810C6" w:rsidRDefault="00D35EA4" w:rsidP="00CB0261">
            <w:pPr>
              <w:ind w:left="113" w:right="113"/>
              <w:jc w:val="right"/>
              <w:rPr>
                <w:sz w:val="14"/>
                <w:szCs w:val="14"/>
              </w:rPr>
            </w:pPr>
            <w:r>
              <w:rPr>
                <w:sz w:val="14"/>
                <w:szCs w:val="14"/>
              </w:rPr>
              <w:t>77</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890"/>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C226AF" w:rsidRPr="00F810C6" w:rsidRDefault="00C226AF" w:rsidP="00CB0261">
            <w:pPr>
              <w:ind w:left="113" w:right="113"/>
              <w:jc w:val="right"/>
              <w:rPr>
                <w:sz w:val="14"/>
                <w:szCs w:val="14"/>
              </w:rPr>
            </w:pPr>
            <w:r w:rsidRPr="00F810C6">
              <w:rPr>
                <w:sz w:val="14"/>
                <w:szCs w:val="14"/>
              </w:rPr>
              <w:t>Model 6</w:t>
            </w:r>
          </w:p>
        </w:tc>
        <w:tc>
          <w:tcPr>
            <w:tcW w:w="432" w:type="dxa"/>
            <w:tcBorders>
              <w:top w:val="nil"/>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D35EA4" w:rsidRDefault="00D35EA4" w:rsidP="00D35EA4">
            <w:pPr>
              <w:ind w:left="113" w:right="113"/>
              <w:jc w:val="right"/>
              <w:rPr>
                <w:sz w:val="12"/>
                <w:szCs w:val="12"/>
              </w:rPr>
            </w:pPr>
            <w:r>
              <w:rPr>
                <w:sz w:val="12"/>
                <w:szCs w:val="12"/>
              </w:rPr>
              <w:t>.01</w:t>
            </w:r>
          </w:p>
          <w:p w:rsidR="00C226AF" w:rsidRPr="00F810C6" w:rsidRDefault="00C226AF" w:rsidP="00D35EA4">
            <w:pPr>
              <w:ind w:left="113" w:right="113"/>
              <w:jc w:val="right"/>
              <w:rPr>
                <w:sz w:val="12"/>
                <w:szCs w:val="12"/>
              </w:rPr>
            </w:pPr>
            <w:r>
              <w:rPr>
                <w:sz w:val="12"/>
                <w:szCs w:val="12"/>
              </w:rPr>
              <w:t>(</w:t>
            </w:r>
            <w:r w:rsidR="00D35EA4">
              <w:rPr>
                <w:sz w:val="12"/>
                <w:szCs w:val="12"/>
              </w:rPr>
              <w:t>.01</w:t>
            </w:r>
            <w:r>
              <w:rPr>
                <w:sz w:val="12"/>
                <w:szCs w:val="12"/>
              </w:rPr>
              <w:t>)</w:t>
            </w: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nil"/>
            </w:tcBorders>
            <w:textDirection w:val="btLr"/>
          </w:tcPr>
          <w:p w:rsidR="00C226AF" w:rsidRDefault="00D35EA4" w:rsidP="00CB0261">
            <w:pPr>
              <w:ind w:left="113" w:right="113"/>
              <w:jc w:val="right"/>
              <w:rPr>
                <w:sz w:val="14"/>
                <w:szCs w:val="14"/>
              </w:rPr>
            </w:pPr>
            <w:r>
              <w:rPr>
                <w:sz w:val="14"/>
                <w:szCs w:val="14"/>
              </w:rPr>
              <w:t>.00</w:t>
            </w:r>
          </w:p>
          <w:p w:rsidR="00C226AF" w:rsidRDefault="00D35EA4" w:rsidP="00CB0261">
            <w:pPr>
              <w:ind w:left="113" w:right="113"/>
              <w:jc w:val="right"/>
              <w:rPr>
                <w:sz w:val="14"/>
                <w:szCs w:val="14"/>
              </w:rPr>
            </w:pPr>
            <w:r>
              <w:rPr>
                <w:sz w:val="14"/>
                <w:szCs w:val="14"/>
              </w:rPr>
              <w:t>.01</w:t>
            </w:r>
          </w:p>
          <w:p w:rsidR="00C226AF" w:rsidRDefault="00D35EA4" w:rsidP="00CB0261">
            <w:pPr>
              <w:ind w:left="113" w:right="113"/>
              <w:jc w:val="right"/>
              <w:rPr>
                <w:sz w:val="14"/>
                <w:szCs w:val="14"/>
              </w:rPr>
            </w:pPr>
            <w:r>
              <w:rPr>
                <w:sz w:val="14"/>
                <w:szCs w:val="14"/>
              </w:rPr>
              <w:t>.03</w:t>
            </w:r>
          </w:p>
          <w:p w:rsidR="00C226AF" w:rsidRDefault="00D35EA4" w:rsidP="00CB0261">
            <w:pPr>
              <w:ind w:left="113" w:right="113"/>
              <w:jc w:val="right"/>
              <w:rPr>
                <w:sz w:val="14"/>
                <w:szCs w:val="14"/>
              </w:rPr>
            </w:pPr>
            <w:r>
              <w:rPr>
                <w:sz w:val="14"/>
                <w:szCs w:val="14"/>
              </w:rPr>
              <w:t>325</w:t>
            </w:r>
          </w:p>
          <w:p w:rsidR="00C226AF" w:rsidRPr="00F810C6" w:rsidRDefault="00D35EA4" w:rsidP="00CB0261">
            <w:pPr>
              <w:ind w:left="113" w:right="113"/>
              <w:jc w:val="right"/>
              <w:rPr>
                <w:sz w:val="14"/>
                <w:szCs w:val="14"/>
              </w:rPr>
            </w:pPr>
            <w:r>
              <w:rPr>
                <w:sz w:val="14"/>
                <w:szCs w:val="14"/>
              </w:rPr>
              <w:t>77</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890"/>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C226AF" w:rsidRPr="00F810C6" w:rsidRDefault="00C226AF" w:rsidP="00CB0261">
            <w:pPr>
              <w:ind w:left="113" w:right="113"/>
              <w:jc w:val="right"/>
              <w:rPr>
                <w:sz w:val="14"/>
                <w:szCs w:val="14"/>
              </w:rPr>
            </w:pPr>
            <w:r w:rsidRPr="00F810C6">
              <w:rPr>
                <w:sz w:val="14"/>
                <w:szCs w:val="14"/>
              </w:rPr>
              <w:t>Model 5</w:t>
            </w:r>
          </w:p>
        </w:tc>
        <w:tc>
          <w:tcPr>
            <w:tcW w:w="432" w:type="dxa"/>
            <w:tcBorders>
              <w:top w:val="nil"/>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Default="00D35EA4" w:rsidP="00CB0261">
            <w:pPr>
              <w:ind w:left="113" w:right="113"/>
              <w:jc w:val="right"/>
              <w:rPr>
                <w:sz w:val="12"/>
                <w:szCs w:val="12"/>
              </w:rPr>
            </w:pPr>
            <w:r>
              <w:rPr>
                <w:sz w:val="12"/>
                <w:szCs w:val="12"/>
              </w:rPr>
              <w:t>.01</w:t>
            </w:r>
            <w:r w:rsidR="00C226AF">
              <w:rPr>
                <w:sz w:val="12"/>
                <w:szCs w:val="12"/>
              </w:rPr>
              <w:t>**</w:t>
            </w:r>
          </w:p>
          <w:p w:rsidR="00C226AF" w:rsidRPr="00F810C6" w:rsidRDefault="00C226AF" w:rsidP="00CB0261">
            <w:pPr>
              <w:ind w:left="113" w:right="113"/>
              <w:jc w:val="right"/>
              <w:rPr>
                <w:sz w:val="12"/>
                <w:szCs w:val="12"/>
              </w:rPr>
            </w:pPr>
            <w:r>
              <w:rPr>
                <w:sz w:val="12"/>
                <w:szCs w:val="12"/>
              </w:rPr>
              <w:t>(</w:t>
            </w:r>
            <w:r w:rsidR="00D35EA4">
              <w:rPr>
                <w:sz w:val="12"/>
                <w:szCs w:val="12"/>
              </w:rPr>
              <w:t>.004</w:t>
            </w:r>
            <w:r>
              <w:rPr>
                <w:sz w:val="12"/>
                <w:szCs w:val="12"/>
              </w:rPr>
              <w:t>)</w:t>
            </w: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nil"/>
            </w:tcBorders>
            <w:textDirection w:val="btLr"/>
          </w:tcPr>
          <w:p w:rsidR="00C226AF" w:rsidRDefault="00D35EA4" w:rsidP="00CB0261">
            <w:pPr>
              <w:ind w:left="113" w:right="113"/>
              <w:jc w:val="right"/>
              <w:rPr>
                <w:sz w:val="14"/>
                <w:szCs w:val="14"/>
              </w:rPr>
            </w:pPr>
            <w:r>
              <w:rPr>
                <w:sz w:val="14"/>
                <w:szCs w:val="14"/>
              </w:rPr>
              <w:t>.003</w:t>
            </w:r>
          </w:p>
          <w:p w:rsidR="00C226AF" w:rsidRDefault="00D35EA4" w:rsidP="00CB0261">
            <w:pPr>
              <w:ind w:left="113" w:right="113"/>
              <w:jc w:val="right"/>
              <w:rPr>
                <w:sz w:val="14"/>
                <w:szCs w:val="14"/>
              </w:rPr>
            </w:pPr>
            <w:r>
              <w:rPr>
                <w:sz w:val="14"/>
                <w:szCs w:val="14"/>
              </w:rPr>
              <w:t>.11</w:t>
            </w:r>
          </w:p>
          <w:p w:rsidR="00C226AF" w:rsidRDefault="00D35EA4" w:rsidP="00CB0261">
            <w:pPr>
              <w:ind w:left="113" w:right="113"/>
              <w:jc w:val="right"/>
              <w:rPr>
                <w:sz w:val="14"/>
                <w:szCs w:val="14"/>
              </w:rPr>
            </w:pPr>
            <w:r>
              <w:rPr>
                <w:sz w:val="14"/>
                <w:szCs w:val="14"/>
              </w:rPr>
              <w:t>.04</w:t>
            </w:r>
          </w:p>
          <w:p w:rsidR="00C226AF" w:rsidRDefault="00D35EA4" w:rsidP="00CB0261">
            <w:pPr>
              <w:ind w:left="113" w:right="113"/>
              <w:jc w:val="right"/>
              <w:rPr>
                <w:sz w:val="14"/>
                <w:szCs w:val="14"/>
              </w:rPr>
            </w:pPr>
            <w:r>
              <w:rPr>
                <w:sz w:val="14"/>
                <w:szCs w:val="14"/>
              </w:rPr>
              <w:t>325</w:t>
            </w:r>
          </w:p>
          <w:p w:rsidR="00C226AF" w:rsidRPr="00F810C6" w:rsidRDefault="00D35EA4" w:rsidP="00CB0261">
            <w:pPr>
              <w:ind w:left="113" w:right="113"/>
              <w:jc w:val="right"/>
              <w:rPr>
                <w:sz w:val="14"/>
                <w:szCs w:val="14"/>
              </w:rPr>
            </w:pPr>
            <w:r>
              <w:rPr>
                <w:sz w:val="14"/>
                <w:szCs w:val="14"/>
              </w:rPr>
              <w:t>77</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926"/>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C226AF" w:rsidRPr="00F810C6" w:rsidRDefault="00C226AF" w:rsidP="00CB0261">
            <w:pPr>
              <w:ind w:left="113" w:right="113"/>
              <w:jc w:val="right"/>
              <w:rPr>
                <w:sz w:val="14"/>
                <w:szCs w:val="14"/>
              </w:rPr>
            </w:pPr>
            <w:r w:rsidRPr="00F810C6">
              <w:rPr>
                <w:sz w:val="14"/>
                <w:szCs w:val="14"/>
              </w:rPr>
              <w:t>Model 4</w:t>
            </w:r>
          </w:p>
        </w:tc>
        <w:tc>
          <w:tcPr>
            <w:tcW w:w="432" w:type="dxa"/>
            <w:tcBorders>
              <w:top w:val="nil"/>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Default="00D35EA4" w:rsidP="00CB0261">
            <w:pPr>
              <w:ind w:left="113" w:right="113"/>
              <w:jc w:val="right"/>
              <w:rPr>
                <w:sz w:val="12"/>
                <w:szCs w:val="12"/>
              </w:rPr>
            </w:pPr>
            <w:r>
              <w:rPr>
                <w:sz w:val="12"/>
                <w:szCs w:val="12"/>
              </w:rPr>
              <w:t>.02</w:t>
            </w:r>
            <w:r w:rsidR="00C226AF">
              <w:rPr>
                <w:sz w:val="12"/>
                <w:szCs w:val="12"/>
              </w:rPr>
              <w:t>*</w:t>
            </w:r>
          </w:p>
          <w:p w:rsidR="00C226AF" w:rsidRPr="00F810C6" w:rsidRDefault="00C226AF" w:rsidP="00CB0261">
            <w:pPr>
              <w:ind w:left="113" w:right="113"/>
              <w:jc w:val="right"/>
              <w:rPr>
                <w:sz w:val="12"/>
                <w:szCs w:val="12"/>
              </w:rPr>
            </w:pPr>
            <w:r>
              <w:rPr>
                <w:sz w:val="12"/>
                <w:szCs w:val="12"/>
              </w:rPr>
              <w:t>(</w:t>
            </w:r>
            <w:r w:rsidR="00D35EA4">
              <w:rPr>
                <w:sz w:val="12"/>
                <w:szCs w:val="12"/>
              </w:rPr>
              <w:t>.01</w:t>
            </w:r>
            <w:r>
              <w:rPr>
                <w:sz w:val="12"/>
                <w:szCs w:val="12"/>
              </w:rPr>
              <w:t>)</w:t>
            </w: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nil"/>
            </w:tcBorders>
            <w:textDirection w:val="btLr"/>
          </w:tcPr>
          <w:p w:rsidR="00C226AF" w:rsidRDefault="00D35EA4" w:rsidP="00CB0261">
            <w:pPr>
              <w:ind w:left="113" w:right="113"/>
              <w:jc w:val="right"/>
              <w:rPr>
                <w:sz w:val="14"/>
                <w:szCs w:val="14"/>
              </w:rPr>
            </w:pPr>
            <w:r>
              <w:rPr>
                <w:sz w:val="14"/>
                <w:szCs w:val="14"/>
              </w:rPr>
              <w:t>.03</w:t>
            </w:r>
          </w:p>
          <w:p w:rsidR="00C226AF" w:rsidRDefault="00D35EA4" w:rsidP="00CB0261">
            <w:pPr>
              <w:ind w:left="113" w:right="113"/>
              <w:jc w:val="right"/>
              <w:rPr>
                <w:sz w:val="14"/>
                <w:szCs w:val="14"/>
              </w:rPr>
            </w:pPr>
            <w:r>
              <w:rPr>
                <w:sz w:val="14"/>
                <w:szCs w:val="14"/>
              </w:rPr>
              <w:t>.002</w:t>
            </w:r>
          </w:p>
          <w:p w:rsidR="00C226AF" w:rsidRDefault="00D35EA4" w:rsidP="00CB0261">
            <w:pPr>
              <w:ind w:left="113" w:right="113"/>
              <w:jc w:val="right"/>
              <w:rPr>
                <w:sz w:val="14"/>
                <w:szCs w:val="14"/>
              </w:rPr>
            </w:pPr>
            <w:r>
              <w:rPr>
                <w:sz w:val="14"/>
                <w:szCs w:val="14"/>
              </w:rPr>
              <w:t>.06</w:t>
            </w:r>
          </w:p>
          <w:p w:rsidR="00C226AF" w:rsidRDefault="00D35EA4" w:rsidP="00CB0261">
            <w:pPr>
              <w:ind w:left="113" w:right="113"/>
              <w:jc w:val="right"/>
              <w:rPr>
                <w:sz w:val="14"/>
                <w:szCs w:val="14"/>
              </w:rPr>
            </w:pPr>
            <w:r>
              <w:rPr>
                <w:sz w:val="14"/>
                <w:szCs w:val="14"/>
              </w:rPr>
              <w:t>325</w:t>
            </w:r>
          </w:p>
          <w:p w:rsidR="00C226AF" w:rsidRPr="00F810C6" w:rsidRDefault="00D35EA4" w:rsidP="00CB0261">
            <w:pPr>
              <w:ind w:left="113" w:right="113"/>
              <w:jc w:val="right"/>
              <w:rPr>
                <w:sz w:val="14"/>
                <w:szCs w:val="14"/>
              </w:rPr>
            </w:pPr>
            <w:r>
              <w:rPr>
                <w:sz w:val="14"/>
                <w:szCs w:val="14"/>
              </w:rPr>
              <w:t>77</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872"/>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C226AF" w:rsidRPr="00F810C6" w:rsidRDefault="00C226AF" w:rsidP="00CB0261">
            <w:pPr>
              <w:ind w:left="113" w:right="113"/>
              <w:jc w:val="right"/>
              <w:rPr>
                <w:sz w:val="14"/>
                <w:szCs w:val="14"/>
              </w:rPr>
            </w:pPr>
            <w:r w:rsidRPr="00F810C6">
              <w:rPr>
                <w:sz w:val="14"/>
                <w:szCs w:val="14"/>
              </w:rPr>
              <w:t>Model 3</w:t>
            </w:r>
          </w:p>
        </w:tc>
        <w:tc>
          <w:tcPr>
            <w:tcW w:w="432" w:type="dxa"/>
            <w:tcBorders>
              <w:top w:val="nil"/>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D35EA4" w:rsidRDefault="00D35EA4" w:rsidP="00CB0261">
            <w:pPr>
              <w:ind w:left="113" w:right="113"/>
              <w:jc w:val="right"/>
              <w:rPr>
                <w:sz w:val="12"/>
                <w:szCs w:val="12"/>
              </w:rPr>
            </w:pPr>
            <w:r>
              <w:rPr>
                <w:sz w:val="12"/>
                <w:szCs w:val="12"/>
              </w:rPr>
              <w:t>.09</w:t>
            </w:r>
            <w:r w:rsidR="00C226AF">
              <w:rPr>
                <w:sz w:val="12"/>
                <w:szCs w:val="12"/>
              </w:rPr>
              <w:t>***</w:t>
            </w:r>
            <w:r w:rsidR="00C226AF" w:rsidRPr="00067DB2">
              <w:rPr>
                <w:sz w:val="12"/>
                <w:szCs w:val="12"/>
              </w:rPr>
              <w:t xml:space="preserve"> </w:t>
            </w:r>
          </w:p>
          <w:p w:rsidR="00C226AF" w:rsidRPr="00F810C6" w:rsidRDefault="00C226AF" w:rsidP="00CB0261">
            <w:pPr>
              <w:ind w:left="113" w:right="113"/>
              <w:jc w:val="right"/>
              <w:rPr>
                <w:sz w:val="12"/>
                <w:szCs w:val="12"/>
              </w:rPr>
            </w:pPr>
            <w:r>
              <w:rPr>
                <w:sz w:val="12"/>
                <w:szCs w:val="12"/>
              </w:rPr>
              <w:t>(</w:t>
            </w:r>
            <w:r w:rsidR="00D35EA4">
              <w:rPr>
                <w:sz w:val="12"/>
                <w:szCs w:val="12"/>
              </w:rPr>
              <w:t>.03</w:t>
            </w:r>
            <w:r>
              <w:rPr>
                <w:sz w:val="12"/>
                <w:szCs w:val="12"/>
              </w:rPr>
              <w:t>)</w:t>
            </w: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nil"/>
            </w:tcBorders>
            <w:textDirection w:val="btLr"/>
          </w:tcPr>
          <w:p w:rsidR="00C226AF" w:rsidRDefault="00D35EA4" w:rsidP="00CB0261">
            <w:pPr>
              <w:ind w:left="113" w:right="113"/>
              <w:jc w:val="right"/>
              <w:rPr>
                <w:sz w:val="14"/>
                <w:szCs w:val="14"/>
              </w:rPr>
            </w:pPr>
            <w:r>
              <w:rPr>
                <w:sz w:val="14"/>
                <w:szCs w:val="14"/>
              </w:rPr>
              <w:t>.01</w:t>
            </w:r>
          </w:p>
          <w:p w:rsidR="00C226AF" w:rsidRDefault="00D35EA4" w:rsidP="00CB0261">
            <w:pPr>
              <w:ind w:left="113" w:right="113"/>
              <w:jc w:val="right"/>
              <w:rPr>
                <w:sz w:val="14"/>
                <w:szCs w:val="14"/>
              </w:rPr>
            </w:pPr>
            <w:r>
              <w:rPr>
                <w:sz w:val="14"/>
                <w:szCs w:val="14"/>
              </w:rPr>
              <w:t>.10</w:t>
            </w:r>
          </w:p>
          <w:p w:rsidR="00C226AF" w:rsidRDefault="00D35EA4" w:rsidP="00CB0261">
            <w:pPr>
              <w:ind w:left="113" w:right="113"/>
              <w:jc w:val="right"/>
              <w:rPr>
                <w:sz w:val="14"/>
                <w:szCs w:val="14"/>
              </w:rPr>
            </w:pPr>
            <w:r>
              <w:rPr>
                <w:sz w:val="14"/>
                <w:szCs w:val="14"/>
              </w:rPr>
              <w:t>.001</w:t>
            </w:r>
          </w:p>
          <w:p w:rsidR="00C226AF" w:rsidRDefault="00D35EA4" w:rsidP="00CB0261">
            <w:pPr>
              <w:ind w:left="113" w:right="113"/>
              <w:jc w:val="right"/>
              <w:rPr>
                <w:sz w:val="14"/>
                <w:szCs w:val="14"/>
              </w:rPr>
            </w:pPr>
            <w:r>
              <w:rPr>
                <w:sz w:val="14"/>
                <w:szCs w:val="14"/>
              </w:rPr>
              <w:t>325</w:t>
            </w:r>
          </w:p>
          <w:p w:rsidR="00C226AF" w:rsidRPr="00F810C6" w:rsidRDefault="00D35EA4" w:rsidP="00CB0261">
            <w:pPr>
              <w:ind w:left="113" w:right="113"/>
              <w:jc w:val="right"/>
              <w:rPr>
                <w:sz w:val="14"/>
                <w:szCs w:val="14"/>
              </w:rPr>
            </w:pPr>
            <w:r>
              <w:rPr>
                <w:sz w:val="14"/>
                <w:szCs w:val="14"/>
              </w:rPr>
              <w:t>77</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917"/>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C226AF" w:rsidRPr="00F810C6" w:rsidRDefault="00C226AF" w:rsidP="00CB0261">
            <w:pPr>
              <w:ind w:left="113" w:right="113"/>
              <w:jc w:val="right"/>
              <w:rPr>
                <w:sz w:val="14"/>
                <w:szCs w:val="14"/>
              </w:rPr>
            </w:pPr>
            <w:r w:rsidRPr="00F810C6">
              <w:rPr>
                <w:sz w:val="14"/>
                <w:szCs w:val="14"/>
              </w:rPr>
              <w:t>Model 2</w:t>
            </w:r>
          </w:p>
        </w:tc>
        <w:tc>
          <w:tcPr>
            <w:tcW w:w="432" w:type="dxa"/>
            <w:tcBorders>
              <w:top w:val="nil"/>
              <w:bottom w:val="nil"/>
              <w:right w:val="nil"/>
            </w:tcBorders>
            <w:shd w:val="clear" w:color="auto" w:fill="FFFFFF" w:themeFill="background1"/>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Default="00D35EA4" w:rsidP="00CB0261">
            <w:pPr>
              <w:ind w:left="113" w:right="113"/>
              <w:jc w:val="right"/>
              <w:rPr>
                <w:sz w:val="12"/>
                <w:szCs w:val="12"/>
              </w:rPr>
            </w:pPr>
            <w:r>
              <w:rPr>
                <w:sz w:val="12"/>
                <w:szCs w:val="12"/>
              </w:rPr>
              <w:t>.01</w:t>
            </w:r>
          </w:p>
          <w:p w:rsidR="00C226AF" w:rsidRPr="00F810C6" w:rsidRDefault="00C226AF" w:rsidP="00CB0261">
            <w:pPr>
              <w:ind w:left="113" w:right="113"/>
              <w:jc w:val="right"/>
              <w:rPr>
                <w:sz w:val="12"/>
                <w:szCs w:val="12"/>
              </w:rPr>
            </w:pPr>
            <w:r>
              <w:rPr>
                <w:sz w:val="12"/>
                <w:szCs w:val="12"/>
              </w:rPr>
              <w:t>(</w:t>
            </w:r>
            <w:r w:rsidR="00D35EA4">
              <w:rPr>
                <w:sz w:val="12"/>
                <w:szCs w:val="12"/>
              </w:rPr>
              <w:t>.06</w:t>
            </w:r>
            <w:r>
              <w:rPr>
                <w:sz w:val="12"/>
                <w:szCs w:val="12"/>
              </w:rPr>
              <w:t>)</w:t>
            </w: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nil"/>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nil"/>
            </w:tcBorders>
            <w:textDirection w:val="btLr"/>
          </w:tcPr>
          <w:p w:rsidR="00C226AF" w:rsidRDefault="00D35EA4" w:rsidP="00CB0261">
            <w:pPr>
              <w:ind w:left="113" w:right="113"/>
              <w:jc w:val="right"/>
              <w:rPr>
                <w:sz w:val="14"/>
                <w:szCs w:val="14"/>
              </w:rPr>
            </w:pPr>
            <w:r>
              <w:rPr>
                <w:sz w:val="14"/>
                <w:szCs w:val="14"/>
              </w:rPr>
              <w:t>.02</w:t>
            </w:r>
          </w:p>
          <w:p w:rsidR="00C226AF" w:rsidRDefault="00D35EA4" w:rsidP="00CB0261">
            <w:pPr>
              <w:ind w:left="113" w:right="113"/>
              <w:jc w:val="right"/>
              <w:rPr>
                <w:sz w:val="14"/>
                <w:szCs w:val="14"/>
              </w:rPr>
            </w:pPr>
            <w:r>
              <w:rPr>
                <w:sz w:val="14"/>
                <w:szCs w:val="14"/>
              </w:rPr>
              <w:t>.0002</w:t>
            </w:r>
          </w:p>
          <w:p w:rsidR="00C226AF" w:rsidRDefault="00D35EA4" w:rsidP="00CB0261">
            <w:pPr>
              <w:ind w:left="113" w:right="113"/>
              <w:jc w:val="right"/>
              <w:rPr>
                <w:sz w:val="14"/>
                <w:szCs w:val="14"/>
              </w:rPr>
            </w:pPr>
            <w:r>
              <w:rPr>
                <w:sz w:val="14"/>
                <w:szCs w:val="14"/>
              </w:rPr>
              <w:t>.003</w:t>
            </w:r>
          </w:p>
          <w:p w:rsidR="00C226AF" w:rsidRDefault="00D35EA4" w:rsidP="00CB0261">
            <w:pPr>
              <w:ind w:left="113" w:right="113"/>
              <w:jc w:val="right"/>
              <w:rPr>
                <w:sz w:val="14"/>
                <w:szCs w:val="14"/>
              </w:rPr>
            </w:pPr>
            <w:r>
              <w:rPr>
                <w:sz w:val="14"/>
                <w:szCs w:val="14"/>
              </w:rPr>
              <w:t>325</w:t>
            </w:r>
          </w:p>
          <w:p w:rsidR="00C226AF" w:rsidRPr="00F810C6" w:rsidRDefault="00D35EA4" w:rsidP="00CB0261">
            <w:pPr>
              <w:ind w:left="113" w:right="113"/>
              <w:jc w:val="right"/>
              <w:rPr>
                <w:sz w:val="14"/>
                <w:szCs w:val="14"/>
              </w:rPr>
            </w:pPr>
            <w:r>
              <w:rPr>
                <w:sz w:val="14"/>
                <w:szCs w:val="14"/>
              </w:rPr>
              <w:t>77</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971"/>
        </w:trPr>
        <w:tc>
          <w:tcPr>
            <w:tcW w:w="306" w:type="dxa"/>
            <w:vMerge/>
            <w:tcBorders>
              <w:left w:val="nil"/>
              <w:bottom w:val="nil"/>
            </w:tcBorders>
            <w:textDirection w:val="btLr"/>
          </w:tcPr>
          <w:p w:rsidR="00C226AF" w:rsidRPr="00F810C6" w:rsidRDefault="00C226AF" w:rsidP="00CB0261">
            <w:pPr>
              <w:ind w:left="113" w:right="113"/>
              <w:jc w:val="right"/>
              <w:rPr>
                <w:rFonts w:asciiTheme="minorHAnsi" w:hAnsiTheme="minorHAnsi" w:cstheme="minorBidi"/>
                <w:sz w:val="14"/>
                <w:szCs w:val="14"/>
              </w:rPr>
            </w:pPr>
          </w:p>
        </w:tc>
        <w:tc>
          <w:tcPr>
            <w:tcW w:w="306" w:type="dxa"/>
            <w:tcBorders>
              <w:top w:val="nil"/>
              <w:bottom w:val="single" w:sz="4" w:space="0" w:color="auto"/>
            </w:tcBorders>
            <w:noWrap/>
            <w:textDirection w:val="btLr"/>
          </w:tcPr>
          <w:p w:rsidR="00C226AF" w:rsidRPr="00F810C6" w:rsidRDefault="00C226AF" w:rsidP="00CB0261">
            <w:pPr>
              <w:ind w:left="113" w:right="113"/>
              <w:jc w:val="right"/>
              <w:rPr>
                <w:sz w:val="14"/>
                <w:szCs w:val="14"/>
              </w:rPr>
            </w:pPr>
            <w:r w:rsidRPr="00F810C6">
              <w:rPr>
                <w:sz w:val="14"/>
                <w:szCs w:val="14"/>
              </w:rPr>
              <w:t>Model 1</w:t>
            </w:r>
          </w:p>
        </w:tc>
        <w:tc>
          <w:tcPr>
            <w:tcW w:w="432" w:type="dxa"/>
            <w:tcBorders>
              <w:top w:val="nil"/>
              <w:bottom w:val="single" w:sz="4" w:space="0" w:color="auto"/>
              <w:right w:val="nil"/>
            </w:tcBorders>
            <w:shd w:val="clear" w:color="auto" w:fill="FFFFFF" w:themeFill="background1"/>
            <w:textDirection w:val="btLr"/>
          </w:tcPr>
          <w:p w:rsidR="00D35EA4" w:rsidRDefault="00D35EA4" w:rsidP="00CB0261">
            <w:pPr>
              <w:ind w:left="113" w:right="113"/>
              <w:jc w:val="right"/>
              <w:rPr>
                <w:sz w:val="12"/>
                <w:szCs w:val="12"/>
              </w:rPr>
            </w:pPr>
            <w:r>
              <w:rPr>
                <w:sz w:val="12"/>
                <w:szCs w:val="12"/>
              </w:rPr>
              <w:t>.0004</w:t>
            </w:r>
            <w:r w:rsidR="00C226AF" w:rsidRPr="00B122EA">
              <w:rPr>
                <w:sz w:val="12"/>
                <w:szCs w:val="12"/>
              </w:rPr>
              <w:t xml:space="preserve">   </w:t>
            </w:r>
          </w:p>
          <w:p w:rsidR="00C226AF" w:rsidRPr="00F810C6" w:rsidRDefault="00C226AF" w:rsidP="00CB0261">
            <w:pPr>
              <w:ind w:left="113" w:right="113"/>
              <w:jc w:val="right"/>
              <w:rPr>
                <w:sz w:val="12"/>
                <w:szCs w:val="12"/>
              </w:rPr>
            </w:pPr>
            <w:r w:rsidRPr="00B122EA">
              <w:rPr>
                <w:sz w:val="12"/>
                <w:szCs w:val="12"/>
              </w:rPr>
              <w:t xml:space="preserve"> </w:t>
            </w:r>
            <w:r>
              <w:rPr>
                <w:sz w:val="12"/>
                <w:szCs w:val="12"/>
              </w:rPr>
              <w:t>(</w:t>
            </w:r>
            <w:r w:rsidR="00D35EA4">
              <w:rPr>
                <w:sz w:val="12"/>
                <w:szCs w:val="12"/>
              </w:rPr>
              <w:t>.004</w:t>
            </w:r>
            <w:r>
              <w:rPr>
                <w:sz w:val="12"/>
                <w:szCs w:val="12"/>
              </w:rPr>
              <w:t>)</w:t>
            </w:r>
          </w:p>
        </w:tc>
        <w:tc>
          <w:tcPr>
            <w:tcW w:w="432" w:type="dxa"/>
            <w:tcBorders>
              <w:top w:val="nil"/>
              <w:left w:val="nil"/>
              <w:bottom w:val="single" w:sz="4" w:space="0" w:color="auto"/>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shd w:val="clear" w:color="auto" w:fill="FFFFFF" w:themeFill="background1"/>
            <w:noWrap/>
            <w:textDirection w:val="btLr"/>
          </w:tcPr>
          <w:p w:rsidR="00C226AF" w:rsidRPr="00F810C6" w:rsidRDefault="00C226AF" w:rsidP="00CB0261">
            <w:pPr>
              <w:ind w:left="113" w:right="113"/>
              <w:jc w:val="right"/>
              <w:rPr>
                <w:sz w:val="12"/>
                <w:szCs w:val="12"/>
              </w:rPr>
            </w:pPr>
          </w:p>
        </w:tc>
        <w:tc>
          <w:tcPr>
            <w:tcW w:w="432" w:type="dxa"/>
            <w:tcBorders>
              <w:top w:val="nil"/>
              <w:left w:val="nil"/>
              <w:bottom w:val="single" w:sz="4" w:space="0" w:color="auto"/>
              <w:right w:val="nil"/>
            </w:tcBorders>
            <w:shd w:val="clear" w:color="auto" w:fill="E7E6E6" w:themeFill="background2"/>
            <w:textDirection w:val="btLr"/>
          </w:tcPr>
          <w:p w:rsidR="00C226AF" w:rsidRPr="00F810C6" w:rsidRDefault="00C226AF" w:rsidP="00CB0261">
            <w:pPr>
              <w:ind w:left="113" w:right="113"/>
              <w:jc w:val="right"/>
              <w:rPr>
                <w:sz w:val="12"/>
                <w:szCs w:val="12"/>
              </w:rPr>
            </w:pPr>
          </w:p>
        </w:tc>
        <w:tc>
          <w:tcPr>
            <w:tcW w:w="954" w:type="dxa"/>
            <w:tcBorders>
              <w:top w:val="nil"/>
              <w:bottom w:val="single" w:sz="4" w:space="0" w:color="auto"/>
            </w:tcBorders>
            <w:textDirection w:val="btLr"/>
          </w:tcPr>
          <w:p w:rsidR="00C226AF" w:rsidRDefault="00D35EA4" w:rsidP="00CB0261">
            <w:pPr>
              <w:ind w:left="113" w:right="113"/>
              <w:jc w:val="right"/>
              <w:rPr>
                <w:sz w:val="14"/>
                <w:szCs w:val="14"/>
              </w:rPr>
            </w:pPr>
            <w:r>
              <w:rPr>
                <w:sz w:val="14"/>
                <w:szCs w:val="14"/>
              </w:rPr>
              <w:t>.02</w:t>
            </w:r>
          </w:p>
          <w:p w:rsidR="00C226AF" w:rsidRDefault="00D35EA4" w:rsidP="00CB0261">
            <w:pPr>
              <w:ind w:left="113" w:right="113"/>
              <w:jc w:val="right"/>
              <w:rPr>
                <w:sz w:val="14"/>
                <w:szCs w:val="14"/>
              </w:rPr>
            </w:pPr>
            <w:r>
              <w:rPr>
                <w:sz w:val="14"/>
                <w:szCs w:val="14"/>
              </w:rPr>
              <w:t>.02</w:t>
            </w:r>
          </w:p>
          <w:p w:rsidR="00C226AF" w:rsidRDefault="00D35EA4" w:rsidP="00CB0261">
            <w:pPr>
              <w:ind w:left="113" w:right="113"/>
              <w:jc w:val="right"/>
              <w:rPr>
                <w:sz w:val="14"/>
                <w:szCs w:val="14"/>
              </w:rPr>
            </w:pPr>
            <w:r>
              <w:rPr>
                <w:sz w:val="14"/>
                <w:szCs w:val="14"/>
              </w:rPr>
              <w:t>.001</w:t>
            </w:r>
          </w:p>
          <w:p w:rsidR="00C226AF" w:rsidRDefault="00D35EA4" w:rsidP="00CB0261">
            <w:pPr>
              <w:ind w:left="113" w:right="113"/>
              <w:jc w:val="right"/>
              <w:rPr>
                <w:sz w:val="14"/>
                <w:szCs w:val="14"/>
              </w:rPr>
            </w:pPr>
            <w:r>
              <w:rPr>
                <w:sz w:val="14"/>
                <w:szCs w:val="14"/>
              </w:rPr>
              <w:t>325</w:t>
            </w:r>
          </w:p>
          <w:p w:rsidR="00C226AF" w:rsidRDefault="00D35EA4" w:rsidP="00CB0261">
            <w:pPr>
              <w:ind w:left="113" w:right="113"/>
              <w:jc w:val="right"/>
              <w:rPr>
                <w:sz w:val="14"/>
                <w:szCs w:val="14"/>
              </w:rPr>
            </w:pPr>
            <w:r>
              <w:rPr>
                <w:sz w:val="14"/>
                <w:szCs w:val="14"/>
              </w:rPr>
              <w:t>77</w:t>
            </w:r>
          </w:p>
          <w:p w:rsidR="00C226AF" w:rsidRPr="00F810C6" w:rsidRDefault="00C226AF" w:rsidP="00CB0261">
            <w:pPr>
              <w:ind w:left="113" w:right="113"/>
              <w:jc w:val="right"/>
              <w:rPr>
                <w:sz w:val="14"/>
                <w:szCs w:val="14"/>
              </w:rPr>
            </w:pP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r w:rsidR="00C226AF" w:rsidRPr="00F810C6" w:rsidTr="00CB0261">
        <w:trPr>
          <w:trHeight w:val="1493"/>
        </w:trPr>
        <w:tc>
          <w:tcPr>
            <w:tcW w:w="306" w:type="dxa"/>
            <w:vMerge/>
            <w:tcBorders>
              <w:left w:val="nil"/>
              <w:bottom w:val="nil"/>
            </w:tcBorders>
            <w:textDirection w:val="btLr"/>
          </w:tcPr>
          <w:p w:rsidR="00C226AF" w:rsidRPr="00F810C6" w:rsidRDefault="00C226AF" w:rsidP="00CB0261">
            <w:pPr>
              <w:ind w:left="113" w:right="113"/>
              <w:rPr>
                <w:rFonts w:asciiTheme="minorHAnsi" w:hAnsiTheme="minorHAnsi" w:cstheme="minorBidi"/>
                <w:sz w:val="14"/>
                <w:szCs w:val="14"/>
              </w:rPr>
            </w:pPr>
          </w:p>
        </w:tc>
        <w:tc>
          <w:tcPr>
            <w:tcW w:w="306" w:type="dxa"/>
            <w:tcBorders>
              <w:right w:val="nil"/>
            </w:tcBorders>
            <w:noWrap/>
            <w:textDirection w:val="btLr"/>
          </w:tcPr>
          <w:p w:rsidR="00C226AF" w:rsidRPr="00F810C6" w:rsidRDefault="00C226AF" w:rsidP="00CB0261">
            <w:pPr>
              <w:ind w:left="113" w:right="113"/>
              <w:rPr>
                <w:rFonts w:asciiTheme="minorHAnsi" w:hAnsiTheme="minorHAnsi" w:cstheme="minorBidi"/>
                <w:sz w:val="14"/>
                <w:szCs w:val="14"/>
              </w:rPr>
            </w:pPr>
          </w:p>
        </w:tc>
        <w:tc>
          <w:tcPr>
            <w:tcW w:w="432" w:type="dxa"/>
            <w:tcBorders>
              <w:right w:val="nil"/>
            </w:tcBorders>
            <w:shd w:val="clear" w:color="auto" w:fill="FFFFFF" w:themeFill="background1"/>
            <w:textDirection w:val="btLr"/>
          </w:tcPr>
          <w:p w:rsidR="00C226AF" w:rsidRPr="00A110A1" w:rsidRDefault="00C226AF" w:rsidP="00CB0261">
            <w:pPr>
              <w:ind w:left="113" w:right="113"/>
              <w:rPr>
                <w:sz w:val="14"/>
                <w:szCs w:val="14"/>
                <w:vertAlign w:val="superscript"/>
              </w:rPr>
            </w:pPr>
            <w:r>
              <w:rPr>
                <w:sz w:val="14"/>
                <w:szCs w:val="14"/>
              </w:rPr>
              <w:t>Inequality</w:t>
            </w:r>
          </w:p>
        </w:tc>
        <w:tc>
          <w:tcPr>
            <w:tcW w:w="432" w:type="dxa"/>
            <w:tcBorders>
              <w:left w:val="nil"/>
              <w:right w:val="nil"/>
            </w:tcBorders>
            <w:shd w:val="clear" w:color="auto" w:fill="E7E6E6" w:themeFill="background2"/>
            <w:noWrap/>
            <w:textDirection w:val="btLr"/>
          </w:tcPr>
          <w:p w:rsidR="00C226AF" w:rsidRPr="00F810C6" w:rsidRDefault="00C226AF" w:rsidP="00CB0261">
            <w:pPr>
              <w:ind w:left="113" w:right="113"/>
              <w:rPr>
                <w:sz w:val="14"/>
                <w:szCs w:val="14"/>
              </w:rPr>
            </w:pPr>
            <w:r w:rsidRPr="00F810C6">
              <w:rPr>
                <w:sz w:val="14"/>
                <w:szCs w:val="14"/>
              </w:rPr>
              <w:t>GDPPC</w:t>
            </w:r>
            <w:r w:rsidR="00D35EA4">
              <w:rPr>
                <w:sz w:val="14"/>
                <w:szCs w:val="14"/>
                <w:vertAlign w:val="superscript"/>
              </w:rPr>
              <w:t>a</w:t>
            </w:r>
          </w:p>
        </w:tc>
        <w:tc>
          <w:tcPr>
            <w:tcW w:w="432" w:type="dxa"/>
            <w:tcBorders>
              <w:left w:val="nil"/>
              <w:right w:val="nil"/>
            </w:tcBorders>
            <w:noWrap/>
            <w:textDirection w:val="btLr"/>
          </w:tcPr>
          <w:p w:rsidR="00C226AF" w:rsidRPr="00F810C6" w:rsidRDefault="00C226AF" w:rsidP="00CB0261">
            <w:pPr>
              <w:ind w:left="113" w:right="113"/>
              <w:rPr>
                <w:sz w:val="14"/>
                <w:szCs w:val="14"/>
                <w:vertAlign w:val="superscript"/>
              </w:rPr>
            </w:pPr>
            <w:r w:rsidRPr="00E13EC7">
              <w:rPr>
                <w:noProof/>
                <w:sz w:val="14"/>
                <w:szCs w:val="14"/>
              </w:rPr>
              <w:t>Democracy</w:t>
            </w:r>
          </w:p>
        </w:tc>
        <w:tc>
          <w:tcPr>
            <w:tcW w:w="432" w:type="dxa"/>
            <w:tcBorders>
              <w:left w:val="nil"/>
              <w:right w:val="nil"/>
            </w:tcBorders>
            <w:shd w:val="clear" w:color="auto" w:fill="E7E6E6" w:themeFill="background2"/>
            <w:noWrap/>
            <w:textDirection w:val="btLr"/>
          </w:tcPr>
          <w:p w:rsidR="00C226AF" w:rsidRPr="00F810C6" w:rsidRDefault="00C226AF" w:rsidP="00CB0261">
            <w:pPr>
              <w:ind w:left="113" w:right="113"/>
              <w:rPr>
                <w:sz w:val="14"/>
                <w:szCs w:val="14"/>
              </w:rPr>
            </w:pPr>
            <w:r w:rsidRPr="00F810C6">
              <w:rPr>
                <w:sz w:val="14"/>
                <w:szCs w:val="14"/>
              </w:rPr>
              <w:t xml:space="preserve">Age </w:t>
            </w:r>
            <w:r w:rsidRPr="00E13EC7">
              <w:rPr>
                <w:noProof/>
                <w:sz w:val="14"/>
                <w:szCs w:val="14"/>
              </w:rPr>
              <w:t>Cohort</w:t>
            </w:r>
          </w:p>
        </w:tc>
        <w:tc>
          <w:tcPr>
            <w:tcW w:w="432" w:type="dxa"/>
            <w:tcBorders>
              <w:left w:val="nil"/>
              <w:right w:val="nil"/>
            </w:tcBorders>
            <w:noWrap/>
            <w:textDirection w:val="btLr"/>
          </w:tcPr>
          <w:p w:rsidR="00C226AF" w:rsidRPr="00F810C6" w:rsidRDefault="00C226AF" w:rsidP="00CB0261">
            <w:pPr>
              <w:ind w:left="113" w:right="113"/>
              <w:rPr>
                <w:sz w:val="14"/>
                <w:szCs w:val="14"/>
              </w:rPr>
            </w:pPr>
            <w:r w:rsidRPr="00F810C6">
              <w:rPr>
                <w:sz w:val="14"/>
                <w:szCs w:val="14"/>
              </w:rPr>
              <w:t>Urban</w:t>
            </w:r>
          </w:p>
        </w:tc>
        <w:tc>
          <w:tcPr>
            <w:tcW w:w="432" w:type="dxa"/>
            <w:tcBorders>
              <w:left w:val="nil"/>
              <w:right w:val="nil"/>
            </w:tcBorders>
            <w:shd w:val="clear" w:color="auto" w:fill="E7E6E6" w:themeFill="background2"/>
            <w:noWrap/>
            <w:textDirection w:val="btLr"/>
          </w:tcPr>
          <w:p w:rsidR="00C226AF" w:rsidRPr="00F810C6" w:rsidRDefault="00C226AF" w:rsidP="00CB0261">
            <w:pPr>
              <w:ind w:left="113" w:right="113"/>
              <w:rPr>
                <w:sz w:val="14"/>
                <w:szCs w:val="14"/>
              </w:rPr>
            </w:pPr>
            <w:r w:rsidRPr="00F810C6">
              <w:rPr>
                <w:sz w:val="14"/>
                <w:szCs w:val="14"/>
              </w:rPr>
              <w:t xml:space="preserve">Physical </w:t>
            </w:r>
            <w:r w:rsidRPr="00E13EC7">
              <w:rPr>
                <w:noProof/>
                <w:sz w:val="14"/>
                <w:szCs w:val="14"/>
              </w:rPr>
              <w:t>Integrity</w:t>
            </w:r>
          </w:p>
        </w:tc>
        <w:tc>
          <w:tcPr>
            <w:tcW w:w="432" w:type="dxa"/>
            <w:tcBorders>
              <w:left w:val="nil"/>
              <w:right w:val="nil"/>
            </w:tcBorders>
            <w:noWrap/>
            <w:textDirection w:val="btLr"/>
          </w:tcPr>
          <w:p w:rsidR="00C226AF" w:rsidRPr="00F810C6" w:rsidRDefault="00C226AF" w:rsidP="00CB0261">
            <w:pPr>
              <w:ind w:left="113" w:right="113"/>
              <w:rPr>
                <w:sz w:val="14"/>
                <w:szCs w:val="14"/>
                <w:vertAlign w:val="superscript"/>
              </w:rPr>
            </w:pPr>
            <w:r w:rsidRPr="00F810C6">
              <w:rPr>
                <w:sz w:val="14"/>
                <w:szCs w:val="14"/>
              </w:rPr>
              <w:t>Sec</w:t>
            </w:r>
            <w:r>
              <w:rPr>
                <w:sz w:val="14"/>
                <w:szCs w:val="14"/>
              </w:rPr>
              <w:t>ondary</w:t>
            </w:r>
            <w:r w:rsidRPr="00F810C6">
              <w:rPr>
                <w:sz w:val="14"/>
                <w:szCs w:val="14"/>
              </w:rPr>
              <w:t xml:space="preserve"> </w:t>
            </w:r>
            <w:r w:rsidRPr="00E13EC7">
              <w:rPr>
                <w:noProof/>
                <w:sz w:val="14"/>
                <w:szCs w:val="14"/>
              </w:rPr>
              <w:t>Education</w:t>
            </w:r>
          </w:p>
        </w:tc>
        <w:tc>
          <w:tcPr>
            <w:tcW w:w="432" w:type="dxa"/>
            <w:tcBorders>
              <w:left w:val="nil"/>
              <w:right w:val="nil"/>
            </w:tcBorders>
            <w:shd w:val="clear" w:color="auto" w:fill="E7E6E6" w:themeFill="background2"/>
            <w:noWrap/>
            <w:textDirection w:val="btLr"/>
          </w:tcPr>
          <w:p w:rsidR="00C226AF" w:rsidRPr="00F810C6" w:rsidRDefault="00C226AF" w:rsidP="00CB0261">
            <w:pPr>
              <w:ind w:left="113" w:right="113"/>
              <w:rPr>
                <w:sz w:val="14"/>
                <w:szCs w:val="14"/>
              </w:rPr>
            </w:pPr>
            <w:r w:rsidRPr="00F810C6">
              <w:rPr>
                <w:sz w:val="14"/>
                <w:szCs w:val="14"/>
              </w:rPr>
              <w:t xml:space="preserve">Homicide </w:t>
            </w:r>
            <w:r w:rsidRPr="00E13EC7">
              <w:rPr>
                <w:noProof/>
                <w:sz w:val="14"/>
                <w:szCs w:val="14"/>
              </w:rPr>
              <w:t>Rate</w:t>
            </w:r>
            <w:r w:rsidRPr="00E13EC7">
              <w:rPr>
                <w:noProof/>
                <w:sz w:val="14"/>
                <w:szCs w:val="14"/>
                <w:vertAlign w:val="superscript"/>
              </w:rPr>
              <w:t>a</w:t>
            </w:r>
          </w:p>
        </w:tc>
        <w:tc>
          <w:tcPr>
            <w:tcW w:w="432" w:type="dxa"/>
            <w:tcBorders>
              <w:left w:val="nil"/>
              <w:right w:val="nil"/>
            </w:tcBorders>
            <w:textDirection w:val="btLr"/>
          </w:tcPr>
          <w:p w:rsidR="00C226AF" w:rsidRPr="00A110A1" w:rsidRDefault="00C226AF" w:rsidP="00CB0261">
            <w:pPr>
              <w:ind w:left="113" w:right="113"/>
              <w:rPr>
                <w:sz w:val="14"/>
                <w:szCs w:val="14"/>
                <w:vertAlign w:val="superscript"/>
              </w:rPr>
            </w:pPr>
            <w:r>
              <w:rPr>
                <w:sz w:val="14"/>
                <w:szCs w:val="14"/>
              </w:rPr>
              <w:t>Drug Offense Rate</w:t>
            </w:r>
            <w:r w:rsidR="00D35EA4">
              <w:rPr>
                <w:sz w:val="14"/>
                <w:szCs w:val="14"/>
                <w:vertAlign w:val="superscript"/>
              </w:rPr>
              <w:t>a</w:t>
            </w:r>
          </w:p>
        </w:tc>
        <w:tc>
          <w:tcPr>
            <w:tcW w:w="432" w:type="dxa"/>
            <w:tcBorders>
              <w:left w:val="nil"/>
              <w:right w:val="nil"/>
            </w:tcBorders>
            <w:shd w:val="clear" w:color="auto" w:fill="E7E6E6" w:themeFill="background2"/>
            <w:noWrap/>
            <w:textDirection w:val="btLr"/>
          </w:tcPr>
          <w:p w:rsidR="00C226AF" w:rsidRPr="00EA3315" w:rsidRDefault="00C226AF" w:rsidP="00CB0261">
            <w:pPr>
              <w:ind w:left="113" w:right="113"/>
              <w:rPr>
                <w:sz w:val="14"/>
                <w:szCs w:val="14"/>
                <w:vertAlign w:val="superscript"/>
              </w:rPr>
            </w:pPr>
            <w:r>
              <w:rPr>
                <w:sz w:val="14"/>
                <w:szCs w:val="14"/>
              </w:rPr>
              <w:t>Percentage Male</w:t>
            </w:r>
          </w:p>
        </w:tc>
        <w:tc>
          <w:tcPr>
            <w:tcW w:w="432" w:type="dxa"/>
            <w:tcBorders>
              <w:left w:val="nil"/>
              <w:right w:val="nil"/>
            </w:tcBorders>
            <w:shd w:val="clear" w:color="auto" w:fill="FFFFFF" w:themeFill="background1"/>
            <w:noWrap/>
            <w:textDirection w:val="btLr"/>
          </w:tcPr>
          <w:p w:rsidR="00C226AF" w:rsidRPr="00F810C6" w:rsidRDefault="00C226AF" w:rsidP="00CB0261">
            <w:pPr>
              <w:ind w:left="113" w:right="113"/>
              <w:rPr>
                <w:sz w:val="14"/>
                <w:szCs w:val="14"/>
              </w:rPr>
            </w:pPr>
            <w:r>
              <w:rPr>
                <w:sz w:val="14"/>
                <w:szCs w:val="14"/>
              </w:rPr>
              <w:t>Ethnic Fractionalization</w:t>
            </w:r>
          </w:p>
        </w:tc>
        <w:tc>
          <w:tcPr>
            <w:tcW w:w="432" w:type="dxa"/>
            <w:tcBorders>
              <w:left w:val="nil"/>
              <w:right w:val="nil"/>
            </w:tcBorders>
            <w:shd w:val="clear" w:color="auto" w:fill="E7E6E6" w:themeFill="background2"/>
            <w:textDirection w:val="btLr"/>
          </w:tcPr>
          <w:p w:rsidR="00C226AF" w:rsidRPr="00F810C6" w:rsidRDefault="00C226AF" w:rsidP="00CB0261">
            <w:pPr>
              <w:ind w:left="113" w:right="113"/>
              <w:rPr>
                <w:sz w:val="14"/>
                <w:szCs w:val="14"/>
              </w:rPr>
            </w:pPr>
          </w:p>
        </w:tc>
        <w:tc>
          <w:tcPr>
            <w:tcW w:w="954" w:type="dxa"/>
            <w:tcBorders>
              <w:top w:val="single" w:sz="4" w:space="0" w:color="auto"/>
            </w:tcBorders>
            <w:textDirection w:val="btLr"/>
          </w:tcPr>
          <w:p w:rsidR="00C226AF" w:rsidRDefault="00C226AF" w:rsidP="00CB0261">
            <w:pPr>
              <w:ind w:left="113" w:right="113"/>
              <w:rPr>
                <w:sz w:val="14"/>
                <w:szCs w:val="14"/>
              </w:rPr>
            </w:pPr>
            <w:r w:rsidRPr="00F810C6">
              <w:rPr>
                <w:i/>
                <w:sz w:val="14"/>
                <w:szCs w:val="14"/>
              </w:rPr>
              <w:t>R</w:t>
            </w:r>
            <w:r w:rsidRPr="00F810C6">
              <w:rPr>
                <w:sz w:val="14"/>
                <w:szCs w:val="14"/>
                <w:vertAlign w:val="superscript"/>
              </w:rPr>
              <w:t>2</w:t>
            </w:r>
            <w:r>
              <w:rPr>
                <w:sz w:val="14"/>
                <w:szCs w:val="14"/>
              </w:rPr>
              <w:t xml:space="preserve"> Overall</w:t>
            </w:r>
          </w:p>
          <w:p w:rsidR="00C226AF" w:rsidRDefault="00C226AF" w:rsidP="00CB0261">
            <w:pPr>
              <w:ind w:left="113" w:right="113"/>
              <w:rPr>
                <w:sz w:val="14"/>
                <w:szCs w:val="14"/>
              </w:rPr>
            </w:pPr>
            <w:r w:rsidRPr="00525FCF">
              <w:rPr>
                <w:i/>
                <w:noProof/>
                <w:sz w:val="14"/>
                <w:szCs w:val="14"/>
              </w:rPr>
              <w:t>R</w:t>
            </w:r>
            <w:r w:rsidR="00525FCF" w:rsidRPr="00525FCF">
              <w:rPr>
                <w:i/>
                <w:noProof/>
                <w:sz w:val="14"/>
                <w:szCs w:val="14"/>
                <w:vertAlign w:val="superscript"/>
              </w:rPr>
              <w:t>2</w:t>
            </w:r>
            <w:r>
              <w:rPr>
                <w:i/>
                <w:sz w:val="14"/>
                <w:szCs w:val="14"/>
                <w:vertAlign w:val="superscript"/>
              </w:rPr>
              <w:t xml:space="preserve"> </w:t>
            </w:r>
            <w:r>
              <w:rPr>
                <w:sz w:val="14"/>
                <w:szCs w:val="14"/>
              </w:rPr>
              <w:t xml:space="preserve"> Within</w:t>
            </w:r>
          </w:p>
          <w:p w:rsidR="00C226AF" w:rsidRPr="00EA3315" w:rsidRDefault="00C226AF" w:rsidP="00CB0261">
            <w:pPr>
              <w:ind w:left="113" w:right="113"/>
              <w:rPr>
                <w:sz w:val="14"/>
                <w:szCs w:val="14"/>
              </w:rPr>
            </w:pPr>
            <w:r w:rsidRPr="00525FCF">
              <w:rPr>
                <w:i/>
                <w:noProof/>
                <w:sz w:val="14"/>
                <w:szCs w:val="14"/>
              </w:rPr>
              <w:t>R</w:t>
            </w:r>
            <w:r w:rsidR="00525FCF">
              <w:rPr>
                <w:i/>
                <w:noProof/>
                <w:sz w:val="14"/>
                <w:szCs w:val="14"/>
                <w:vertAlign w:val="superscript"/>
              </w:rPr>
              <w:t>2</w:t>
            </w:r>
            <w:r>
              <w:rPr>
                <w:sz w:val="14"/>
                <w:szCs w:val="14"/>
              </w:rPr>
              <w:t xml:space="preserve"> Between</w:t>
            </w:r>
          </w:p>
          <w:p w:rsidR="00C226AF" w:rsidRDefault="00C226AF" w:rsidP="00CB0261">
            <w:pPr>
              <w:ind w:left="113" w:right="113"/>
              <w:rPr>
                <w:sz w:val="14"/>
                <w:szCs w:val="14"/>
              </w:rPr>
            </w:pPr>
            <w:r>
              <w:rPr>
                <w:sz w:val="14"/>
                <w:szCs w:val="14"/>
              </w:rPr>
              <w:t>N observations</w:t>
            </w:r>
          </w:p>
          <w:p w:rsidR="00C226AF" w:rsidRPr="006425A0" w:rsidRDefault="00C226AF" w:rsidP="00CB0261">
            <w:pPr>
              <w:ind w:left="113" w:right="113"/>
              <w:rPr>
                <w:sz w:val="14"/>
                <w:szCs w:val="14"/>
              </w:rPr>
            </w:pPr>
            <w:r>
              <w:rPr>
                <w:sz w:val="14"/>
                <w:szCs w:val="14"/>
              </w:rPr>
              <w:t>N groups</w:t>
            </w:r>
          </w:p>
        </w:tc>
        <w:tc>
          <w:tcPr>
            <w:tcW w:w="1980" w:type="dxa"/>
            <w:vMerge/>
            <w:tcBorders>
              <w:top w:val="nil"/>
              <w:bottom w:val="nil"/>
              <w:right w:val="nil"/>
            </w:tcBorders>
            <w:textDirection w:val="btLr"/>
          </w:tcPr>
          <w:p w:rsidR="00C226AF" w:rsidRPr="00F810C6" w:rsidRDefault="00C226AF" w:rsidP="00CB0261">
            <w:pPr>
              <w:ind w:left="113" w:right="113"/>
              <w:rPr>
                <w:rFonts w:asciiTheme="minorHAnsi" w:hAnsiTheme="minorHAnsi" w:cstheme="minorBidi"/>
                <w:sz w:val="14"/>
                <w:szCs w:val="14"/>
              </w:rPr>
            </w:pPr>
          </w:p>
        </w:tc>
      </w:tr>
    </w:tbl>
    <w:p w:rsidR="00C226AF" w:rsidRDefault="00C226AF"/>
    <w:p w:rsidR="00C226AF" w:rsidRDefault="00C226AF">
      <w:r>
        <w:br w:type="page"/>
      </w:r>
    </w:p>
    <w:p w:rsidR="00A47A45" w:rsidRDefault="00A47A45" w:rsidP="00D35EA4">
      <w:pPr>
        <w:spacing w:line="480" w:lineRule="auto"/>
        <w:ind w:firstLine="720"/>
        <w:contextualSpacing/>
      </w:pPr>
      <w:r>
        <w:lastRenderedPageBreak/>
        <w:t xml:space="preserve">When I examine </w:t>
      </w:r>
      <w:r w:rsidR="00D35EA4">
        <w:t xml:space="preserve">incarceration rates (logged) for </w:t>
      </w:r>
      <w:r>
        <w:t>regional and world-systems position</w:t>
      </w:r>
      <w:r w:rsidR="00C226AF">
        <w:t xml:space="preserve"> dummy variables, </w:t>
      </w:r>
      <w:r>
        <w:t>I find several dummy variables produce significant results in other regions. When I use the West as the referent category, EECA produces a positive and significant coefficient (</w:t>
      </w:r>
      <w:r>
        <w:rPr>
          <w:i/>
        </w:rPr>
        <w:t>z</w:t>
      </w:r>
      <w:r w:rsidR="00D35EA4">
        <w:t xml:space="preserve"> = 2.92</w:t>
      </w:r>
      <w:r>
        <w:t xml:space="preserve">, </w:t>
      </w:r>
      <w:r>
        <w:rPr>
          <w:i/>
        </w:rPr>
        <w:t>p</w:t>
      </w:r>
      <w:r>
        <w:t xml:space="preserve"> &lt; .01)</w:t>
      </w:r>
      <w:r w:rsidR="00D35EA4">
        <w:t xml:space="preserve">. </w:t>
      </w:r>
      <w:r>
        <w:t>In Model 2 below, with EAP as the referent category, EECA produce</w:t>
      </w:r>
      <w:r w:rsidR="00D35EA4">
        <w:t>s</w:t>
      </w:r>
      <w:r>
        <w:t xml:space="preserve"> </w:t>
      </w:r>
      <w:r w:rsidR="00D35EA4">
        <w:t xml:space="preserve">a </w:t>
      </w:r>
      <w:r>
        <w:t>po</w:t>
      </w:r>
      <w:r w:rsidR="00D35EA4">
        <w:t>sitive, significant coefficient</w:t>
      </w:r>
      <w:r>
        <w:t xml:space="preserve"> (</w:t>
      </w:r>
      <w:r>
        <w:rPr>
          <w:i/>
        </w:rPr>
        <w:t>z</w:t>
      </w:r>
      <w:r w:rsidR="00D35EA4">
        <w:t xml:space="preserve"> = 3.49</w:t>
      </w:r>
      <w:r>
        <w:t xml:space="preserve">, </w:t>
      </w:r>
      <w:r>
        <w:rPr>
          <w:i/>
        </w:rPr>
        <w:t xml:space="preserve">p </w:t>
      </w:r>
      <w:r>
        <w:t>&lt; .001)</w:t>
      </w:r>
      <w:r w:rsidR="00D35EA4">
        <w:t xml:space="preserve"> and LA produces a positive and significant coefficient (</w:t>
      </w:r>
      <w:r w:rsidR="00D35EA4">
        <w:rPr>
          <w:i/>
        </w:rPr>
        <w:t>z</w:t>
      </w:r>
      <w:r w:rsidR="00D35EA4">
        <w:t xml:space="preserve"> = 2.04, </w:t>
      </w:r>
      <w:r w:rsidR="00D35EA4">
        <w:rPr>
          <w:i/>
        </w:rPr>
        <w:t>p</w:t>
      </w:r>
      <w:r w:rsidR="00D35EA4">
        <w:t xml:space="preserve"> &lt; .05)</w:t>
      </w:r>
      <w:r>
        <w:t xml:space="preserve">. With </w:t>
      </w:r>
      <w:r w:rsidR="00D35EA4">
        <w:t>EECA as referent category, two</w:t>
      </w:r>
      <w:r>
        <w:t xml:space="preserve"> regions produce negative, significant results: West (</w:t>
      </w:r>
      <w:r>
        <w:rPr>
          <w:i/>
        </w:rPr>
        <w:t>z</w:t>
      </w:r>
      <w:r>
        <w:t xml:space="preserve"> = -2.9</w:t>
      </w:r>
      <w:r w:rsidR="00D35EA4">
        <w:t>2</w:t>
      </w:r>
      <w:r>
        <w:t xml:space="preserve">, </w:t>
      </w:r>
      <w:r>
        <w:rPr>
          <w:i/>
        </w:rPr>
        <w:t xml:space="preserve">p </w:t>
      </w:r>
      <w:r>
        <w:t>&lt; .01)</w:t>
      </w:r>
      <w:r w:rsidR="00D35EA4">
        <w:t xml:space="preserve"> and</w:t>
      </w:r>
      <w:r>
        <w:t xml:space="preserve"> EAP (</w:t>
      </w:r>
      <w:r>
        <w:rPr>
          <w:i/>
        </w:rPr>
        <w:t>z</w:t>
      </w:r>
      <w:r w:rsidR="00D35EA4">
        <w:t xml:space="preserve"> = -3.49</w:t>
      </w:r>
      <w:r>
        <w:t xml:space="preserve">, </w:t>
      </w:r>
      <w:r>
        <w:rPr>
          <w:i/>
        </w:rPr>
        <w:t>p</w:t>
      </w:r>
      <w:r>
        <w:t xml:space="preserve"> &lt; .001) indicating incarcerati</w:t>
      </w:r>
      <w:r w:rsidR="00D35EA4">
        <w:t>on rates are less in these</w:t>
      </w:r>
      <w:r>
        <w:t xml:space="preserve"> regions than in EECA. </w:t>
      </w:r>
    </w:p>
    <w:tbl>
      <w:tblPr>
        <w:tblStyle w:val="TableGrid"/>
        <w:tblW w:w="0" w:type="auto"/>
        <w:tblLook w:val="04A0" w:firstRow="1" w:lastRow="0" w:firstColumn="1" w:lastColumn="0" w:noHBand="0" w:noVBand="1"/>
      </w:tblPr>
      <w:tblGrid>
        <w:gridCol w:w="1435"/>
        <w:gridCol w:w="989"/>
        <w:gridCol w:w="1212"/>
        <w:gridCol w:w="1212"/>
        <w:gridCol w:w="1212"/>
        <w:gridCol w:w="1213"/>
        <w:gridCol w:w="1213"/>
      </w:tblGrid>
      <w:tr w:rsidR="00D35EA4" w:rsidTr="00D35EA4">
        <w:tc>
          <w:tcPr>
            <w:tcW w:w="8486" w:type="dxa"/>
            <w:gridSpan w:val="7"/>
            <w:tcBorders>
              <w:top w:val="nil"/>
              <w:left w:val="nil"/>
              <w:right w:val="nil"/>
            </w:tcBorders>
          </w:tcPr>
          <w:p w:rsidR="00D35EA4" w:rsidRPr="006F0D5D" w:rsidRDefault="00D35EA4" w:rsidP="00D35EA4">
            <w:r w:rsidRPr="006F0D5D">
              <w:t xml:space="preserve">Table </w:t>
            </w:r>
            <w:r w:rsidR="00295E9C" w:rsidRPr="006F0D5D">
              <w:t>11</w:t>
            </w:r>
            <w:r w:rsidR="00951ABC" w:rsidRPr="006F0D5D">
              <w:t>.</w:t>
            </w:r>
            <w:r w:rsidRPr="006F0D5D">
              <w:t xml:space="preserve"> R</w:t>
            </w:r>
            <w:r w:rsidR="00951ABC" w:rsidRPr="006F0D5D">
              <w:t xml:space="preserve">E Regression for Regional </w:t>
            </w:r>
            <w:r w:rsidRPr="006F0D5D">
              <w:t>Variables.</w:t>
            </w:r>
          </w:p>
        </w:tc>
      </w:tr>
      <w:tr w:rsidR="00D35EA4" w:rsidTr="00D35EA4">
        <w:tc>
          <w:tcPr>
            <w:tcW w:w="1435" w:type="dxa"/>
            <w:tcBorders>
              <w:bottom w:val="single" w:sz="4" w:space="0" w:color="auto"/>
            </w:tcBorders>
          </w:tcPr>
          <w:p w:rsidR="00D35EA4" w:rsidRDefault="00D35EA4" w:rsidP="00BC21EC"/>
        </w:tc>
        <w:tc>
          <w:tcPr>
            <w:tcW w:w="989" w:type="dxa"/>
            <w:tcBorders>
              <w:bottom w:val="single" w:sz="4" w:space="0" w:color="auto"/>
              <w:right w:val="nil"/>
            </w:tcBorders>
          </w:tcPr>
          <w:p w:rsidR="00D35EA4" w:rsidRPr="001B614B" w:rsidRDefault="00D35EA4" w:rsidP="00BC21EC">
            <w:pPr>
              <w:jc w:val="right"/>
              <w:rPr>
                <w:sz w:val="16"/>
                <w:szCs w:val="16"/>
              </w:rPr>
            </w:pPr>
            <w:r>
              <w:rPr>
                <w:sz w:val="16"/>
                <w:szCs w:val="16"/>
              </w:rPr>
              <w:t>Model 1</w:t>
            </w:r>
          </w:p>
        </w:tc>
        <w:tc>
          <w:tcPr>
            <w:tcW w:w="1212" w:type="dxa"/>
            <w:tcBorders>
              <w:left w:val="nil"/>
              <w:bottom w:val="single" w:sz="4" w:space="0" w:color="auto"/>
              <w:right w:val="nil"/>
            </w:tcBorders>
          </w:tcPr>
          <w:p w:rsidR="00D35EA4" w:rsidRPr="001B614B" w:rsidRDefault="00D35EA4" w:rsidP="00BC21EC">
            <w:pPr>
              <w:jc w:val="right"/>
              <w:rPr>
                <w:sz w:val="16"/>
                <w:szCs w:val="16"/>
              </w:rPr>
            </w:pPr>
            <w:r>
              <w:rPr>
                <w:sz w:val="16"/>
                <w:szCs w:val="16"/>
              </w:rPr>
              <w:t>Model 2</w:t>
            </w:r>
          </w:p>
        </w:tc>
        <w:tc>
          <w:tcPr>
            <w:tcW w:w="1212" w:type="dxa"/>
            <w:tcBorders>
              <w:left w:val="nil"/>
              <w:bottom w:val="single" w:sz="4" w:space="0" w:color="auto"/>
              <w:right w:val="nil"/>
            </w:tcBorders>
          </w:tcPr>
          <w:p w:rsidR="00D35EA4" w:rsidRPr="001B614B" w:rsidRDefault="00D35EA4" w:rsidP="00BC21EC">
            <w:pPr>
              <w:jc w:val="right"/>
              <w:rPr>
                <w:sz w:val="16"/>
                <w:szCs w:val="16"/>
              </w:rPr>
            </w:pPr>
            <w:r>
              <w:rPr>
                <w:sz w:val="16"/>
                <w:szCs w:val="16"/>
              </w:rPr>
              <w:t>Model 3</w:t>
            </w:r>
          </w:p>
        </w:tc>
        <w:tc>
          <w:tcPr>
            <w:tcW w:w="1212" w:type="dxa"/>
            <w:tcBorders>
              <w:left w:val="nil"/>
              <w:bottom w:val="single" w:sz="4" w:space="0" w:color="auto"/>
              <w:right w:val="nil"/>
            </w:tcBorders>
          </w:tcPr>
          <w:p w:rsidR="00D35EA4" w:rsidRPr="001B614B" w:rsidRDefault="00D35EA4" w:rsidP="00BC21EC">
            <w:pPr>
              <w:jc w:val="right"/>
              <w:rPr>
                <w:sz w:val="16"/>
                <w:szCs w:val="16"/>
              </w:rPr>
            </w:pPr>
            <w:r>
              <w:rPr>
                <w:sz w:val="16"/>
                <w:szCs w:val="16"/>
              </w:rPr>
              <w:t>Model 4</w:t>
            </w:r>
          </w:p>
        </w:tc>
        <w:tc>
          <w:tcPr>
            <w:tcW w:w="1213" w:type="dxa"/>
            <w:tcBorders>
              <w:left w:val="nil"/>
              <w:bottom w:val="single" w:sz="4" w:space="0" w:color="auto"/>
              <w:right w:val="nil"/>
            </w:tcBorders>
          </w:tcPr>
          <w:p w:rsidR="00D35EA4" w:rsidRPr="001B614B" w:rsidRDefault="00D35EA4" w:rsidP="00BC21EC">
            <w:pPr>
              <w:jc w:val="right"/>
              <w:rPr>
                <w:sz w:val="16"/>
                <w:szCs w:val="16"/>
              </w:rPr>
            </w:pPr>
            <w:r>
              <w:rPr>
                <w:sz w:val="16"/>
                <w:szCs w:val="16"/>
              </w:rPr>
              <w:t>Model 5</w:t>
            </w:r>
          </w:p>
        </w:tc>
        <w:tc>
          <w:tcPr>
            <w:tcW w:w="1213" w:type="dxa"/>
            <w:tcBorders>
              <w:left w:val="nil"/>
              <w:bottom w:val="single" w:sz="4" w:space="0" w:color="auto"/>
            </w:tcBorders>
          </w:tcPr>
          <w:p w:rsidR="00D35EA4" w:rsidRPr="001B614B" w:rsidRDefault="00D35EA4" w:rsidP="00BC21EC">
            <w:pPr>
              <w:jc w:val="right"/>
              <w:rPr>
                <w:sz w:val="16"/>
                <w:szCs w:val="16"/>
              </w:rPr>
            </w:pPr>
            <w:r>
              <w:rPr>
                <w:sz w:val="16"/>
                <w:szCs w:val="16"/>
              </w:rPr>
              <w:t>Model 6</w:t>
            </w:r>
          </w:p>
        </w:tc>
      </w:tr>
      <w:tr w:rsidR="00D35EA4" w:rsidTr="00D35EA4">
        <w:tc>
          <w:tcPr>
            <w:tcW w:w="1435" w:type="dxa"/>
            <w:tcBorders>
              <w:bottom w:val="nil"/>
            </w:tcBorders>
          </w:tcPr>
          <w:p w:rsidR="00D35EA4" w:rsidRPr="001B614B" w:rsidRDefault="00D35EA4" w:rsidP="00BC21EC">
            <w:pPr>
              <w:rPr>
                <w:sz w:val="16"/>
                <w:szCs w:val="16"/>
              </w:rPr>
            </w:pPr>
            <w:r>
              <w:rPr>
                <w:sz w:val="16"/>
                <w:szCs w:val="16"/>
              </w:rPr>
              <w:t>West</w:t>
            </w:r>
          </w:p>
        </w:tc>
        <w:tc>
          <w:tcPr>
            <w:tcW w:w="989" w:type="dxa"/>
            <w:tcBorders>
              <w:bottom w:val="nil"/>
              <w:right w:val="nil"/>
            </w:tcBorders>
          </w:tcPr>
          <w:p w:rsidR="00D35EA4" w:rsidRPr="001B614B" w:rsidRDefault="00D35EA4" w:rsidP="00BC21EC">
            <w:pPr>
              <w:jc w:val="right"/>
              <w:rPr>
                <w:sz w:val="14"/>
                <w:szCs w:val="14"/>
              </w:rPr>
            </w:pPr>
          </w:p>
        </w:tc>
        <w:tc>
          <w:tcPr>
            <w:tcW w:w="1212" w:type="dxa"/>
            <w:tcBorders>
              <w:left w:val="nil"/>
              <w:bottom w:val="nil"/>
              <w:right w:val="nil"/>
            </w:tcBorders>
          </w:tcPr>
          <w:p w:rsidR="00D35EA4" w:rsidRPr="001B614B" w:rsidRDefault="00D35EA4" w:rsidP="00BC21EC">
            <w:pPr>
              <w:jc w:val="right"/>
              <w:rPr>
                <w:sz w:val="14"/>
                <w:szCs w:val="14"/>
              </w:rPr>
            </w:pPr>
            <w:r>
              <w:rPr>
                <w:sz w:val="14"/>
                <w:szCs w:val="14"/>
              </w:rPr>
              <w:t>.17</w:t>
            </w:r>
          </w:p>
          <w:p w:rsidR="00D35EA4" w:rsidRPr="001B614B" w:rsidRDefault="00D35EA4" w:rsidP="00BC21EC">
            <w:pPr>
              <w:jc w:val="right"/>
              <w:rPr>
                <w:sz w:val="14"/>
                <w:szCs w:val="14"/>
              </w:rPr>
            </w:pPr>
            <w:r>
              <w:rPr>
                <w:sz w:val="14"/>
                <w:szCs w:val="14"/>
              </w:rPr>
              <w:t>(.22</w:t>
            </w:r>
            <w:r w:rsidRPr="001B614B">
              <w:rPr>
                <w:sz w:val="14"/>
                <w:szCs w:val="14"/>
              </w:rPr>
              <w:t>)</w:t>
            </w:r>
          </w:p>
        </w:tc>
        <w:tc>
          <w:tcPr>
            <w:tcW w:w="1212" w:type="dxa"/>
            <w:tcBorders>
              <w:left w:val="nil"/>
              <w:bottom w:val="nil"/>
              <w:right w:val="nil"/>
            </w:tcBorders>
          </w:tcPr>
          <w:p w:rsidR="00D35EA4" w:rsidRPr="001B614B" w:rsidRDefault="00D35EA4" w:rsidP="00BC21EC">
            <w:pPr>
              <w:jc w:val="right"/>
              <w:rPr>
                <w:sz w:val="14"/>
                <w:szCs w:val="14"/>
              </w:rPr>
            </w:pPr>
            <w:r>
              <w:rPr>
                <w:sz w:val="14"/>
                <w:szCs w:val="14"/>
              </w:rPr>
              <w:t>-.58**</w:t>
            </w:r>
          </w:p>
          <w:p w:rsidR="00D35EA4" w:rsidRPr="001B614B" w:rsidRDefault="00D35EA4" w:rsidP="00BC21EC">
            <w:pPr>
              <w:jc w:val="right"/>
              <w:rPr>
                <w:sz w:val="14"/>
                <w:szCs w:val="14"/>
              </w:rPr>
            </w:pPr>
            <w:r>
              <w:rPr>
                <w:sz w:val="14"/>
                <w:szCs w:val="14"/>
              </w:rPr>
              <w:t>(.20</w:t>
            </w:r>
            <w:r w:rsidRPr="001B614B">
              <w:rPr>
                <w:sz w:val="14"/>
                <w:szCs w:val="14"/>
              </w:rPr>
              <w:t>)</w:t>
            </w:r>
          </w:p>
        </w:tc>
        <w:tc>
          <w:tcPr>
            <w:tcW w:w="1212" w:type="dxa"/>
            <w:tcBorders>
              <w:left w:val="nil"/>
              <w:bottom w:val="nil"/>
              <w:right w:val="nil"/>
            </w:tcBorders>
          </w:tcPr>
          <w:p w:rsidR="00D35EA4" w:rsidRPr="001B614B" w:rsidRDefault="00D35EA4" w:rsidP="00BC21EC">
            <w:pPr>
              <w:jc w:val="right"/>
              <w:rPr>
                <w:sz w:val="14"/>
                <w:szCs w:val="14"/>
              </w:rPr>
            </w:pPr>
            <w:r>
              <w:rPr>
                <w:sz w:val="14"/>
                <w:szCs w:val="14"/>
              </w:rPr>
              <w:t>-.30</w:t>
            </w:r>
            <w:r w:rsidRPr="001B614B">
              <w:rPr>
                <w:sz w:val="14"/>
                <w:szCs w:val="14"/>
              </w:rPr>
              <w:t xml:space="preserve"> </w:t>
            </w:r>
          </w:p>
          <w:p w:rsidR="00D35EA4" w:rsidRPr="001B614B" w:rsidRDefault="00D35EA4" w:rsidP="00BC21EC">
            <w:pPr>
              <w:jc w:val="right"/>
              <w:rPr>
                <w:sz w:val="14"/>
                <w:szCs w:val="14"/>
              </w:rPr>
            </w:pPr>
            <w:r>
              <w:rPr>
                <w:sz w:val="14"/>
                <w:szCs w:val="14"/>
              </w:rPr>
              <w:t>(.22</w:t>
            </w:r>
            <w:r w:rsidRPr="001B614B">
              <w:rPr>
                <w:sz w:val="14"/>
                <w:szCs w:val="14"/>
              </w:rPr>
              <w:t>)</w:t>
            </w:r>
          </w:p>
        </w:tc>
        <w:tc>
          <w:tcPr>
            <w:tcW w:w="1213" w:type="dxa"/>
            <w:tcBorders>
              <w:left w:val="nil"/>
              <w:bottom w:val="nil"/>
              <w:right w:val="nil"/>
            </w:tcBorders>
          </w:tcPr>
          <w:p w:rsidR="00D35EA4" w:rsidRPr="001B614B" w:rsidRDefault="00D35EA4" w:rsidP="00BC21EC">
            <w:pPr>
              <w:jc w:val="right"/>
              <w:rPr>
                <w:sz w:val="14"/>
                <w:szCs w:val="14"/>
              </w:rPr>
            </w:pPr>
            <w:r>
              <w:rPr>
                <w:sz w:val="14"/>
                <w:szCs w:val="14"/>
              </w:rPr>
              <w:t>-.39</w:t>
            </w:r>
          </w:p>
          <w:p w:rsidR="00D35EA4" w:rsidRPr="001B614B" w:rsidRDefault="00D35EA4" w:rsidP="00BC21EC">
            <w:pPr>
              <w:jc w:val="right"/>
              <w:rPr>
                <w:sz w:val="14"/>
                <w:szCs w:val="14"/>
              </w:rPr>
            </w:pPr>
            <w:r>
              <w:rPr>
                <w:sz w:val="14"/>
                <w:szCs w:val="14"/>
              </w:rPr>
              <w:t>(.34</w:t>
            </w:r>
            <w:r w:rsidRPr="001B614B">
              <w:rPr>
                <w:sz w:val="14"/>
                <w:szCs w:val="14"/>
              </w:rPr>
              <w:t>)</w:t>
            </w:r>
          </w:p>
        </w:tc>
        <w:tc>
          <w:tcPr>
            <w:tcW w:w="1213" w:type="dxa"/>
            <w:tcBorders>
              <w:left w:val="nil"/>
              <w:bottom w:val="nil"/>
            </w:tcBorders>
          </w:tcPr>
          <w:p w:rsidR="00D35EA4" w:rsidRPr="001B614B" w:rsidRDefault="00D35EA4" w:rsidP="00BC21EC">
            <w:pPr>
              <w:jc w:val="right"/>
              <w:rPr>
                <w:sz w:val="14"/>
                <w:szCs w:val="14"/>
              </w:rPr>
            </w:pPr>
            <w:r>
              <w:rPr>
                <w:sz w:val="14"/>
                <w:szCs w:val="14"/>
              </w:rPr>
              <w:t>-.41</w:t>
            </w:r>
          </w:p>
          <w:p w:rsidR="00D35EA4" w:rsidRPr="001B614B" w:rsidRDefault="00D35EA4" w:rsidP="00BC21EC">
            <w:pPr>
              <w:jc w:val="right"/>
              <w:rPr>
                <w:sz w:val="14"/>
                <w:szCs w:val="14"/>
              </w:rPr>
            </w:pPr>
            <w:r>
              <w:rPr>
                <w:sz w:val="14"/>
                <w:szCs w:val="14"/>
              </w:rPr>
              <w:t>(.29</w:t>
            </w:r>
            <w:r w:rsidRPr="001B614B">
              <w:rPr>
                <w:sz w:val="14"/>
                <w:szCs w:val="14"/>
              </w:rPr>
              <w:t>)</w:t>
            </w:r>
          </w:p>
        </w:tc>
      </w:tr>
      <w:tr w:rsidR="00D35EA4" w:rsidTr="00D35EA4">
        <w:tc>
          <w:tcPr>
            <w:tcW w:w="1435" w:type="dxa"/>
            <w:tcBorders>
              <w:top w:val="nil"/>
              <w:bottom w:val="nil"/>
            </w:tcBorders>
            <w:shd w:val="clear" w:color="auto" w:fill="E7E6E6" w:themeFill="background2"/>
          </w:tcPr>
          <w:p w:rsidR="00D35EA4" w:rsidRPr="001B614B" w:rsidRDefault="00D35EA4" w:rsidP="00BC21EC">
            <w:pPr>
              <w:rPr>
                <w:sz w:val="16"/>
                <w:szCs w:val="16"/>
              </w:rPr>
            </w:pPr>
            <w:r>
              <w:rPr>
                <w:sz w:val="16"/>
                <w:szCs w:val="16"/>
              </w:rPr>
              <w:t>East Asia and the Pacific</w:t>
            </w:r>
          </w:p>
        </w:tc>
        <w:tc>
          <w:tcPr>
            <w:tcW w:w="989" w:type="dxa"/>
            <w:tcBorders>
              <w:top w:val="nil"/>
              <w:bottom w:val="nil"/>
              <w:right w:val="nil"/>
            </w:tcBorders>
            <w:shd w:val="clear" w:color="auto" w:fill="E7E6E6" w:themeFill="background2"/>
          </w:tcPr>
          <w:p w:rsidR="00D35EA4" w:rsidRPr="001B614B" w:rsidRDefault="00D35EA4" w:rsidP="00BC21EC">
            <w:pPr>
              <w:jc w:val="right"/>
              <w:rPr>
                <w:sz w:val="14"/>
                <w:szCs w:val="14"/>
              </w:rPr>
            </w:pPr>
            <w:r>
              <w:rPr>
                <w:sz w:val="14"/>
                <w:szCs w:val="14"/>
              </w:rPr>
              <w:t>-.17</w:t>
            </w:r>
          </w:p>
          <w:p w:rsidR="00D35EA4" w:rsidRPr="001B614B" w:rsidRDefault="00D35EA4" w:rsidP="00BC21EC">
            <w:pPr>
              <w:jc w:val="right"/>
              <w:rPr>
                <w:sz w:val="14"/>
                <w:szCs w:val="14"/>
              </w:rPr>
            </w:pPr>
            <w:r>
              <w:rPr>
                <w:sz w:val="14"/>
                <w:szCs w:val="14"/>
              </w:rPr>
              <w:t>(.22</w:t>
            </w:r>
            <w:r w:rsidRPr="001B614B">
              <w:rPr>
                <w:sz w:val="14"/>
                <w:szCs w:val="14"/>
              </w:rPr>
              <w:t>)</w:t>
            </w:r>
          </w:p>
        </w:tc>
        <w:tc>
          <w:tcPr>
            <w:tcW w:w="1212"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p>
        </w:tc>
        <w:tc>
          <w:tcPr>
            <w:tcW w:w="1212"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Pr>
                <w:sz w:val="14"/>
                <w:szCs w:val="14"/>
              </w:rPr>
              <w:t>-.75***</w:t>
            </w:r>
          </w:p>
          <w:p w:rsidR="00D35EA4" w:rsidRPr="001B614B" w:rsidRDefault="00D35EA4" w:rsidP="00BC21EC">
            <w:pPr>
              <w:jc w:val="right"/>
              <w:rPr>
                <w:sz w:val="14"/>
                <w:szCs w:val="14"/>
              </w:rPr>
            </w:pPr>
            <w:r>
              <w:rPr>
                <w:sz w:val="14"/>
                <w:szCs w:val="14"/>
              </w:rPr>
              <w:t>(.22</w:t>
            </w:r>
            <w:r w:rsidRPr="001B614B">
              <w:rPr>
                <w:sz w:val="14"/>
                <w:szCs w:val="14"/>
              </w:rPr>
              <w:t>)</w:t>
            </w:r>
          </w:p>
        </w:tc>
        <w:tc>
          <w:tcPr>
            <w:tcW w:w="1212"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Pr>
                <w:sz w:val="14"/>
                <w:szCs w:val="14"/>
              </w:rPr>
              <w:t>-.47*</w:t>
            </w:r>
          </w:p>
          <w:p w:rsidR="00D35EA4" w:rsidRPr="001B614B" w:rsidRDefault="00D35EA4" w:rsidP="00BC21EC">
            <w:pPr>
              <w:jc w:val="right"/>
              <w:rPr>
                <w:sz w:val="14"/>
                <w:szCs w:val="14"/>
              </w:rPr>
            </w:pPr>
            <w:r>
              <w:rPr>
                <w:sz w:val="14"/>
                <w:szCs w:val="14"/>
              </w:rPr>
              <w:t>(.23</w:t>
            </w:r>
            <w:r w:rsidRPr="001B614B">
              <w:rPr>
                <w:sz w:val="14"/>
                <w:szCs w:val="14"/>
              </w:rPr>
              <w:t>)</w:t>
            </w:r>
          </w:p>
        </w:tc>
        <w:tc>
          <w:tcPr>
            <w:tcW w:w="1213"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Pr>
                <w:sz w:val="14"/>
                <w:szCs w:val="14"/>
              </w:rPr>
              <w:t>-.56</w:t>
            </w:r>
          </w:p>
          <w:p w:rsidR="00D35EA4" w:rsidRPr="001B614B" w:rsidRDefault="00D35EA4" w:rsidP="00BC21EC">
            <w:pPr>
              <w:jc w:val="right"/>
              <w:rPr>
                <w:sz w:val="14"/>
                <w:szCs w:val="14"/>
              </w:rPr>
            </w:pPr>
            <w:r>
              <w:rPr>
                <w:sz w:val="14"/>
                <w:szCs w:val="14"/>
              </w:rPr>
              <w:t>(.35</w:t>
            </w:r>
            <w:r w:rsidRPr="001B614B">
              <w:rPr>
                <w:sz w:val="14"/>
                <w:szCs w:val="14"/>
              </w:rPr>
              <w:t>)</w:t>
            </w:r>
          </w:p>
        </w:tc>
        <w:tc>
          <w:tcPr>
            <w:tcW w:w="1213" w:type="dxa"/>
            <w:tcBorders>
              <w:top w:val="nil"/>
              <w:left w:val="nil"/>
              <w:bottom w:val="nil"/>
            </w:tcBorders>
            <w:shd w:val="clear" w:color="auto" w:fill="E7E6E6" w:themeFill="background2"/>
          </w:tcPr>
          <w:p w:rsidR="00D35EA4" w:rsidRPr="001B614B" w:rsidRDefault="00D35EA4" w:rsidP="00BC21EC">
            <w:pPr>
              <w:jc w:val="right"/>
              <w:rPr>
                <w:sz w:val="14"/>
                <w:szCs w:val="14"/>
              </w:rPr>
            </w:pPr>
            <w:r>
              <w:rPr>
                <w:sz w:val="14"/>
                <w:szCs w:val="14"/>
              </w:rPr>
              <w:t>-.58+</w:t>
            </w:r>
          </w:p>
          <w:p w:rsidR="00D35EA4" w:rsidRPr="001B614B" w:rsidRDefault="00D35EA4" w:rsidP="00BC21EC">
            <w:pPr>
              <w:jc w:val="right"/>
              <w:rPr>
                <w:sz w:val="14"/>
                <w:szCs w:val="14"/>
              </w:rPr>
            </w:pPr>
            <w:r>
              <w:rPr>
                <w:sz w:val="14"/>
                <w:szCs w:val="14"/>
              </w:rPr>
              <w:t>(.30</w:t>
            </w:r>
            <w:r w:rsidRPr="001B614B">
              <w:rPr>
                <w:sz w:val="14"/>
                <w:szCs w:val="14"/>
              </w:rPr>
              <w:t>)</w:t>
            </w:r>
          </w:p>
        </w:tc>
      </w:tr>
      <w:tr w:rsidR="00D35EA4" w:rsidTr="00D35EA4">
        <w:tc>
          <w:tcPr>
            <w:tcW w:w="1435" w:type="dxa"/>
            <w:tcBorders>
              <w:top w:val="nil"/>
              <w:bottom w:val="nil"/>
            </w:tcBorders>
          </w:tcPr>
          <w:p w:rsidR="00D35EA4" w:rsidRPr="001B614B" w:rsidRDefault="00D35EA4" w:rsidP="00BC21EC">
            <w:pPr>
              <w:rPr>
                <w:sz w:val="16"/>
                <w:szCs w:val="16"/>
              </w:rPr>
            </w:pPr>
            <w:r>
              <w:rPr>
                <w:sz w:val="16"/>
                <w:szCs w:val="16"/>
              </w:rPr>
              <w:t>Eastern Europe and Central Asia</w:t>
            </w:r>
          </w:p>
        </w:tc>
        <w:tc>
          <w:tcPr>
            <w:tcW w:w="989" w:type="dxa"/>
            <w:tcBorders>
              <w:top w:val="nil"/>
              <w:bottom w:val="nil"/>
              <w:right w:val="nil"/>
            </w:tcBorders>
          </w:tcPr>
          <w:p w:rsidR="00D35EA4" w:rsidRPr="001B614B" w:rsidRDefault="00D35EA4" w:rsidP="00BC21EC">
            <w:pPr>
              <w:jc w:val="right"/>
              <w:rPr>
                <w:sz w:val="14"/>
                <w:szCs w:val="14"/>
              </w:rPr>
            </w:pPr>
            <w:r>
              <w:rPr>
                <w:sz w:val="14"/>
                <w:szCs w:val="14"/>
              </w:rPr>
              <w:t>.58**</w:t>
            </w:r>
          </w:p>
          <w:p w:rsidR="00D35EA4" w:rsidRPr="001B614B" w:rsidRDefault="00D35EA4" w:rsidP="00BC21EC">
            <w:pPr>
              <w:jc w:val="right"/>
              <w:rPr>
                <w:sz w:val="14"/>
                <w:szCs w:val="14"/>
              </w:rPr>
            </w:pPr>
            <w:r>
              <w:rPr>
                <w:sz w:val="14"/>
                <w:szCs w:val="14"/>
              </w:rPr>
              <w:t>(.20</w:t>
            </w:r>
            <w:r w:rsidRPr="001B614B">
              <w:rPr>
                <w:sz w:val="14"/>
                <w:szCs w:val="14"/>
              </w:rPr>
              <w:t>)</w:t>
            </w:r>
          </w:p>
        </w:tc>
        <w:tc>
          <w:tcPr>
            <w:tcW w:w="1212" w:type="dxa"/>
            <w:tcBorders>
              <w:top w:val="nil"/>
              <w:left w:val="nil"/>
              <w:bottom w:val="nil"/>
              <w:right w:val="nil"/>
            </w:tcBorders>
          </w:tcPr>
          <w:p w:rsidR="00D35EA4" w:rsidRPr="001B614B" w:rsidRDefault="00D35EA4" w:rsidP="00BC21EC">
            <w:pPr>
              <w:jc w:val="right"/>
              <w:rPr>
                <w:sz w:val="14"/>
                <w:szCs w:val="14"/>
              </w:rPr>
            </w:pPr>
            <w:r>
              <w:rPr>
                <w:sz w:val="14"/>
                <w:szCs w:val="14"/>
              </w:rPr>
              <w:t>.75***</w:t>
            </w:r>
          </w:p>
          <w:p w:rsidR="00D35EA4" w:rsidRPr="001B614B" w:rsidRDefault="00D35EA4" w:rsidP="00BC21EC">
            <w:pPr>
              <w:jc w:val="right"/>
              <w:rPr>
                <w:sz w:val="14"/>
                <w:szCs w:val="14"/>
              </w:rPr>
            </w:pPr>
            <w:r>
              <w:rPr>
                <w:sz w:val="14"/>
                <w:szCs w:val="14"/>
              </w:rPr>
              <w:t>(.22</w:t>
            </w:r>
            <w:r w:rsidRPr="001B614B">
              <w:rPr>
                <w:sz w:val="14"/>
                <w:szCs w:val="14"/>
              </w:rPr>
              <w:t>)</w:t>
            </w:r>
          </w:p>
        </w:tc>
        <w:tc>
          <w:tcPr>
            <w:tcW w:w="1212" w:type="dxa"/>
            <w:tcBorders>
              <w:top w:val="nil"/>
              <w:left w:val="nil"/>
              <w:bottom w:val="nil"/>
              <w:right w:val="nil"/>
            </w:tcBorders>
          </w:tcPr>
          <w:p w:rsidR="00D35EA4" w:rsidRPr="001B614B" w:rsidRDefault="00D35EA4" w:rsidP="00BC21EC">
            <w:pPr>
              <w:jc w:val="right"/>
              <w:rPr>
                <w:sz w:val="14"/>
                <w:szCs w:val="14"/>
              </w:rPr>
            </w:pPr>
          </w:p>
        </w:tc>
        <w:tc>
          <w:tcPr>
            <w:tcW w:w="1212" w:type="dxa"/>
            <w:tcBorders>
              <w:top w:val="nil"/>
              <w:left w:val="nil"/>
              <w:bottom w:val="nil"/>
              <w:right w:val="nil"/>
            </w:tcBorders>
          </w:tcPr>
          <w:p w:rsidR="00D35EA4" w:rsidRPr="001B614B" w:rsidRDefault="00D35EA4" w:rsidP="00BC21EC">
            <w:pPr>
              <w:jc w:val="right"/>
              <w:rPr>
                <w:sz w:val="14"/>
                <w:szCs w:val="14"/>
              </w:rPr>
            </w:pPr>
            <w:r>
              <w:rPr>
                <w:sz w:val="14"/>
                <w:szCs w:val="14"/>
              </w:rPr>
              <w:t>.28</w:t>
            </w:r>
          </w:p>
          <w:p w:rsidR="00D35EA4" w:rsidRPr="001B614B" w:rsidRDefault="00D35EA4" w:rsidP="00BC21EC">
            <w:pPr>
              <w:jc w:val="right"/>
              <w:rPr>
                <w:sz w:val="14"/>
                <w:szCs w:val="14"/>
              </w:rPr>
            </w:pPr>
            <w:r>
              <w:rPr>
                <w:sz w:val="14"/>
                <w:szCs w:val="14"/>
              </w:rPr>
              <w:t>(.21</w:t>
            </w:r>
            <w:r w:rsidRPr="001B614B">
              <w:rPr>
                <w:sz w:val="14"/>
                <w:szCs w:val="14"/>
              </w:rPr>
              <w:t>)</w:t>
            </w:r>
          </w:p>
        </w:tc>
        <w:tc>
          <w:tcPr>
            <w:tcW w:w="1213" w:type="dxa"/>
            <w:tcBorders>
              <w:top w:val="nil"/>
              <w:left w:val="nil"/>
              <w:bottom w:val="nil"/>
              <w:right w:val="nil"/>
            </w:tcBorders>
          </w:tcPr>
          <w:p w:rsidR="00D35EA4" w:rsidRPr="001B614B" w:rsidRDefault="00D35EA4" w:rsidP="00BC21EC">
            <w:pPr>
              <w:jc w:val="right"/>
              <w:rPr>
                <w:sz w:val="14"/>
                <w:szCs w:val="14"/>
              </w:rPr>
            </w:pPr>
            <w:r>
              <w:rPr>
                <w:sz w:val="14"/>
                <w:szCs w:val="14"/>
              </w:rPr>
              <w:t>.20</w:t>
            </w:r>
          </w:p>
          <w:p w:rsidR="00D35EA4" w:rsidRPr="001B614B" w:rsidRDefault="00D35EA4" w:rsidP="00BC21EC">
            <w:pPr>
              <w:jc w:val="right"/>
              <w:rPr>
                <w:sz w:val="14"/>
                <w:szCs w:val="14"/>
              </w:rPr>
            </w:pPr>
            <w:r>
              <w:rPr>
                <w:sz w:val="14"/>
                <w:szCs w:val="14"/>
              </w:rPr>
              <w:t>(.34</w:t>
            </w:r>
            <w:r w:rsidRPr="001B614B">
              <w:rPr>
                <w:sz w:val="14"/>
                <w:szCs w:val="14"/>
              </w:rPr>
              <w:t>)</w:t>
            </w:r>
          </w:p>
        </w:tc>
        <w:tc>
          <w:tcPr>
            <w:tcW w:w="1213" w:type="dxa"/>
            <w:tcBorders>
              <w:top w:val="nil"/>
              <w:left w:val="nil"/>
              <w:bottom w:val="nil"/>
            </w:tcBorders>
          </w:tcPr>
          <w:p w:rsidR="00D35EA4" w:rsidRPr="001B614B" w:rsidRDefault="00D35EA4" w:rsidP="00BC21EC">
            <w:pPr>
              <w:jc w:val="right"/>
              <w:rPr>
                <w:sz w:val="14"/>
                <w:szCs w:val="14"/>
              </w:rPr>
            </w:pPr>
            <w:r>
              <w:rPr>
                <w:sz w:val="14"/>
                <w:szCs w:val="14"/>
              </w:rPr>
              <w:t>.17</w:t>
            </w:r>
          </w:p>
          <w:p w:rsidR="00D35EA4" w:rsidRPr="001B614B" w:rsidRDefault="00D35EA4" w:rsidP="00BC21EC">
            <w:pPr>
              <w:jc w:val="right"/>
              <w:rPr>
                <w:sz w:val="14"/>
                <w:szCs w:val="14"/>
              </w:rPr>
            </w:pPr>
            <w:r>
              <w:rPr>
                <w:sz w:val="14"/>
                <w:szCs w:val="14"/>
              </w:rPr>
              <w:t>(.29</w:t>
            </w:r>
            <w:r w:rsidRPr="001B614B">
              <w:rPr>
                <w:sz w:val="14"/>
                <w:szCs w:val="14"/>
              </w:rPr>
              <w:t xml:space="preserve">)    </w:t>
            </w:r>
          </w:p>
        </w:tc>
      </w:tr>
      <w:tr w:rsidR="00D35EA4" w:rsidTr="00D35EA4">
        <w:tc>
          <w:tcPr>
            <w:tcW w:w="1435" w:type="dxa"/>
            <w:tcBorders>
              <w:top w:val="nil"/>
              <w:bottom w:val="nil"/>
            </w:tcBorders>
            <w:shd w:val="clear" w:color="auto" w:fill="E7E6E6" w:themeFill="background2"/>
          </w:tcPr>
          <w:p w:rsidR="00D35EA4" w:rsidRPr="001B614B" w:rsidRDefault="00D35EA4" w:rsidP="00BC21EC">
            <w:pPr>
              <w:rPr>
                <w:sz w:val="16"/>
                <w:szCs w:val="16"/>
              </w:rPr>
            </w:pPr>
            <w:r>
              <w:rPr>
                <w:sz w:val="16"/>
                <w:szCs w:val="16"/>
              </w:rPr>
              <w:t>Latin America</w:t>
            </w:r>
          </w:p>
        </w:tc>
        <w:tc>
          <w:tcPr>
            <w:tcW w:w="989" w:type="dxa"/>
            <w:tcBorders>
              <w:top w:val="nil"/>
              <w:bottom w:val="nil"/>
              <w:right w:val="nil"/>
            </w:tcBorders>
            <w:shd w:val="clear" w:color="auto" w:fill="E7E6E6" w:themeFill="background2"/>
          </w:tcPr>
          <w:p w:rsidR="00D35EA4" w:rsidRPr="001B614B" w:rsidRDefault="00D35EA4" w:rsidP="00BC21EC">
            <w:pPr>
              <w:jc w:val="right"/>
              <w:rPr>
                <w:sz w:val="14"/>
                <w:szCs w:val="14"/>
              </w:rPr>
            </w:pPr>
            <w:r>
              <w:rPr>
                <w:sz w:val="14"/>
                <w:szCs w:val="14"/>
              </w:rPr>
              <w:t>.30</w:t>
            </w:r>
          </w:p>
          <w:p w:rsidR="00D35EA4" w:rsidRPr="001B614B" w:rsidRDefault="00D35EA4" w:rsidP="00BC21EC">
            <w:pPr>
              <w:jc w:val="right"/>
              <w:rPr>
                <w:sz w:val="14"/>
                <w:szCs w:val="14"/>
              </w:rPr>
            </w:pPr>
            <w:r>
              <w:rPr>
                <w:sz w:val="14"/>
                <w:szCs w:val="14"/>
              </w:rPr>
              <w:t>(.22</w:t>
            </w:r>
            <w:r w:rsidRPr="001B614B">
              <w:rPr>
                <w:sz w:val="14"/>
                <w:szCs w:val="14"/>
              </w:rPr>
              <w:t>)</w:t>
            </w:r>
          </w:p>
        </w:tc>
        <w:tc>
          <w:tcPr>
            <w:tcW w:w="1212"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Pr>
                <w:sz w:val="14"/>
                <w:szCs w:val="14"/>
              </w:rPr>
              <w:t>.47*</w:t>
            </w:r>
          </w:p>
          <w:p w:rsidR="00D35EA4" w:rsidRPr="001B614B" w:rsidRDefault="00D35EA4" w:rsidP="00BC21EC">
            <w:pPr>
              <w:jc w:val="right"/>
              <w:rPr>
                <w:sz w:val="14"/>
                <w:szCs w:val="14"/>
              </w:rPr>
            </w:pPr>
            <w:r>
              <w:rPr>
                <w:sz w:val="14"/>
                <w:szCs w:val="14"/>
              </w:rPr>
              <w:t>(.23</w:t>
            </w:r>
            <w:r w:rsidRPr="001B614B">
              <w:rPr>
                <w:sz w:val="14"/>
                <w:szCs w:val="14"/>
              </w:rPr>
              <w:t>)</w:t>
            </w:r>
          </w:p>
        </w:tc>
        <w:tc>
          <w:tcPr>
            <w:tcW w:w="1212"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Pr>
                <w:sz w:val="14"/>
                <w:szCs w:val="14"/>
              </w:rPr>
              <w:t>-.28</w:t>
            </w:r>
          </w:p>
          <w:p w:rsidR="00D35EA4" w:rsidRPr="001B614B" w:rsidRDefault="00D35EA4" w:rsidP="00BC21EC">
            <w:pPr>
              <w:jc w:val="right"/>
              <w:rPr>
                <w:sz w:val="14"/>
                <w:szCs w:val="14"/>
              </w:rPr>
            </w:pPr>
            <w:r>
              <w:rPr>
                <w:sz w:val="14"/>
                <w:szCs w:val="14"/>
              </w:rPr>
              <w:t>(.21</w:t>
            </w:r>
            <w:r w:rsidRPr="001B614B">
              <w:rPr>
                <w:sz w:val="14"/>
                <w:szCs w:val="14"/>
              </w:rPr>
              <w:t>)</w:t>
            </w:r>
          </w:p>
        </w:tc>
        <w:tc>
          <w:tcPr>
            <w:tcW w:w="1212"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p>
        </w:tc>
        <w:tc>
          <w:tcPr>
            <w:tcW w:w="1213" w:type="dxa"/>
            <w:tcBorders>
              <w:top w:val="nil"/>
              <w:left w:val="nil"/>
              <w:bottom w:val="nil"/>
              <w:right w:val="nil"/>
            </w:tcBorders>
            <w:shd w:val="clear" w:color="auto" w:fill="E7E6E6" w:themeFill="background2"/>
          </w:tcPr>
          <w:p w:rsidR="00D35EA4" w:rsidRPr="001B614B" w:rsidRDefault="00D35EA4" w:rsidP="00BC21EC">
            <w:pPr>
              <w:jc w:val="right"/>
              <w:rPr>
                <w:sz w:val="14"/>
                <w:szCs w:val="14"/>
              </w:rPr>
            </w:pPr>
            <w:r>
              <w:rPr>
                <w:sz w:val="14"/>
                <w:szCs w:val="14"/>
              </w:rPr>
              <w:t>-.09</w:t>
            </w:r>
          </w:p>
          <w:p w:rsidR="00D35EA4" w:rsidRPr="001B614B" w:rsidRDefault="00D35EA4" w:rsidP="00BC21EC">
            <w:pPr>
              <w:jc w:val="right"/>
              <w:rPr>
                <w:sz w:val="14"/>
                <w:szCs w:val="14"/>
              </w:rPr>
            </w:pPr>
            <w:r>
              <w:rPr>
                <w:sz w:val="14"/>
                <w:szCs w:val="14"/>
              </w:rPr>
              <w:t>(.35</w:t>
            </w:r>
            <w:r w:rsidRPr="001B614B">
              <w:rPr>
                <w:sz w:val="14"/>
                <w:szCs w:val="14"/>
              </w:rPr>
              <w:t>)</w:t>
            </w:r>
          </w:p>
        </w:tc>
        <w:tc>
          <w:tcPr>
            <w:tcW w:w="1213" w:type="dxa"/>
            <w:tcBorders>
              <w:top w:val="nil"/>
              <w:left w:val="nil"/>
              <w:bottom w:val="nil"/>
            </w:tcBorders>
            <w:shd w:val="clear" w:color="auto" w:fill="E7E6E6" w:themeFill="background2"/>
          </w:tcPr>
          <w:p w:rsidR="00D35EA4" w:rsidRPr="001B614B" w:rsidRDefault="00D35EA4" w:rsidP="00BC21EC">
            <w:pPr>
              <w:jc w:val="right"/>
              <w:rPr>
                <w:sz w:val="14"/>
                <w:szCs w:val="14"/>
              </w:rPr>
            </w:pPr>
            <w:r>
              <w:rPr>
                <w:sz w:val="14"/>
                <w:szCs w:val="14"/>
              </w:rPr>
              <w:t>-.11</w:t>
            </w:r>
          </w:p>
          <w:p w:rsidR="00D35EA4" w:rsidRPr="001B614B" w:rsidRDefault="00D35EA4" w:rsidP="00BC21EC">
            <w:pPr>
              <w:jc w:val="right"/>
              <w:rPr>
                <w:sz w:val="14"/>
                <w:szCs w:val="14"/>
              </w:rPr>
            </w:pPr>
            <w:r>
              <w:rPr>
                <w:sz w:val="14"/>
                <w:szCs w:val="14"/>
              </w:rPr>
              <w:t>(.30</w:t>
            </w:r>
            <w:r w:rsidRPr="001B614B">
              <w:rPr>
                <w:sz w:val="14"/>
                <w:szCs w:val="14"/>
              </w:rPr>
              <w:t>)</w:t>
            </w:r>
          </w:p>
        </w:tc>
      </w:tr>
      <w:tr w:rsidR="00D35EA4" w:rsidTr="00D35EA4">
        <w:tc>
          <w:tcPr>
            <w:tcW w:w="1435" w:type="dxa"/>
            <w:tcBorders>
              <w:top w:val="nil"/>
              <w:bottom w:val="nil"/>
            </w:tcBorders>
          </w:tcPr>
          <w:p w:rsidR="00D35EA4" w:rsidRPr="001B614B" w:rsidRDefault="00D35EA4" w:rsidP="00BC21EC">
            <w:pPr>
              <w:rPr>
                <w:sz w:val="16"/>
                <w:szCs w:val="16"/>
              </w:rPr>
            </w:pPr>
            <w:r>
              <w:rPr>
                <w:sz w:val="16"/>
                <w:szCs w:val="16"/>
              </w:rPr>
              <w:t>Middle East and North Africa</w:t>
            </w:r>
          </w:p>
        </w:tc>
        <w:tc>
          <w:tcPr>
            <w:tcW w:w="989" w:type="dxa"/>
            <w:tcBorders>
              <w:top w:val="nil"/>
              <w:bottom w:val="nil"/>
              <w:right w:val="nil"/>
            </w:tcBorders>
          </w:tcPr>
          <w:p w:rsidR="00D35EA4" w:rsidRDefault="00D35EA4" w:rsidP="00BC21EC">
            <w:pPr>
              <w:jc w:val="right"/>
              <w:rPr>
                <w:sz w:val="14"/>
                <w:szCs w:val="14"/>
              </w:rPr>
            </w:pPr>
            <w:r>
              <w:rPr>
                <w:sz w:val="14"/>
                <w:szCs w:val="14"/>
              </w:rPr>
              <w:t>.39</w:t>
            </w:r>
          </w:p>
          <w:p w:rsidR="00D35EA4" w:rsidRPr="001B614B" w:rsidRDefault="00D35EA4" w:rsidP="00BC21EC">
            <w:pPr>
              <w:jc w:val="right"/>
              <w:rPr>
                <w:sz w:val="14"/>
                <w:szCs w:val="14"/>
              </w:rPr>
            </w:pPr>
            <w:r>
              <w:rPr>
                <w:sz w:val="14"/>
                <w:szCs w:val="14"/>
              </w:rPr>
              <w:t>(.34)</w:t>
            </w:r>
          </w:p>
        </w:tc>
        <w:tc>
          <w:tcPr>
            <w:tcW w:w="1212" w:type="dxa"/>
            <w:tcBorders>
              <w:top w:val="nil"/>
              <w:left w:val="nil"/>
              <w:bottom w:val="nil"/>
              <w:right w:val="nil"/>
            </w:tcBorders>
          </w:tcPr>
          <w:p w:rsidR="00D35EA4" w:rsidRPr="001B614B" w:rsidRDefault="00D35EA4" w:rsidP="00BC21EC">
            <w:pPr>
              <w:jc w:val="right"/>
              <w:rPr>
                <w:sz w:val="14"/>
                <w:szCs w:val="14"/>
              </w:rPr>
            </w:pPr>
            <w:r>
              <w:rPr>
                <w:sz w:val="14"/>
                <w:szCs w:val="14"/>
              </w:rPr>
              <w:t>.56</w:t>
            </w:r>
          </w:p>
          <w:p w:rsidR="00D35EA4" w:rsidRPr="001B614B" w:rsidRDefault="00D35EA4" w:rsidP="00BC21EC">
            <w:pPr>
              <w:jc w:val="right"/>
              <w:rPr>
                <w:sz w:val="14"/>
                <w:szCs w:val="14"/>
              </w:rPr>
            </w:pPr>
            <w:r>
              <w:rPr>
                <w:sz w:val="14"/>
                <w:szCs w:val="14"/>
              </w:rPr>
              <w:t>(.35</w:t>
            </w:r>
            <w:r w:rsidRPr="001B614B">
              <w:rPr>
                <w:sz w:val="14"/>
                <w:szCs w:val="14"/>
              </w:rPr>
              <w:t>)</w:t>
            </w:r>
          </w:p>
        </w:tc>
        <w:tc>
          <w:tcPr>
            <w:tcW w:w="1212" w:type="dxa"/>
            <w:tcBorders>
              <w:top w:val="nil"/>
              <w:left w:val="nil"/>
              <w:bottom w:val="nil"/>
              <w:right w:val="nil"/>
            </w:tcBorders>
          </w:tcPr>
          <w:p w:rsidR="00D35EA4" w:rsidRPr="001B614B" w:rsidRDefault="00D35EA4" w:rsidP="00BC21EC">
            <w:pPr>
              <w:jc w:val="right"/>
              <w:rPr>
                <w:sz w:val="14"/>
                <w:szCs w:val="14"/>
              </w:rPr>
            </w:pPr>
            <w:r>
              <w:rPr>
                <w:sz w:val="14"/>
                <w:szCs w:val="14"/>
              </w:rPr>
              <w:t>-.19</w:t>
            </w:r>
          </w:p>
          <w:p w:rsidR="00D35EA4" w:rsidRPr="001B614B" w:rsidRDefault="00D35EA4" w:rsidP="00BC21EC">
            <w:pPr>
              <w:jc w:val="right"/>
              <w:rPr>
                <w:sz w:val="14"/>
                <w:szCs w:val="14"/>
              </w:rPr>
            </w:pPr>
            <w:r>
              <w:rPr>
                <w:sz w:val="14"/>
                <w:szCs w:val="14"/>
              </w:rPr>
              <w:t>(.34</w:t>
            </w:r>
            <w:r w:rsidRPr="001B614B">
              <w:rPr>
                <w:sz w:val="14"/>
                <w:szCs w:val="14"/>
              </w:rPr>
              <w:t>)</w:t>
            </w:r>
          </w:p>
        </w:tc>
        <w:tc>
          <w:tcPr>
            <w:tcW w:w="1212" w:type="dxa"/>
            <w:tcBorders>
              <w:top w:val="nil"/>
              <w:left w:val="nil"/>
              <w:bottom w:val="nil"/>
              <w:right w:val="nil"/>
            </w:tcBorders>
          </w:tcPr>
          <w:p w:rsidR="00D35EA4" w:rsidRPr="001B614B" w:rsidRDefault="00D35EA4" w:rsidP="00BC21EC">
            <w:pPr>
              <w:jc w:val="right"/>
              <w:rPr>
                <w:sz w:val="14"/>
                <w:szCs w:val="14"/>
              </w:rPr>
            </w:pPr>
            <w:r>
              <w:rPr>
                <w:sz w:val="14"/>
                <w:szCs w:val="14"/>
              </w:rPr>
              <w:t>.09</w:t>
            </w:r>
          </w:p>
          <w:p w:rsidR="00D35EA4" w:rsidRPr="001B614B" w:rsidRDefault="00D35EA4" w:rsidP="00BC21EC">
            <w:pPr>
              <w:jc w:val="right"/>
              <w:rPr>
                <w:sz w:val="14"/>
                <w:szCs w:val="14"/>
              </w:rPr>
            </w:pPr>
            <w:r>
              <w:rPr>
                <w:sz w:val="14"/>
                <w:szCs w:val="14"/>
              </w:rPr>
              <w:t>(.35</w:t>
            </w:r>
            <w:r w:rsidRPr="001B614B">
              <w:rPr>
                <w:sz w:val="14"/>
                <w:szCs w:val="14"/>
              </w:rPr>
              <w:t>)</w:t>
            </w:r>
          </w:p>
        </w:tc>
        <w:tc>
          <w:tcPr>
            <w:tcW w:w="1213" w:type="dxa"/>
            <w:tcBorders>
              <w:top w:val="nil"/>
              <w:left w:val="nil"/>
              <w:bottom w:val="nil"/>
              <w:right w:val="nil"/>
            </w:tcBorders>
          </w:tcPr>
          <w:p w:rsidR="00D35EA4" w:rsidRPr="001B614B" w:rsidRDefault="00D35EA4" w:rsidP="00BC21EC">
            <w:pPr>
              <w:jc w:val="right"/>
              <w:rPr>
                <w:sz w:val="14"/>
                <w:szCs w:val="14"/>
              </w:rPr>
            </w:pPr>
          </w:p>
        </w:tc>
        <w:tc>
          <w:tcPr>
            <w:tcW w:w="1213" w:type="dxa"/>
            <w:tcBorders>
              <w:top w:val="nil"/>
              <w:left w:val="nil"/>
              <w:bottom w:val="nil"/>
            </w:tcBorders>
          </w:tcPr>
          <w:p w:rsidR="00D35EA4" w:rsidRPr="001B614B" w:rsidRDefault="00D35EA4" w:rsidP="00BC21EC">
            <w:pPr>
              <w:jc w:val="right"/>
              <w:rPr>
                <w:sz w:val="14"/>
                <w:szCs w:val="14"/>
              </w:rPr>
            </w:pPr>
            <w:r>
              <w:rPr>
                <w:sz w:val="14"/>
                <w:szCs w:val="14"/>
              </w:rPr>
              <w:t>-.02</w:t>
            </w:r>
          </w:p>
          <w:p w:rsidR="00D35EA4" w:rsidRPr="001B614B" w:rsidRDefault="00D35EA4" w:rsidP="00BC21EC">
            <w:pPr>
              <w:jc w:val="right"/>
              <w:rPr>
                <w:sz w:val="14"/>
                <w:szCs w:val="14"/>
              </w:rPr>
            </w:pPr>
            <w:r>
              <w:rPr>
                <w:sz w:val="14"/>
                <w:szCs w:val="14"/>
              </w:rPr>
              <w:t>(.40</w:t>
            </w:r>
            <w:r w:rsidRPr="001B614B">
              <w:rPr>
                <w:sz w:val="14"/>
                <w:szCs w:val="14"/>
              </w:rPr>
              <w:t>)</w:t>
            </w:r>
          </w:p>
        </w:tc>
      </w:tr>
      <w:tr w:rsidR="00D35EA4" w:rsidTr="00D35EA4">
        <w:trPr>
          <w:trHeight w:val="422"/>
        </w:trPr>
        <w:tc>
          <w:tcPr>
            <w:tcW w:w="1435" w:type="dxa"/>
            <w:tcBorders>
              <w:top w:val="nil"/>
            </w:tcBorders>
            <w:shd w:val="clear" w:color="auto" w:fill="E7E6E6" w:themeFill="background2"/>
          </w:tcPr>
          <w:p w:rsidR="00D35EA4" w:rsidRPr="001B614B" w:rsidRDefault="00D35EA4" w:rsidP="00BC21EC">
            <w:pPr>
              <w:rPr>
                <w:sz w:val="16"/>
                <w:szCs w:val="16"/>
              </w:rPr>
            </w:pPr>
            <w:r>
              <w:rPr>
                <w:sz w:val="16"/>
                <w:szCs w:val="16"/>
              </w:rPr>
              <w:t>Sub-Saharan Africa</w:t>
            </w:r>
          </w:p>
        </w:tc>
        <w:tc>
          <w:tcPr>
            <w:tcW w:w="989" w:type="dxa"/>
            <w:tcBorders>
              <w:top w:val="nil"/>
              <w:bottom w:val="single" w:sz="4" w:space="0" w:color="auto"/>
              <w:right w:val="nil"/>
            </w:tcBorders>
            <w:shd w:val="clear" w:color="auto" w:fill="E7E6E6" w:themeFill="background2"/>
          </w:tcPr>
          <w:p w:rsidR="00D35EA4" w:rsidRPr="001B614B" w:rsidRDefault="00D35EA4" w:rsidP="00BC21EC">
            <w:pPr>
              <w:jc w:val="right"/>
              <w:rPr>
                <w:sz w:val="14"/>
                <w:szCs w:val="14"/>
              </w:rPr>
            </w:pPr>
            <w:r>
              <w:rPr>
                <w:sz w:val="14"/>
                <w:szCs w:val="14"/>
              </w:rPr>
              <w:t>.41</w:t>
            </w:r>
          </w:p>
          <w:p w:rsidR="00D35EA4" w:rsidRPr="001B614B" w:rsidRDefault="00D35EA4" w:rsidP="00BC21EC">
            <w:pPr>
              <w:jc w:val="right"/>
              <w:rPr>
                <w:sz w:val="14"/>
                <w:szCs w:val="14"/>
              </w:rPr>
            </w:pPr>
            <w:r>
              <w:rPr>
                <w:sz w:val="14"/>
                <w:szCs w:val="14"/>
              </w:rPr>
              <w:t>(.29</w:t>
            </w:r>
            <w:r w:rsidRPr="001B614B">
              <w:rPr>
                <w:sz w:val="14"/>
                <w:szCs w:val="14"/>
              </w:rPr>
              <w:t>)</w:t>
            </w:r>
          </w:p>
        </w:tc>
        <w:tc>
          <w:tcPr>
            <w:tcW w:w="1212" w:type="dxa"/>
            <w:tcBorders>
              <w:top w:val="nil"/>
              <w:left w:val="nil"/>
              <w:bottom w:val="single" w:sz="4" w:space="0" w:color="auto"/>
              <w:right w:val="nil"/>
            </w:tcBorders>
            <w:shd w:val="clear" w:color="auto" w:fill="E7E6E6" w:themeFill="background2"/>
          </w:tcPr>
          <w:p w:rsidR="00D35EA4" w:rsidRPr="001B614B" w:rsidRDefault="00D35EA4" w:rsidP="00BC21EC">
            <w:pPr>
              <w:jc w:val="right"/>
              <w:rPr>
                <w:sz w:val="14"/>
                <w:szCs w:val="14"/>
              </w:rPr>
            </w:pPr>
            <w:r>
              <w:rPr>
                <w:sz w:val="14"/>
                <w:szCs w:val="14"/>
              </w:rPr>
              <w:t>.58+</w:t>
            </w:r>
          </w:p>
          <w:p w:rsidR="00D35EA4" w:rsidRPr="001B614B" w:rsidRDefault="00D35EA4" w:rsidP="00BC21EC">
            <w:pPr>
              <w:jc w:val="right"/>
              <w:rPr>
                <w:sz w:val="14"/>
                <w:szCs w:val="14"/>
              </w:rPr>
            </w:pPr>
            <w:r>
              <w:rPr>
                <w:sz w:val="14"/>
                <w:szCs w:val="14"/>
              </w:rPr>
              <w:t>(.30</w:t>
            </w:r>
            <w:r w:rsidRPr="001B614B">
              <w:rPr>
                <w:sz w:val="14"/>
                <w:szCs w:val="14"/>
              </w:rPr>
              <w:t>)</w:t>
            </w:r>
          </w:p>
        </w:tc>
        <w:tc>
          <w:tcPr>
            <w:tcW w:w="1212" w:type="dxa"/>
            <w:tcBorders>
              <w:top w:val="nil"/>
              <w:left w:val="nil"/>
              <w:bottom w:val="single" w:sz="4" w:space="0" w:color="auto"/>
              <w:right w:val="nil"/>
            </w:tcBorders>
            <w:shd w:val="clear" w:color="auto" w:fill="E7E6E6" w:themeFill="background2"/>
          </w:tcPr>
          <w:p w:rsidR="00D35EA4" w:rsidRPr="001B614B" w:rsidRDefault="00D35EA4" w:rsidP="00BC21EC">
            <w:pPr>
              <w:jc w:val="right"/>
              <w:rPr>
                <w:sz w:val="14"/>
                <w:szCs w:val="14"/>
              </w:rPr>
            </w:pPr>
            <w:r>
              <w:rPr>
                <w:sz w:val="14"/>
                <w:szCs w:val="14"/>
              </w:rPr>
              <w:t>-.17</w:t>
            </w:r>
          </w:p>
          <w:p w:rsidR="00D35EA4" w:rsidRPr="001B614B" w:rsidRDefault="00D35EA4" w:rsidP="00BC21EC">
            <w:pPr>
              <w:jc w:val="right"/>
              <w:rPr>
                <w:sz w:val="14"/>
                <w:szCs w:val="14"/>
              </w:rPr>
            </w:pPr>
            <w:r>
              <w:rPr>
                <w:sz w:val="14"/>
                <w:szCs w:val="14"/>
              </w:rPr>
              <w:t>(.29</w:t>
            </w:r>
            <w:r w:rsidRPr="001B614B">
              <w:rPr>
                <w:sz w:val="14"/>
                <w:szCs w:val="14"/>
              </w:rPr>
              <w:t>)</w:t>
            </w:r>
          </w:p>
        </w:tc>
        <w:tc>
          <w:tcPr>
            <w:tcW w:w="1212" w:type="dxa"/>
            <w:tcBorders>
              <w:top w:val="nil"/>
              <w:left w:val="nil"/>
              <w:bottom w:val="single" w:sz="4" w:space="0" w:color="auto"/>
              <w:right w:val="nil"/>
            </w:tcBorders>
            <w:shd w:val="clear" w:color="auto" w:fill="E7E6E6" w:themeFill="background2"/>
          </w:tcPr>
          <w:p w:rsidR="00D35EA4" w:rsidRPr="001B614B" w:rsidRDefault="00D35EA4" w:rsidP="00BC21EC">
            <w:pPr>
              <w:jc w:val="right"/>
              <w:rPr>
                <w:sz w:val="14"/>
                <w:szCs w:val="14"/>
              </w:rPr>
            </w:pPr>
            <w:r>
              <w:rPr>
                <w:sz w:val="14"/>
                <w:szCs w:val="14"/>
              </w:rPr>
              <w:t>-.11</w:t>
            </w:r>
          </w:p>
          <w:p w:rsidR="00D35EA4" w:rsidRPr="001B614B" w:rsidRDefault="00D35EA4" w:rsidP="00BC21EC">
            <w:pPr>
              <w:jc w:val="right"/>
              <w:rPr>
                <w:sz w:val="14"/>
                <w:szCs w:val="14"/>
              </w:rPr>
            </w:pPr>
            <w:r>
              <w:rPr>
                <w:sz w:val="14"/>
                <w:szCs w:val="14"/>
              </w:rPr>
              <w:t>(.30</w:t>
            </w:r>
            <w:r w:rsidRPr="001B614B">
              <w:rPr>
                <w:sz w:val="14"/>
                <w:szCs w:val="14"/>
              </w:rPr>
              <w:t>)</w:t>
            </w:r>
          </w:p>
        </w:tc>
        <w:tc>
          <w:tcPr>
            <w:tcW w:w="1213" w:type="dxa"/>
            <w:tcBorders>
              <w:top w:val="nil"/>
              <w:left w:val="nil"/>
              <w:bottom w:val="single" w:sz="4" w:space="0" w:color="auto"/>
              <w:right w:val="nil"/>
            </w:tcBorders>
            <w:shd w:val="clear" w:color="auto" w:fill="E7E6E6" w:themeFill="background2"/>
          </w:tcPr>
          <w:p w:rsidR="00D35EA4" w:rsidRPr="001B614B" w:rsidRDefault="00D35EA4" w:rsidP="00BC21EC">
            <w:pPr>
              <w:jc w:val="right"/>
              <w:rPr>
                <w:sz w:val="14"/>
                <w:szCs w:val="14"/>
              </w:rPr>
            </w:pPr>
            <w:r>
              <w:rPr>
                <w:sz w:val="14"/>
                <w:szCs w:val="14"/>
              </w:rPr>
              <w:t>.02</w:t>
            </w:r>
          </w:p>
          <w:p w:rsidR="00D35EA4" w:rsidRPr="001B614B" w:rsidRDefault="00D35EA4" w:rsidP="00BC21EC">
            <w:pPr>
              <w:jc w:val="right"/>
              <w:rPr>
                <w:sz w:val="14"/>
                <w:szCs w:val="14"/>
              </w:rPr>
            </w:pPr>
            <w:r>
              <w:rPr>
                <w:sz w:val="14"/>
                <w:szCs w:val="14"/>
              </w:rPr>
              <w:t>(.40</w:t>
            </w:r>
            <w:r w:rsidRPr="001B614B">
              <w:rPr>
                <w:sz w:val="14"/>
                <w:szCs w:val="14"/>
              </w:rPr>
              <w:t>)</w:t>
            </w:r>
          </w:p>
        </w:tc>
        <w:tc>
          <w:tcPr>
            <w:tcW w:w="1213" w:type="dxa"/>
            <w:tcBorders>
              <w:top w:val="nil"/>
              <w:left w:val="nil"/>
              <w:bottom w:val="single" w:sz="4" w:space="0" w:color="auto"/>
            </w:tcBorders>
            <w:shd w:val="clear" w:color="auto" w:fill="E7E6E6" w:themeFill="background2"/>
          </w:tcPr>
          <w:p w:rsidR="00D35EA4" w:rsidRPr="001B614B" w:rsidRDefault="00D35EA4" w:rsidP="00BC21EC">
            <w:pPr>
              <w:jc w:val="right"/>
              <w:rPr>
                <w:sz w:val="14"/>
                <w:szCs w:val="14"/>
              </w:rPr>
            </w:pPr>
          </w:p>
        </w:tc>
      </w:tr>
      <w:tr w:rsidR="00D35EA4" w:rsidTr="00D35EA4">
        <w:tc>
          <w:tcPr>
            <w:tcW w:w="1435" w:type="dxa"/>
            <w:tcBorders>
              <w:bottom w:val="single" w:sz="4" w:space="0" w:color="auto"/>
            </w:tcBorders>
          </w:tcPr>
          <w:p w:rsidR="00D35EA4" w:rsidRPr="00176A72" w:rsidRDefault="00D35EA4" w:rsidP="00BC21EC">
            <w:pPr>
              <w:rPr>
                <w:sz w:val="14"/>
                <w:szCs w:val="14"/>
              </w:rPr>
            </w:pPr>
            <w:r w:rsidRPr="00176A72">
              <w:rPr>
                <w:i/>
                <w:sz w:val="14"/>
                <w:szCs w:val="14"/>
              </w:rPr>
              <w:t>R</w:t>
            </w:r>
            <w:r w:rsidRPr="00176A72">
              <w:rPr>
                <w:sz w:val="14"/>
                <w:szCs w:val="14"/>
                <w:vertAlign w:val="superscript"/>
              </w:rPr>
              <w:t>2</w:t>
            </w:r>
            <w:r w:rsidRPr="00176A72">
              <w:rPr>
                <w:sz w:val="14"/>
                <w:szCs w:val="14"/>
              </w:rPr>
              <w:t xml:space="preserve"> Overall</w:t>
            </w:r>
          </w:p>
          <w:p w:rsidR="00D35EA4" w:rsidRPr="00176A72" w:rsidRDefault="00D35EA4" w:rsidP="00BC21EC">
            <w:pPr>
              <w:rPr>
                <w:sz w:val="14"/>
                <w:szCs w:val="14"/>
              </w:rPr>
            </w:pPr>
            <w:r w:rsidRPr="00176A72">
              <w:rPr>
                <w:i/>
                <w:sz w:val="14"/>
                <w:szCs w:val="14"/>
              </w:rPr>
              <w:t>R</w:t>
            </w:r>
            <w:r w:rsidRPr="00176A72">
              <w:rPr>
                <w:i/>
                <w:sz w:val="14"/>
                <w:szCs w:val="14"/>
                <w:vertAlign w:val="superscript"/>
              </w:rPr>
              <w:t xml:space="preserve">w </w:t>
            </w:r>
            <w:r w:rsidRPr="00176A72">
              <w:rPr>
                <w:sz w:val="14"/>
                <w:szCs w:val="14"/>
              </w:rPr>
              <w:t xml:space="preserve"> Within</w:t>
            </w:r>
          </w:p>
          <w:p w:rsidR="00D35EA4" w:rsidRPr="00176A72" w:rsidRDefault="00D35EA4" w:rsidP="00BC21EC">
            <w:pPr>
              <w:rPr>
                <w:sz w:val="14"/>
                <w:szCs w:val="14"/>
              </w:rPr>
            </w:pPr>
            <w:r w:rsidRPr="00176A72">
              <w:rPr>
                <w:i/>
                <w:sz w:val="14"/>
                <w:szCs w:val="14"/>
              </w:rPr>
              <w:t>R</w:t>
            </w:r>
            <w:r w:rsidRPr="00176A72">
              <w:rPr>
                <w:i/>
                <w:sz w:val="14"/>
                <w:szCs w:val="14"/>
                <w:vertAlign w:val="superscript"/>
              </w:rPr>
              <w:t>w</w:t>
            </w:r>
            <w:r w:rsidRPr="00176A72">
              <w:rPr>
                <w:sz w:val="14"/>
                <w:szCs w:val="14"/>
              </w:rPr>
              <w:t xml:space="preserve"> Between</w:t>
            </w:r>
          </w:p>
          <w:p w:rsidR="00D35EA4" w:rsidRPr="00176A72" w:rsidRDefault="00D35EA4" w:rsidP="00BC21EC">
            <w:pPr>
              <w:rPr>
                <w:sz w:val="14"/>
                <w:szCs w:val="14"/>
              </w:rPr>
            </w:pPr>
            <w:r w:rsidRPr="00176A72">
              <w:rPr>
                <w:sz w:val="14"/>
                <w:szCs w:val="14"/>
              </w:rPr>
              <w:t>N observations</w:t>
            </w:r>
          </w:p>
          <w:p w:rsidR="00D35EA4" w:rsidRPr="001B614B" w:rsidRDefault="00D35EA4" w:rsidP="00BC21EC">
            <w:pPr>
              <w:rPr>
                <w:sz w:val="16"/>
                <w:szCs w:val="16"/>
              </w:rPr>
            </w:pPr>
            <w:r w:rsidRPr="00176A72">
              <w:rPr>
                <w:sz w:val="14"/>
                <w:szCs w:val="14"/>
              </w:rPr>
              <w:t>N groups</w:t>
            </w:r>
          </w:p>
        </w:tc>
        <w:tc>
          <w:tcPr>
            <w:tcW w:w="989" w:type="dxa"/>
            <w:tcBorders>
              <w:bottom w:val="single" w:sz="4" w:space="0" w:color="auto"/>
              <w:right w:val="nil"/>
            </w:tcBorders>
          </w:tcPr>
          <w:p w:rsidR="00D35EA4" w:rsidRPr="001B614B" w:rsidRDefault="00D35EA4" w:rsidP="00BC21EC">
            <w:pPr>
              <w:jc w:val="right"/>
              <w:rPr>
                <w:sz w:val="14"/>
                <w:szCs w:val="14"/>
              </w:rPr>
            </w:pPr>
            <w:r>
              <w:rPr>
                <w:sz w:val="14"/>
                <w:szCs w:val="14"/>
              </w:rPr>
              <w:t>.13</w:t>
            </w:r>
          </w:p>
          <w:p w:rsidR="00D35EA4" w:rsidRPr="001B614B" w:rsidRDefault="00D35EA4" w:rsidP="00BC21EC">
            <w:pPr>
              <w:jc w:val="right"/>
              <w:rPr>
                <w:sz w:val="14"/>
                <w:szCs w:val="14"/>
              </w:rPr>
            </w:pPr>
            <w:r>
              <w:rPr>
                <w:sz w:val="14"/>
                <w:szCs w:val="14"/>
              </w:rPr>
              <w:t>.00</w:t>
            </w:r>
          </w:p>
          <w:p w:rsidR="00D35EA4" w:rsidRPr="001B614B" w:rsidRDefault="00D35EA4" w:rsidP="00BC21EC">
            <w:pPr>
              <w:jc w:val="right"/>
              <w:rPr>
                <w:sz w:val="14"/>
                <w:szCs w:val="14"/>
              </w:rPr>
            </w:pPr>
            <w:r>
              <w:rPr>
                <w:sz w:val="14"/>
                <w:szCs w:val="14"/>
              </w:rPr>
              <w:t>.18</w:t>
            </w:r>
          </w:p>
          <w:p w:rsidR="00D35EA4" w:rsidRDefault="00D35EA4" w:rsidP="00BC21EC">
            <w:pPr>
              <w:jc w:val="right"/>
              <w:rPr>
                <w:sz w:val="14"/>
                <w:szCs w:val="14"/>
              </w:rPr>
            </w:pPr>
            <w:r>
              <w:rPr>
                <w:sz w:val="14"/>
                <w:szCs w:val="14"/>
              </w:rPr>
              <w:t>325</w:t>
            </w:r>
          </w:p>
          <w:p w:rsidR="00D35EA4" w:rsidRPr="001B614B" w:rsidRDefault="00D35EA4" w:rsidP="00BC21EC">
            <w:pPr>
              <w:jc w:val="right"/>
              <w:rPr>
                <w:sz w:val="14"/>
                <w:szCs w:val="14"/>
              </w:rPr>
            </w:pPr>
            <w:r>
              <w:rPr>
                <w:sz w:val="14"/>
                <w:szCs w:val="14"/>
              </w:rPr>
              <w:t>77</w:t>
            </w:r>
          </w:p>
        </w:tc>
        <w:tc>
          <w:tcPr>
            <w:tcW w:w="1212" w:type="dxa"/>
            <w:tcBorders>
              <w:left w:val="nil"/>
              <w:bottom w:val="single" w:sz="4" w:space="0" w:color="auto"/>
              <w:right w:val="nil"/>
            </w:tcBorders>
          </w:tcPr>
          <w:p w:rsidR="00D35EA4" w:rsidRPr="001B614B" w:rsidRDefault="00D35EA4" w:rsidP="00BC21EC">
            <w:pPr>
              <w:jc w:val="right"/>
              <w:rPr>
                <w:sz w:val="14"/>
                <w:szCs w:val="14"/>
              </w:rPr>
            </w:pPr>
            <w:r>
              <w:rPr>
                <w:sz w:val="14"/>
                <w:szCs w:val="14"/>
              </w:rPr>
              <w:t>.13</w:t>
            </w:r>
          </w:p>
          <w:p w:rsidR="00D35EA4" w:rsidRPr="001B614B" w:rsidRDefault="00D35EA4" w:rsidP="00BC21EC">
            <w:pPr>
              <w:jc w:val="right"/>
              <w:rPr>
                <w:sz w:val="14"/>
                <w:szCs w:val="14"/>
              </w:rPr>
            </w:pPr>
            <w:r>
              <w:rPr>
                <w:sz w:val="14"/>
                <w:szCs w:val="14"/>
              </w:rPr>
              <w:t>.00</w:t>
            </w:r>
          </w:p>
          <w:p w:rsidR="00D35EA4" w:rsidRPr="001B614B" w:rsidRDefault="00D35EA4" w:rsidP="00BC21EC">
            <w:pPr>
              <w:jc w:val="right"/>
              <w:rPr>
                <w:sz w:val="14"/>
                <w:szCs w:val="14"/>
              </w:rPr>
            </w:pPr>
            <w:r>
              <w:rPr>
                <w:sz w:val="14"/>
                <w:szCs w:val="14"/>
              </w:rPr>
              <w:t>.18</w:t>
            </w:r>
          </w:p>
          <w:p w:rsidR="00D35EA4" w:rsidRDefault="00D35EA4" w:rsidP="00BC21EC">
            <w:pPr>
              <w:jc w:val="right"/>
              <w:rPr>
                <w:sz w:val="14"/>
                <w:szCs w:val="14"/>
              </w:rPr>
            </w:pPr>
            <w:r>
              <w:rPr>
                <w:sz w:val="14"/>
                <w:szCs w:val="14"/>
              </w:rPr>
              <w:t>325</w:t>
            </w:r>
          </w:p>
          <w:p w:rsidR="00D35EA4" w:rsidRPr="001B614B" w:rsidRDefault="00D35EA4" w:rsidP="00BC21EC">
            <w:pPr>
              <w:jc w:val="right"/>
              <w:rPr>
                <w:sz w:val="14"/>
                <w:szCs w:val="14"/>
              </w:rPr>
            </w:pPr>
            <w:r>
              <w:rPr>
                <w:sz w:val="14"/>
                <w:szCs w:val="14"/>
              </w:rPr>
              <w:t>77</w:t>
            </w:r>
          </w:p>
        </w:tc>
        <w:tc>
          <w:tcPr>
            <w:tcW w:w="1212" w:type="dxa"/>
            <w:tcBorders>
              <w:left w:val="nil"/>
              <w:bottom w:val="single" w:sz="4" w:space="0" w:color="auto"/>
              <w:right w:val="nil"/>
            </w:tcBorders>
          </w:tcPr>
          <w:p w:rsidR="00D35EA4" w:rsidRPr="00176A72" w:rsidRDefault="00D35EA4" w:rsidP="00BC21EC">
            <w:pPr>
              <w:jc w:val="right"/>
              <w:rPr>
                <w:sz w:val="14"/>
                <w:szCs w:val="14"/>
              </w:rPr>
            </w:pPr>
            <w:r w:rsidRPr="00176A72">
              <w:rPr>
                <w:sz w:val="14"/>
                <w:szCs w:val="14"/>
              </w:rPr>
              <w:t>.13</w:t>
            </w:r>
          </w:p>
          <w:p w:rsidR="00D35EA4" w:rsidRPr="00176A72" w:rsidRDefault="00D35EA4" w:rsidP="00BC21EC">
            <w:pPr>
              <w:jc w:val="right"/>
              <w:rPr>
                <w:sz w:val="14"/>
                <w:szCs w:val="14"/>
              </w:rPr>
            </w:pPr>
            <w:r w:rsidRPr="00176A72">
              <w:rPr>
                <w:sz w:val="14"/>
                <w:szCs w:val="14"/>
              </w:rPr>
              <w:t>.00</w:t>
            </w:r>
          </w:p>
          <w:p w:rsidR="00D35EA4" w:rsidRPr="00176A72" w:rsidRDefault="00D35EA4" w:rsidP="00BC21EC">
            <w:pPr>
              <w:jc w:val="right"/>
              <w:rPr>
                <w:sz w:val="14"/>
                <w:szCs w:val="14"/>
              </w:rPr>
            </w:pPr>
            <w:r w:rsidRPr="00176A72">
              <w:rPr>
                <w:sz w:val="14"/>
                <w:szCs w:val="14"/>
              </w:rPr>
              <w:t>.18</w:t>
            </w:r>
          </w:p>
          <w:p w:rsidR="00D35EA4" w:rsidRPr="00176A72" w:rsidRDefault="00D35EA4" w:rsidP="00BC21EC">
            <w:pPr>
              <w:jc w:val="right"/>
              <w:rPr>
                <w:sz w:val="14"/>
                <w:szCs w:val="14"/>
              </w:rPr>
            </w:pPr>
            <w:r w:rsidRPr="00176A72">
              <w:rPr>
                <w:sz w:val="14"/>
                <w:szCs w:val="14"/>
              </w:rPr>
              <w:t>325</w:t>
            </w:r>
          </w:p>
          <w:p w:rsidR="00D35EA4" w:rsidRPr="001B614B" w:rsidRDefault="00D35EA4" w:rsidP="00BC21EC">
            <w:pPr>
              <w:jc w:val="right"/>
              <w:rPr>
                <w:sz w:val="14"/>
                <w:szCs w:val="14"/>
              </w:rPr>
            </w:pPr>
            <w:r w:rsidRPr="00176A72">
              <w:rPr>
                <w:sz w:val="14"/>
                <w:szCs w:val="14"/>
              </w:rPr>
              <w:t>77</w:t>
            </w:r>
          </w:p>
        </w:tc>
        <w:tc>
          <w:tcPr>
            <w:tcW w:w="1212" w:type="dxa"/>
            <w:tcBorders>
              <w:left w:val="nil"/>
              <w:bottom w:val="single" w:sz="4" w:space="0" w:color="auto"/>
              <w:right w:val="nil"/>
            </w:tcBorders>
          </w:tcPr>
          <w:p w:rsidR="00D35EA4" w:rsidRPr="00176A72" w:rsidRDefault="00D35EA4" w:rsidP="00BC21EC">
            <w:pPr>
              <w:jc w:val="right"/>
              <w:rPr>
                <w:sz w:val="14"/>
                <w:szCs w:val="14"/>
              </w:rPr>
            </w:pPr>
            <w:r w:rsidRPr="00176A72">
              <w:rPr>
                <w:sz w:val="14"/>
                <w:szCs w:val="14"/>
              </w:rPr>
              <w:t>.13</w:t>
            </w:r>
          </w:p>
          <w:p w:rsidR="00D35EA4" w:rsidRPr="00176A72" w:rsidRDefault="00D35EA4" w:rsidP="00BC21EC">
            <w:pPr>
              <w:jc w:val="right"/>
              <w:rPr>
                <w:sz w:val="14"/>
                <w:szCs w:val="14"/>
              </w:rPr>
            </w:pPr>
            <w:r w:rsidRPr="00176A72">
              <w:rPr>
                <w:sz w:val="14"/>
                <w:szCs w:val="14"/>
              </w:rPr>
              <w:t>.00</w:t>
            </w:r>
          </w:p>
          <w:p w:rsidR="00D35EA4" w:rsidRPr="00176A72" w:rsidRDefault="00D35EA4" w:rsidP="00BC21EC">
            <w:pPr>
              <w:jc w:val="right"/>
              <w:rPr>
                <w:sz w:val="14"/>
                <w:szCs w:val="14"/>
              </w:rPr>
            </w:pPr>
            <w:r w:rsidRPr="00176A72">
              <w:rPr>
                <w:sz w:val="14"/>
                <w:szCs w:val="14"/>
              </w:rPr>
              <w:t>.18</w:t>
            </w:r>
          </w:p>
          <w:p w:rsidR="00D35EA4" w:rsidRPr="00176A72" w:rsidRDefault="00D35EA4" w:rsidP="00BC21EC">
            <w:pPr>
              <w:jc w:val="right"/>
              <w:rPr>
                <w:sz w:val="14"/>
                <w:szCs w:val="14"/>
              </w:rPr>
            </w:pPr>
            <w:r w:rsidRPr="00176A72">
              <w:rPr>
                <w:sz w:val="14"/>
                <w:szCs w:val="14"/>
              </w:rPr>
              <w:t>325</w:t>
            </w:r>
          </w:p>
          <w:p w:rsidR="00D35EA4" w:rsidRPr="001B614B" w:rsidRDefault="00D35EA4" w:rsidP="00BC21EC">
            <w:pPr>
              <w:jc w:val="right"/>
              <w:rPr>
                <w:sz w:val="14"/>
                <w:szCs w:val="14"/>
              </w:rPr>
            </w:pPr>
            <w:r w:rsidRPr="00176A72">
              <w:rPr>
                <w:sz w:val="14"/>
                <w:szCs w:val="14"/>
              </w:rPr>
              <w:t>77</w:t>
            </w:r>
          </w:p>
        </w:tc>
        <w:tc>
          <w:tcPr>
            <w:tcW w:w="1213" w:type="dxa"/>
            <w:tcBorders>
              <w:left w:val="nil"/>
              <w:bottom w:val="single" w:sz="4" w:space="0" w:color="auto"/>
              <w:right w:val="nil"/>
            </w:tcBorders>
          </w:tcPr>
          <w:p w:rsidR="00D35EA4" w:rsidRPr="001B614B" w:rsidRDefault="00D35EA4" w:rsidP="00BC21EC">
            <w:pPr>
              <w:jc w:val="right"/>
              <w:rPr>
                <w:sz w:val="14"/>
                <w:szCs w:val="14"/>
              </w:rPr>
            </w:pPr>
            <w:r>
              <w:rPr>
                <w:sz w:val="14"/>
                <w:szCs w:val="14"/>
              </w:rPr>
              <w:t>.13</w:t>
            </w:r>
          </w:p>
          <w:p w:rsidR="00D35EA4" w:rsidRPr="001B614B" w:rsidRDefault="00D35EA4" w:rsidP="00BC21EC">
            <w:pPr>
              <w:jc w:val="right"/>
              <w:rPr>
                <w:sz w:val="14"/>
                <w:szCs w:val="14"/>
              </w:rPr>
            </w:pPr>
            <w:r>
              <w:rPr>
                <w:sz w:val="14"/>
                <w:szCs w:val="14"/>
              </w:rPr>
              <w:t>.00</w:t>
            </w:r>
          </w:p>
          <w:p w:rsidR="00D35EA4" w:rsidRPr="001B614B" w:rsidRDefault="00D35EA4" w:rsidP="00BC21EC">
            <w:pPr>
              <w:jc w:val="right"/>
              <w:rPr>
                <w:sz w:val="14"/>
                <w:szCs w:val="14"/>
              </w:rPr>
            </w:pPr>
            <w:r>
              <w:rPr>
                <w:sz w:val="14"/>
                <w:szCs w:val="14"/>
              </w:rPr>
              <w:t>.18</w:t>
            </w:r>
          </w:p>
          <w:p w:rsidR="00D35EA4" w:rsidRDefault="00D35EA4" w:rsidP="00BC21EC">
            <w:pPr>
              <w:jc w:val="right"/>
              <w:rPr>
                <w:sz w:val="14"/>
                <w:szCs w:val="14"/>
              </w:rPr>
            </w:pPr>
            <w:r>
              <w:rPr>
                <w:sz w:val="14"/>
                <w:szCs w:val="14"/>
              </w:rPr>
              <w:t>325</w:t>
            </w:r>
          </w:p>
          <w:p w:rsidR="00D35EA4" w:rsidRPr="001B614B" w:rsidRDefault="00D35EA4" w:rsidP="00BC21EC">
            <w:pPr>
              <w:jc w:val="right"/>
              <w:rPr>
                <w:sz w:val="14"/>
                <w:szCs w:val="14"/>
              </w:rPr>
            </w:pPr>
            <w:r>
              <w:rPr>
                <w:sz w:val="14"/>
                <w:szCs w:val="14"/>
              </w:rPr>
              <w:t>77</w:t>
            </w:r>
          </w:p>
        </w:tc>
        <w:tc>
          <w:tcPr>
            <w:tcW w:w="1213" w:type="dxa"/>
            <w:tcBorders>
              <w:left w:val="nil"/>
              <w:bottom w:val="single" w:sz="4" w:space="0" w:color="auto"/>
            </w:tcBorders>
          </w:tcPr>
          <w:p w:rsidR="00D35EA4" w:rsidRPr="00176A72" w:rsidRDefault="00D35EA4" w:rsidP="00BC21EC">
            <w:pPr>
              <w:jc w:val="right"/>
              <w:rPr>
                <w:sz w:val="14"/>
                <w:szCs w:val="14"/>
              </w:rPr>
            </w:pPr>
            <w:r w:rsidRPr="00176A72">
              <w:rPr>
                <w:sz w:val="14"/>
                <w:szCs w:val="14"/>
              </w:rPr>
              <w:t>.13</w:t>
            </w:r>
          </w:p>
          <w:p w:rsidR="00D35EA4" w:rsidRPr="00176A72" w:rsidRDefault="00D35EA4" w:rsidP="00BC21EC">
            <w:pPr>
              <w:jc w:val="right"/>
              <w:rPr>
                <w:sz w:val="14"/>
                <w:szCs w:val="14"/>
              </w:rPr>
            </w:pPr>
            <w:r w:rsidRPr="00176A72">
              <w:rPr>
                <w:sz w:val="14"/>
                <w:szCs w:val="14"/>
              </w:rPr>
              <w:t>.00</w:t>
            </w:r>
          </w:p>
          <w:p w:rsidR="00D35EA4" w:rsidRPr="00176A72" w:rsidRDefault="00D35EA4" w:rsidP="00BC21EC">
            <w:pPr>
              <w:jc w:val="right"/>
              <w:rPr>
                <w:sz w:val="14"/>
                <w:szCs w:val="14"/>
              </w:rPr>
            </w:pPr>
            <w:r w:rsidRPr="00176A72">
              <w:rPr>
                <w:sz w:val="14"/>
                <w:szCs w:val="14"/>
              </w:rPr>
              <w:t>.18</w:t>
            </w:r>
          </w:p>
          <w:p w:rsidR="00D35EA4" w:rsidRPr="00176A72" w:rsidRDefault="00D35EA4" w:rsidP="00BC21EC">
            <w:pPr>
              <w:jc w:val="right"/>
              <w:rPr>
                <w:sz w:val="14"/>
                <w:szCs w:val="14"/>
              </w:rPr>
            </w:pPr>
            <w:r w:rsidRPr="00176A72">
              <w:rPr>
                <w:sz w:val="14"/>
                <w:szCs w:val="14"/>
              </w:rPr>
              <w:t>325</w:t>
            </w:r>
          </w:p>
          <w:p w:rsidR="00D35EA4" w:rsidRPr="001B614B" w:rsidRDefault="00D35EA4" w:rsidP="00BC21EC">
            <w:pPr>
              <w:jc w:val="right"/>
              <w:rPr>
                <w:sz w:val="14"/>
                <w:szCs w:val="14"/>
              </w:rPr>
            </w:pPr>
            <w:r w:rsidRPr="00176A72">
              <w:rPr>
                <w:sz w:val="14"/>
                <w:szCs w:val="14"/>
              </w:rPr>
              <w:t>77</w:t>
            </w:r>
          </w:p>
        </w:tc>
      </w:tr>
      <w:tr w:rsidR="00D35EA4" w:rsidTr="00BC21EC">
        <w:tc>
          <w:tcPr>
            <w:tcW w:w="1435" w:type="dxa"/>
            <w:tcBorders>
              <w:left w:val="nil"/>
              <w:bottom w:val="nil"/>
              <w:right w:val="nil"/>
            </w:tcBorders>
          </w:tcPr>
          <w:p w:rsidR="00D35EA4" w:rsidRPr="001B614B" w:rsidRDefault="00D35EA4" w:rsidP="00BC21EC">
            <w:pPr>
              <w:rPr>
                <w:sz w:val="16"/>
                <w:szCs w:val="16"/>
              </w:rPr>
            </w:pPr>
          </w:p>
        </w:tc>
        <w:tc>
          <w:tcPr>
            <w:tcW w:w="989" w:type="dxa"/>
            <w:tcBorders>
              <w:left w:val="nil"/>
              <w:bottom w:val="nil"/>
              <w:right w:val="nil"/>
            </w:tcBorders>
          </w:tcPr>
          <w:p w:rsidR="00D35EA4" w:rsidRPr="001B614B" w:rsidRDefault="00D35EA4" w:rsidP="00BC21EC">
            <w:pPr>
              <w:jc w:val="right"/>
              <w:rPr>
                <w:sz w:val="14"/>
                <w:szCs w:val="14"/>
              </w:rPr>
            </w:pPr>
          </w:p>
        </w:tc>
        <w:tc>
          <w:tcPr>
            <w:tcW w:w="1212" w:type="dxa"/>
            <w:tcBorders>
              <w:left w:val="nil"/>
              <w:bottom w:val="nil"/>
              <w:right w:val="nil"/>
            </w:tcBorders>
          </w:tcPr>
          <w:p w:rsidR="00D35EA4" w:rsidRPr="001B614B" w:rsidRDefault="00D35EA4" w:rsidP="00BC21EC">
            <w:pPr>
              <w:jc w:val="right"/>
              <w:rPr>
                <w:sz w:val="14"/>
                <w:szCs w:val="14"/>
              </w:rPr>
            </w:pPr>
          </w:p>
        </w:tc>
        <w:tc>
          <w:tcPr>
            <w:tcW w:w="1212" w:type="dxa"/>
            <w:tcBorders>
              <w:left w:val="nil"/>
              <w:bottom w:val="nil"/>
              <w:right w:val="nil"/>
            </w:tcBorders>
          </w:tcPr>
          <w:p w:rsidR="00D35EA4" w:rsidRPr="001B614B" w:rsidRDefault="00D35EA4" w:rsidP="00BC21EC">
            <w:pPr>
              <w:jc w:val="right"/>
              <w:rPr>
                <w:sz w:val="14"/>
                <w:szCs w:val="14"/>
              </w:rPr>
            </w:pPr>
          </w:p>
        </w:tc>
        <w:tc>
          <w:tcPr>
            <w:tcW w:w="1212" w:type="dxa"/>
            <w:tcBorders>
              <w:left w:val="nil"/>
              <w:bottom w:val="nil"/>
              <w:right w:val="nil"/>
            </w:tcBorders>
          </w:tcPr>
          <w:p w:rsidR="00D35EA4" w:rsidRPr="001B614B" w:rsidRDefault="00D35EA4" w:rsidP="00BC21EC">
            <w:pPr>
              <w:jc w:val="right"/>
              <w:rPr>
                <w:sz w:val="14"/>
                <w:szCs w:val="14"/>
              </w:rPr>
            </w:pPr>
          </w:p>
        </w:tc>
        <w:tc>
          <w:tcPr>
            <w:tcW w:w="1213" w:type="dxa"/>
            <w:tcBorders>
              <w:left w:val="nil"/>
              <w:bottom w:val="nil"/>
              <w:right w:val="nil"/>
            </w:tcBorders>
          </w:tcPr>
          <w:p w:rsidR="00D35EA4" w:rsidRPr="001B614B" w:rsidRDefault="00D35EA4" w:rsidP="00BC21EC">
            <w:pPr>
              <w:jc w:val="right"/>
              <w:rPr>
                <w:sz w:val="14"/>
                <w:szCs w:val="14"/>
              </w:rPr>
            </w:pPr>
          </w:p>
        </w:tc>
        <w:tc>
          <w:tcPr>
            <w:tcW w:w="1213" w:type="dxa"/>
            <w:tcBorders>
              <w:left w:val="nil"/>
              <w:bottom w:val="nil"/>
              <w:right w:val="nil"/>
            </w:tcBorders>
          </w:tcPr>
          <w:p w:rsidR="00D35EA4" w:rsidRPr="001B614B" w:rsidRDefault="00D35EA4" w:rsidP="00BC21EC">
            <w:pPr>
              <w:jc w:val="right"/>
              <w:rPr>
                <w:sz w:val="14"/>
                <w:szCs w:val="14"/>
              </w:rPr>
            </w:pPr>
          </w:p>
        </w:tc>
      </w:tr>
    </w:tbl>
    <w:p w:rsidR="006F0D5D" w:rsidRDefault="006F0D5D" w:rsidP="00A47A45">
      <w:pPr>
        <w:spacing w:line="480" w:lineRule="auto"/>
        <w:contextualSpacing/>
      </w:pPr>
    </w:p>
    <w:p w:rsidR="00A47A45" w:rsidRPr="00A47A45" w:rsidRDefault="00D35EA4" w:rsidP="00A47A45">
      <w:pPr>
        <w:spacing w:line="480" w:lineRule="auto"/>
        <w:contextualSpacing/>
      </w:pPr>
      <w:r>
        <w:tab/>
        <w:t xml:space="preserve">When I examine incarceration rates and the influence of world-systems position, no significant differences are noted. </w:t>
      </w:r>
      <w:r w:rsidR="00A47A45">
        <w:br w:type="page"/>
      </w:r>
      <w:r w:rsidR="00A47A45" w:rsidRPr="00A47A45">
        <w:lastRenderedPageBreak/>
        <w:t xml:space="preserve">CHAPTER 3. </w:t>
      </w:r>
      <w:r w:rsidR="00A47A45" w:rsidRPr="00525FCF">
        <w:rPr>
          <w:noProof/>
        </w:rPr>
        <w:t>EXAMINING</w:t>
      </w:r>
      <w:r w:rsidR="00A47A45" w:rsidRPr="00A47A45">
        <w:t xml:space="preserve"> TRENDS </w:t>
      </w:r>
    </w:p>
    <w:p w:rsidR="002633CD" w:rsidRDefault="00A47A45" w:rsidP="00A47A45">
      <w:pPr>
        <w:spacing w:line="480" w:lineRule="auto"/>
        <w:contextualSpacing/>
      </w:pPr>
      <w:r w:rsidRPr="00A47A45">
        <w:t xml:space="preserve">Not only are there differences in many of the variables of interest between countries, but there is </w:t>
      </w:r>
      <w:r w:rsidRPr="00525FCF">
        <w:rPr>
          <w:noProof/>
        </w:rPr>
        <w:t>variation</w:t>
      </w:r>
      <w:r w:rsidRPr="00A47A45">
        <w:t xml:space="preserve"> for many of the variables over time. In this section, </w:t>
      </w:r>
      <w:r w:rsidRPr="00A47A45">
        <w:rPr>
          <w:noProof/>
        </w:rPr>
        <w:t>I</w:t>
      </w:r>
      <w:r w:rsidRPr="00A47A45">
        <w:t xml:space="preserve"> explore trends over the </w:t>
      </w:r>
      <w:r w:rsidR="002633CD">
        <w:t>fourteen-year period from 1994-2008</w:t>
      </w:r>
      <w:r w:rsidRPr="00A47A45">
        <w:t xml:space="preserve"> using Tableau Desktop Professional Edition, Version 9.2 for the graphics presentation. </w:t>
      </w:r>
      <w:r w:rsidR="002633CD">
        <w:t xml:space="preserve">Again, I limit the scope of this </w:t>
      </w:r>
      <w:r w:rsidR="002633CD" w:rsidRPr="00525FCF">
        <w:rPr>
          <w:noProof/>
        </w:rPr>
        <w:t>analysis</w:t>
      </w:r>
      <w:r w:rsidR="002633CD">
        <w:t xml:space="preserve"> to the 77 countries</w:t>
      </w:r>
      <w:r w:rsidR="00E00414">
        <w:t xml:space="preserve"> </w:t>
      </w:r>
      <w:r w:rsidR="002633CD">
        <w:t xml:space="preserve">used for additional </w:t>
      </w:r>
      <w:r w:rsidR="002633CD" w:rsidRPr="00525FCF">
        <w:rPr>
          <w:noProof/>
        </w:rPr>
        <w:t>analyses</w:t>
      </w:r>
      <w:r w:rsidR="002633CD">
        <w:t xml:space="preserve">. </w:t>
      </w:r>
    </w:p>
    <w:p w:rsidR="00A47A45" w:rsidRPr="00A47A45" w:rsidRDefault="002633CD" w:rsidP="002633CD">
      <w:pPr>
        <w:spacing w:line="480" w:lineRule="auto"/>
        <w:ind w:firstLine="720"/>
        <w:contextualSpacing/>
      </w:pPr>
      <w:r>
        <w:t xml:space="preserve">To maximize countries available for </w:t>
      </w:r>
      <w:r w:rsidRPr="00525FCF">
        <w:rPr>
          <w:noProof/>
        </w:rPr>
        <w:t>analysis</w:t>
      </w:r>
      <w:r>
        <w:t xml:space="preserve">, I average each of the variables for each country for two time periods, from 1994 through 2002 (the median year in the </w:t>
      </w:r>
      <w:r w:rsidRPr="00525FCF">
        <w:rPr>
          <w:noProof/>
        </w:rPr>
        <w:t>analysis</w:t>
      </w:r>
      <w:r>
        <w:t xml:space="preserve">) and from 2003 through 2008. The resultant average is recorded for the years 2002 and 2008, respectively. Due to the requirement for each country to produce at least one data point for each of the listed time frames, the total number of countries available for investigating trends falls to 49. This includes 18 countries from the West, </w:t>
      </w:r>
      <w:r w:rsidRPr="00525FCF">
        <w:rPr>
          <w:noProof/>
        </w:rPr>
        <w:t>7</w:t>
      </w:r>
      <w:r>
        <w:t xml:space="preserve"> from East Asia and the Pacific, 17 from East Europe and Central Asia, </w:t>
      </w:r>
      <w:r w:rsidRPr="00525FCF">
        <w:rPr>
          <w:noProof/>
        </w:rPr>
        <w:t>5</w:t>
      </w:r>
      <w:r>
        <w:t xml:space="preserve"> from Latin America, </w:t>
      </w:r>
      <w:r w:rsidRPr="00525FCF">
        <w:rPr>
          <w:noProof/>
        </w:rPr>
        <w:t>3</w:t>
      </w:r>
      <w:r>
        <w:t xml:space="preserve"> from the Middle East and North Africa, and </w:t>
      </w:r>
      <w:r w:rsidRPr="00525FCF">
        <w:rPr>
          <w:noProof/>
        </w:rPr>
        <w:t>1</w:t>
      </w:r>
      <w:r>
        <w:t xml:space="preserve"> from Sub-Saharan Africa.</w:t>
      </w:r>
      <w:r w:rsidR="006C381A">
        <w:t xml:space="preserve"> Due to the lack of representation for SSA, I omit it from graphic </w:t>
      </w:r>
      <w:r w:rsidR="00525FCF">
        <w:rPr>
          <w:noProof/>
        </w:rPr>
        <w:t>image</w:t>
      </w:r>
      <w:r w:rsidR="006C381A" w:rsidRPr="00525FCF">
        <w:rPr>
          <w:noProof/>
        </w:rPr>
        <w:t>s</w:t>
      </w:r>
      <w:r w:rsidR="006C381A">
        <w:t xml:space="preserve"> in this section.</w:t>
      </w:r>
      <w:r>
        <w:t xml:space="preserve"> </w:t>
      </w:r>
      <w:r w:rsidR="00A47A45" w:rsidRPr="00A47A45">
        <w:t xml:space="preserve">Following a general discussion of the variables, </w:t>
      </w:r>
      <w:r w:rsidR="00A47A45" w:rsidRPr="00A47A45">
        <w:rPr>
          <w:noProof/>
        </w:rPr>
        <w:t>I</w:t>
      </w:r>
      <w:r w:rsidR="00A47A45" w:rsidRPr="00A47A45">
        <w:t xml:space="preserve"> explore trends by regions and within regions. </w:t>
      </w:r>
    </w:p>
    <w:p w:rsidR="00A47A45" w:rsidRDefault="00A47A45" w:rsidP="00A47A45">
      <w:pPr>
        <w:spacing w:line="480" w:lineRule="auto"/>
        <w:contextualSpacing/>
      </w:pPr>
      <w:r w:rsidRPr="00A47A45">
        <w:tab/>
        <w:t xml:space="preserve">An overview of trends for many of the variables for the countries covered in this analysis follows. </w:t>
      </w:r>
      <w:r w:rsidRPr="00A47A45">
        <w:rPr>
          <w:noProof/>
        </w:rPr>
        <w:t>Incarceration</w:t>
      </w:r>
      <w:r w:rsidRPr="00A47A45">
        <w:t xml:space="preserve"> rates </w:t>
      </w:r>
      <w:r w:rsidR="002633CD">
        <w:t>and inequality appear steady during this time frame</w:t>
      </w:r>
      <w:r w:rsidRPr="00A47A45">
        <w:t xml:space="preserve">. The average gross domestic product per capita </w:t>
      </w:r>
      <w:r w:rsidRPr="00A47A45">
        <w:rPr>
          <w:noProof/>
        </w:rPr>
        <w:t>of</w:t>
      </w:r>
      <w:r w:rsidRPr="00A47A45">
        <w:t xml:space="preserve"> the nations included in</w:t>
      </w:r>
      <w:r w:rsidR="002633CD">
        <w:t xml:space="preserve"> this study reflects </w:t>
      </w:r>
      <w:r w:rsidRPr="00A47A45">
        <w:rPr>
          <w:noProof/>
        </w:rPr>
        <w:t>growth</w:t>
      </w:r>
      <w:r w:rsidR="002633CD">
        <w:rPr>
          <w:noProof/>
        </w:rPr>
        <w:t xml:space="preserve">. </w:t>
      </w:r>
      <w:r w:rsidR="002633CD">
        <w:t>D</w:t>
      </w:r>
      <w:r w:rsidRPr="00A47A45">
        <w:t xml:space="preserve">emocracy increases </w:t>
      </w:r>
      <w:r w:rsidR="002633CD">
        <w:t>from the mid-</w:t>
      </w:r>
      <w:r w:rsidRPr="00A47A45">
        <w:t xml:space="preserve">1990s, coinciding with the dissolution of the Soviet Union. </w:t>
      </w:r>
      <w:r w:rsidR="002633CD">
        <w:t>Worldwide, t</w:t>
      </w:r>
      <w:r w:rsidRPr="00A47A45">
        <w:rPr>
          <w:noProof/>
        </w:rPr>
        <w:t>he percentage of the population between the ages of 15 and 64</w:t>
      </w:r>
      <w:r w:rsidR="002633CD">
        <w:t xml:space="preserve"> has</w:t>
      </w:r>
      <w:r w:rsidRPr="00A47A45">
        <w:t xml:space="preserve"> grown</w:t>
      </w:r>
      <w:r w:rsidR="002633CD">
        <w:t xml:space="preserve">. On average, the percent of the population residing in urban areas worldwide </w:t>
      </w:r>
      <w:r w:rsidRPr="00A47A45">
        <w:t>has increased</w:t>
      </w:r>
      <w:r w:rsidR="002633CD">
        <w:t>.</w:t>
      </w:r>
      <w:r w:rsidRPr="00A47A45">
        <w:t xml:space="preserve"> Physical integrity rights </w:t>
      </w:r>
      <w:r w:rsidR="002633CD">
        <w:t xml:space="preserve">are lower in the second </w:t>
      </w:r>
      <w:r w:rsidR="002633CD">
        <w:lastRenderedPageBreak/>
        <w:t xml:space="preserve">half of the </w:t>
      </w:r>
      <w:r w:rsidR="002633CD" w:rsidRPr="00525FCF">
        <w:rPr>
          <w:noProof/>
        </w:rPr>
        <w:t>period</w:t>
      </w:r>
      <w:r w:rsidR="002633CD">
        <w:t>. On the other hand, ed</w:t>
      </w:r>
      <w:r w:rsidRPr="00A47A45">
        <w:t xml:space="preserve">ucational attainment </w:t>
      </w:r>
      <w:r w:rsidR="002633CD">
        <w:rPr>
          <w:noProof/>
        </w:rPr>
        <w:t xml:space="preserve">is greater in the second half of the </w:t>
      </w:r>
      <w:r w:rsidR="002633CD" w:rsidRPr="00525FCF">
        <w:rPr>
          <w:noProof/>
        </w:rPr>
        <w:t>period</w:t>
      </w:r>
      <w:r w:rsidR="002633CD">
        <w:rPr>
          <w:noProof/>
        </w:rPr>
        <w:t xml:space="preserve">. </w:t>
      </w:r>
      <w:r w:rsidRPr="00A47A45">
        <w:t xml:space="preserve">Homicide rates </w:t>
      </w:r>
      <w:r w:rsidR="002C0D8A">
        <w:t>decline slightly and d</w:t>
      </w:r>
      <w:r w:rsidRPr="00A47A45">
        <w:t>rug offense rates increase.</w:t>
      </w:r>
      <w:r w:rsidRPr="00A47A45">
        <w:rPr>
          <w:noProof/>
        </w:rPr>
        <w:t xml:space="preserve"> I </w:t>
      </w:r>
      <w:r w:rsidR="00FC3174">
        <w:rPr>
          <w:noProof/>
        </w:rPr>
        <w:t>discuss this more in-depth with accompanying</w:t>
      </w:r>
      <w:r w:rsidRPr="00A47A45">
        <w:rPr>
          <w:noProof/>
        </w:rPr>
        <w:t xml:space="preserve"> graphical representations</w:t>
      </w:r>
      <w:r w:rsidRPr="00A47A45">
        <w:t>.</w:t>
      </w:r>
    </w:p>
    <w:p w:rsidR="00A47A45" w:rsidRPr="00BC59A1" w:rsidRDefault="00A47A45" w:rsidP="00A47A45">
      <w:pPr>
        <w:spacing w:line="480" w:lineRule="auto"/>
        <w:contextualSpacing/>
        <w:rPr>
          <w:noProof/>
        </w:rPr>
      </w:pPr>
      <w:r w:rsidRPr="00A47A45">
        <w:rPr>
          <w:i/>
        </w:rPr>
        <w:t xml:space="preserve">Incarceration </w:t>
      </w:r>
      <w:r w:rsidRPr="00BC59A1">
        <w:rPr>
          <w:i/>
          <w:noProof/>
        </w:rPr>
        <w:t>Rates.</w:t>
      </w:r>
      <w:r w:rsidRPr="00BC59A1">
        <w:rPr>
          <w:noProof/>
        </w:rPr>
        <w:t xml:space="preserve"> </w:t>
      </w:r>
    </w:p>
    <w:p w:rsidR="00A47A45" w:rsidRPr="00A47A45" w:rsidRDefault="00A47A45" w:rsidP="00A47A45">
      <w:pPr>
        <w:spacing w:line="480" w:lineRule="auto"/>
        <w:contextualSpacing/>
      </w:pPr>
      <w:r w:rsidRPr="00BC59A1">
        <w:rPr>
          <w:noProof/>
        </w:rPr>
        <w:t>Incarceration rates differ from country to country. The</w:t>
      </w:r>
      <w:r w:rsidRPr="00A47A45">
        <w:t xml:space="preserve"> United States and the Russian Federation have </w:t>
      </w:r>
      <w:r w:rsidRPr="00BC59A1">
        <w:rPr>
          <w:noProof/>
        </w:rPr>
        <w:t>recorded the highest incarceration rates for those providing</w:t>
      </w:r>
      <w:r w:rsidRPr="00A47A45">
        <w:t xml:space="preserve"> data</w:t>
      </w:r>
      <w:r w:rsidR="002633CD">
        <w:t xml:space="preserve">, while India and Indonesia have much lower incarceration </w:t>
      </w:r>
      <w:r w:rsidR="002633CD" w:rsidRPr="00525FCF">
        <w:rPr>
          <w:noProof/>
        </w:rPr>
        <w:t>rates</w:t>
      </w:r>
      <w:r w:rsidRPr="00525FCF">
        <w:rPr>
          <w:noProof/>
        </w:rPr>
        <w:t>.</w:t>
      </w:r>
      <w:r w:rsidRPr="00A47A45">
        <w:t xml:space="preserve"> </w:t>
      </w:r>
    </w:p>
    <w:p w:rsidR="00A47A45" w:rsidRDefault="00A47A45" w:rsidP="00FC3174">
      <w:pPr>
        <w:spacing w:line="480" w:lineRule="auto"/>
        <w:ind w:firstLine="720"/>
        <w:contextualSpacing/>
      </w:pPr>
      <w:r w:rsidRPr="00A47A45">
        <w:t xml:space="preserve">Looking at the average for incarceration rates across the world </w:t>
      </w:r>
      <w:r w:rsidR="004A3A32">
        <w:t xml:space="preserve">during this timeframe </w:t>
      </w:r>
      <w:r w:rsidRPr="00A47A45">
        <w:t>show</w:t>
      </w:r>
      <w:r w:rsidR="004A3A32">
        <w:t xml:space="preserve">s </w:t>
      </w:r>
      <w:r w:rsidR="004A3A32" w:rsidRPr="00525FCF">
        <w:rPr>
          <w:noProof/>
        </w:rPr>
        <w:t>little</w:t>
      </w:r>
      <w:r w:rsidR="004A3A32">
        <w:t xml:space="preserve"> change</w:t>
      </w:r>
      <w:r w:rsidRPr="00A47A45">
        <w:t xml:space="preserve">. </w:t>
      </w:r>
    </w:p>
    <w:p w:rsidR="00057B53" w:rsidRDefault="00057B53" w:rsidP="00A47A45">
      <w:pPr>
        <w:spacing w:line="240" w:lineRule="auto"/>
        <w:contextualSpacing/>
        <w:rPr>
          <w:noProof/>
        </w:rPr>
      </w:pPr>
    </w:p>
    <w:p w:rsidR="00A47A45" w:rsidRPr="00BC59A1" w:rsidRDefault="00C86B22" w:rsidP="00A47A45">
      <w:pPr>
        <w:spacing w:line="240" w:lineRule="auto"/>
        <w:contextualSpacing/>
        <w:rPr>
          <w:noProof/>
        </w:rPr>
      </w:pPr>
      <w:r w:rsidRPr="00BC59A1">
        <w:rPr>
          <w:noProof/>
        </w:rPr>
        <w:t>Figu</w:t>
      </w:r>
      <w:r w:rsidR="00295E9C">
        <w:rPr>
          <w:noProof/>
        </w:rPr>
        <w:t>re 15</w:t>
      </w:r>
      <w:r w:rsidR="00A47A45" w:rsidRPr="00BC59A1">
        <w:rPr>
          <w:noProof/>
        </w:rPr>
        <w:t>. Average Incarceration Rates Worldwide.</w:t>
      </w:r>
    </w:p>
    <w:p w:rsidR="00A47A45" w:rsidRPr="00BC59A1" w:rsidRDefault="00CA4320" w:rsidP="00A47A45">
      <w:pPr>
        <w:spacing w:line="480" w:lineRule="auto"/>
        <w:contextualSpacing/>
        <w:rPr>
          <w:noProof/>
        </w:rPr>
      </w:pPr>
      <w:r>
        <w:rPr>
          <w:noProof/>
        </w:rPr>
        <w:drawing>
          <wp:inline distT="0" distB="0" distL="0" distR="0">
            <wp:extent cx="5394960" cy="196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cratesm_year.png"/>
                    <pic:cNvPicPr/>
                  </pic:nvPicPr>
                  <pic:blipFill>
                    <a:blip r:embed="rId28">
                      <a:extLst>
                        <a:ext uri="{28A0092B-C50C-407E-A947-70E740481C1C}">
                          <a14:useLocalDpi xmlns:a14="http://schemas.microsoft.com/office/drawing/2010/main" val="0"/>
                        </a:ext>
                      </a:extLst>
                    </a:blip>
                    <a:stretch>
                      <a:fillRect/>
                    </a:stretch>
                  </pic:blipFill>
                  <pic:spPr>
                    <a:xfrm>
                      <a:off x="0" y="0"/>
                      <a:ext cx="5394960" cy="1963420"/>
                    </a:xfrm>
                    <a:prstGeom prst="rect">
                      <a:avLst/>
                    </a:prstGeom>
                  </pic:spPr>
                </pic:pic>
              </a:graphicData>
            </a:graphic>
          </wp:inline>
        </w:drawing>
      </w:r>
    </w:p>
    <w:p w:rsidR="004A3A32" w:rsidRPr="00A47A45" w:rsidRDefault="00A47A45" w:rsidP="004A3A32">
      <w:pPr>
        <w:spacing w:line="480" w:lineRule="auto"/>
        <w:ind w:firstLine="720"/>
        <w:contextualSpacing/>
      </w:pPr>
      <w:r w:rsidRPr="00A47A45">
        <w:t xml:space="preserve">Examining trends in average incarceration rates by regions of the world </w:t>
      </w:r>
      <w:r w:rsidR="004A3A32">
        <w:t xml:space="preserve">shows the lowest rates in the West, followed by EAP and LA. In the Middle East and North Africa, incarceration rates increase more than other regions and are greatest at the end of the </w:t>
      </w:r>
      <w:r w:rsidR="004A3A32" w:rsidRPr="00525FCF">
        <w:rPr>
          <w:noProof/>
        </w:rPr>
        <w:t>time period</w:t>
      </w:r>
      <w:r w:rsidR="004A3A32">
        <w:t xml:space="preserve">. </w:t>
      </w:r>
    </w:p>
    <w:p w:rsidR="00525FCF" w:rsidRDefault="00525FCF" w:rsidP="00A47A45">
      <w:pPr>
        <w:spacing w:line="240" w:lineRule="auto"/>
        <w:contextualSpacing/>
      </w:pPr>
    </w:p>
    <w:p w:rsidR="00525FCF" w:rsidRDefault="00525FCF" w:rsidP="00A47A45">
      <w:pPr>
        <w:spacing w:line="240" w:lineRule="auto"/>
        <w:contextualSpacing/>
      </w:pPr>
    </w:p>
    <w:p w:rsidR="00525FCF" w:rsidRDefault="00525FCF" w:rsidP="00A47A45">
      <w:pPr>
        <w:spacing w:line="240" w:lineRule="auto"/>
        <w:contextualSpacing/>
      </w:pPr>
    </w:p>
    <w:p w:rsidR="00057B53" w:rsidRDefault="00057B53"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A47A45" w:rsidRPr="00A47A45" w:rsidRDefault="00295E9C" w:rsidP="00A47A45">
      <w:pPr>
        <w:spacing w:line="240" w:lineRule="auto"/>
        <w:contextualSpacing/>
      </w:pPr>
      <w:r>
        <w:lastRenderedPageBreak/>
        <w:t>Figure 16</w:t>
      </w:r>
      <w:r w:rsidR="00C86B22">
        <w:t>.</w:t>
      </w:r>
      <w:r w:rsidR="00A47A45" w:rsidRPr="00A47A45">
        <w:t xml:space="preserve"> </w:t>
      </w:r>
      <w:r w:rsidR="00A47A45" w:rsidRPr="00525FCF">
        <w:rPr>
          <w:noProof/>
        </w:rPr>
        <w:t>Average Incarceration</w:t>
      </w:r>
      <w:r w:rsidR="00A47A45" w:rsidRPr="00A47A45">
        <w:t xml:space="preserve"> Rates by Region.</w:t>
      </w:r>
    </w:p>
    <w:p w:rsidR="00A47A45" w:rsidRDefault="00CA4320" w:rsidP="00A47A45">
      <w:pPr>
        <w:spacing w:line="480" w:lineRule="auto"/>
        <w:contextualSpacing/>
      </w:pPr>
      <w:r>
        <w:rPr>
          <w:noProof/>
        </w:rPr>
        <w:drawing>
          <wp:inline distT="0" distB="0" distL="0" distR="0">
            <wp:extent cx="5394960" cy="28619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ncratesm_year_region.png"/>
                    <pic:cNvPicPr/>
                  </pic:nvPicPr>
                  <pic:blipFill>
                    <a:blip r:embed="rId29">
                      <a:extLst>
                        <a:ext uri="{28A0092B-C50C-407E-A947-70E740481C1C}">
                          <a14:useLocalDpi xmlns:a14="http://schemas.microsoft.com/office/drawing/2010/main" val="0"/>
                        </a:ext>
                      </a:extLst>
                    </a:blip>
                    <a:stretch>
                      <a:fillRect/>
                    </a:stretch>
                  </pic:blipFill>
                  <pic:spPr>
                    <a:xfrm>
                      <a:off x="0" y="0"/>
                      <a:ext cx="5394960" cy="2861945"/>
                    </a:xfrm>
                    <a:prstGeom prst="rect">
                      <a:avLst/>
                    </a:prstGeom>
                  </pic:spPr>
                </pic:pic>
              </a:graphicData>
            </a:graphic>
          </wp:inline>
        </w:drawing>
      </w:r>
    </w:p>
    <w:p w:rsidR="00A47A45" w:rsidRPr="00A47A45" w:rsidRDefault="00A47A45" w:rsidP="00A47A45">
      <w:pPr>
        <w:spacing w:line="480" w:lineRule="auto"/>
        <w:contextualSpacing/>
      </w:pPr>
      <w:r w:rsidRPr="00A47A45">
        <w:rPr>
          <w:i/>
        </w:rPr>
        <w:t>Inequality</w:t>
      </w:r>
    </w:p>
    <w:p w:rsidR="00A47A45" w:rsidRPr="00A47A45" w:rsidRDefault="00A47A45" w:rsidP="00FC3174">
      <w:pPr>
        <w:spacing w:line="480" w:lineRule="auto"/>
        <w:contextualSpacing/>
      </w:pPr>
      <w:r w:rsidRPr="00A47A45">
        <w:t xml:space="preserve">Using the Gini score computed as the square root scale of household disposable income from Solt (2009), I look at the average for each of the countries included in this study. Greater inequality indicates more disposable </w:t>
      </w:r>
      <w:r w:rsidRPr="00525FCF">
        <w:rPr>
          <w:noProof/>
        </w:rPr>
        <w:t>income</w:t>
      </w:r>
      <w:r w:rsidRPr="00A47A45">
        <w:t xml:space="preserve"> in the hands of fewer households. For the years co</w:t>
      </w:r>
      <w:r w:rsidR="004A3A32">
        <w:t xml:space="preserve">vered, </w:t>
      </w:r>
      <w:r w:rsidR="004A3A32" w:rsidRPr="00525FCF">
        <w:rPr>
          <w:noProof/>
        </w:rPr>
        <w:t>inequality</w:t>
      </w:r>
      <w:r w:rsidR="004A3A32">
        <w:t xml:space="preserve"> ranges from 16.21 in Mauritius to 75.26 in Indonesia</w:t>
      </w:r>
      <w:r w:rsidRPr="00A47A45">
        <w:t>.</w:t>
      </w:r>
    </w:p>
    <w:p w:rsidR="00A47A45" w:rsidRDefault="002C0D8A" w:rsidP="006C381A">
      <w:pPr>
        <w:spacing w:line="480" w:lineRule="auto"/>
        <w:contextualSpacing/>
      </w:pPr>
      <w:r>
        <w:tab/>
        <w:t>T</w:t>
      </w:r>
      <w:r w:rsidR="004A3A32">
        <w:t xml:space="preserve">he worldwide </w:t>
      </w:r>
      <w:r w:rsidR="004A3A32" w:rsidRPr="00525FCF">
        <w:rPr>
          <w:noProof/>
        </w:rPr>
        <w:t>average</w:t>
      </w:r>
      <w:r w:rsidR="004A3A32">
        <w:t xml:space="preserve"> for inequality is virtually unchanged during this period with a Gini (net) score of just over 35. </w:t>
      </w:r>
    </w:p>
    <w:p w:rsidR="00A47A45" w:rsidRPr="00A47A45" w:rsidRDefault="00295E9C" w:rsidP="00A47A45">
      <w:pPr>
        <w:spacing w:line="240" w:lineRule="auto"/>
        <w:contextualSpacing/>
      </w:pPr>
      <w:r>
        <w:t>Figure 17</w:t>
      </w:r>
      <w:r w:rsidR="00A47A45" w:rsidRPr="00A47A45">
        <w:t xml:space="preserve">. Inequality Worldwide. </w:t>
      </w:r>
    </w:p>
    <w:p w:rsidR="00A47A45" w:rsidRPr="00A47A45" w:rsidRDefault="00CA4320" w:rsidP="00A47A45">
      <w:pPr>
        <w:spacing w:line="480" w:lineRule="auto"/>
        <w:contextualSpacing/>
      </w:pPr>
      <w:r>
        <w:rPr>
          <w:noProof/>
        </w:rPr>
        <w:drawing>
          <wp:inline distT="0" distB="0" distL="0" distR="0">
            <wp:extent cx="5394960" cy="13201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ininetm_year.png"/>
                    <pic:cNvPicPr/>
                  </pic:nvPicPr>
                  <pic:blipFill>
                    <a:blip r:embed="rId30">
                      <a:extLst>
                        <a:ext uri="{28A0092B-C50C-407E-A947-70E740481C1C}">
                          <a14:useLocalDpi xmlns:a14="http://schemas.microsoft.com/office/drawing/2010/main" val="0"/>
                        </a:ext>
                      </a:extLst>
                    </a:blip>
                    <a:stretch>
                      <a:fillRect/>
                    </a:stretch>
                  </pic:blipFill>
                  <pic:spPr>
                    <a:xfrm>
                      <a:off x="0" y="0"/>
                      <a:ext cx="5394960" cy="1320165"/>
                    </a:xfrm>
                    <a:prstGeom prst="rect">
                      <a:avLst/>
                    </a:prstGeom>
                  </pic:spPr>
                </pic:pic>
              </a:graphicData>
            </a:graphic>
          </wp:inline>
        </w:drawing>
      </w:r>
    </w:p>
    <w:p w:rsidR="00A47A45" w:rsidRDefault="00A47A45" w:rsidP="00A47A45">
      <w:pPr>
        <w:spacing w:line="480" w:lineRule="auto"/>
        <w:contextualSpacing/>
      </w:pPr>
      <w:r w:rsidRPr="00A47A45">
        <w:tab/>
        <w:t xml:space="preserve">Examining </w:t>
      </w:r>
      <w:r w:rsidR="006C381A">
        <w:t xml:space="preserve">income </w:t>
      </w:r>
      <w:r w:rsidRPr="00A47A45">
        <w:t>inequality across regions</w:t>
      </w:r>
      <w:r w:rsidR="002C0D8A">
        <w:t>,</w:t>
      </w:r>
      <w:r w:rsidRPr="00A47A45">
        <w:t xml:space="preserve"> I note the level of inequality </w:t>
      </w:r>
      <w:r w:rsidR="006C381A">
        <w:t>is greatest in Latin America and East Asia and the Pacific, although a slight</w:t>
      </w:r>
      <w:r w:rsidR="00E00414">
        <w:t xml:space="preserve"> decrease in </w:t>
      </w:r>
      <w:r w:rsidR="00E00414">
        <w:lastRenderedPageBreak/>
        <w:t>inequality occurs</w:t>
      </w:r>
      <w:r w:rsidR="002C0D8A">
        <w:t xml:space="preserve"> in both regions.</w:t>
      </w:r>
      <w:r w:rsidR="006C381A">
        <w:t xml:space="preserve"> </w:t>
      </w:r>
      <w:r w:rsidR="002C0D8A">
        <w:t xml:space="preserve">The West and EECA have the lowest levels of inequality. </w:t>
      </w:r>
      <w:r w:rsidR="006C381A">
        <w:t xml:space="preserve">Inequality </w:t>
      </w:r>
      <w:r w:rsidRPr="00A47A45">
        <w:t>increase</w:t>
      </w:r>
      <w:r w:rsidR="00E00414">
        <w:t>s</w:t>
      </w:r>
      <w:r w:rsidR="006C381A">
        <w:t xml:space="preserve"> most</w:t>
      </w:r>
      <w:r w:rsidRPr="00A47A45">
        <w:t xml:space="preserve"> in the MENA</w:t>
      </w:r>
      <w:r w:rsidR="006C381A">
        <w:t xml:space="preserve">. </w:t>
      </w:r>
    </w:p>
    <w:p w:rsidR="00A47A45" w:rsidRDefault="00295E9C" w:rsidP="00A47A45">
      <w:pPr>
        <w:spacing w:line="240" w:lineRule="auto"/>
        <w:contextualSpacing/>
      </w:pPr>
      <w:r>
        <w:t>Figure 18</w:t>
      </w:r>
      <w:r w:rsidR="00C86B22">
        <w:t>.</w:t>
      </w:r>
      <w:r w:rsidR="00A47A45" w:rsidRPr="00A47A45">
        <w:t xml:space="preserve"> Average Inequality for Regions of the World.</w:t>
      </w:r>
    </w:p>
    <w:p w:rsidR="006C381A" w:rsidRPr="00A47A45" w:rsidRDefault="006C381A" w:rsidP="00A47A45">
      <w:pPr>
        <w:spacing w:line="240" w:lineRule="auto"/>
        <w:contextualSpacing/>
      </w:pPr>
    </w:p>
    <w:p w:rsidR="00A47A45" w:rsidRPr="00A47A45" w:rsidRDefault="00CA4320" w:rsidP="00A47A45">
      <w:pPr>
        <w:spacing w:line="480" w:lineRule="auto"/>
        <w:contextualSpacing/>
      </w:pPr>
      <w:r>
        <w:rPr>
          <w:noProof/>
        </w:rPr>
        <w:drawing>
          <wp:inline distT="0" distB="0" distL="0" distR="0">
            <wp:extent cx="5394960" cy="30251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ininetm_year_region.png"/>
                    <pic:cNvPicPr/>
                  </pic:nvPicPr>
                  <pic:blipFill>
                    <a:blip r:embed="rId31">
                      <a:extLst>
                        <a:ext uri="{28A0092B-C50C-407E-A947-70E740481C1C}">
                          <a14:useLocalDpi xmlns:a14="http://schemas.microsoft.com/office/drawing/2010/main" val="0"/>
                        </a:ext>
                      </a:extLst>
                    </a:blip>
                    <a:stretch>
                      <a:fillRect/>
                    </a:stretch>
                  </pic:blipFill>
                  <pic:spPr>
                    <a:xfrm>
                      <a:off x="0" y="0"/>
                      <a:ext cx="5394960" cy="3025140"/>
                    </a:xfrm>
                    <a:prstGeom prst="rect">
                      <a:avLst/>
                    </a:prstGeom>
                  </pic:spPr>
                </pic:pic>
              </a:graphicData>
            </a:graphic>
          </wp:inline>
        </w:drawing>
      </w:r>
    </w:p>
    <w:p w:rsidR="00A47A45" w:rsidRPr="00A47A45" w:rsidRDefault="00A47A45" w:rsidP="00A47A45">
      <w:pPr>
        <w:spacing w:line="480" w:lineRule="auto"/>
        <w:contextualSpacing/>
      </w:pPr>
      <w:r w:rsidRPr="00A47A45">
        <w:rPr>
          <w:i/>
        </w:rPr>
        <w:t>Gross Domestic Product Per Capita</w:t>
      </w:r>
    </w:p>
    <w:p w:rsidR="006C381A" w:rsidRDefault="00A47A45" w:rsidP="006C381A">
      <w:pPr>
        <w:spacing w:line="480" w:lineRule="auto"/>
        <w:contextualSpacing/>
      </w:pPr>
      <w:r w:rsidRPr="00A47A45">
        <w:t xml:space="preserve">Data for GDPPC are from the World Bank (N.d.a). Coverage for GDPPC is also consistent and extensive for the </w:t>
      </w:r>
      <w:r w:rsidRPr="00A47A45">
        <w:rPr>
          <w:noProof/>
        </w:rPr>
        <w:t>period</w:t>
      </w:r>
      <w:r w:rsidRPr="00A47A45">
        <w:t xml:space="preserve"> covered in this study. World</w:t>
      </w:r>
      <w:r w:rsidR="006C381A">
        <w:t>wide averages for the years 1994 through 2008 range from $1,040</w:t>
      </w:r>
      <w:r w:rsidRPr="00A47A45">
        <w:t xml:space="preserve"> (Constant </w:t>
      </w:r>
      <w:r w:rsidR="006C381A">
        <w:t>2011 International $) in Tajikistan in 1996</w:t>
      </w:r>
      <w:r w:rsidRPr="00A47A45">
        <w:t xml:space="preserve"> to </w:t>
      </w:r>
      <w:r w:rsidR="006C381A">
        <w:t>$64</w:t>
      </w:r>
      <w:r w:rsidRPr="00A47A45">
        <w:t>,</w:t>
      </w:r>
      <w:r w:rsidR="006C381A">
        <w:t>572</w:t>
      </w:r>
      <w:r w:rsidRPr="00A47A45">
        <w:t xml:space="preserve"> in Norway</w:t>
      </w:r>
      <w:r w:rsidR="006C381A">
        <w:t xml:space="preserve"> in 2006</w:t>
      </w:r>
      <w:r w:rsidRPr="00A47A45">
        <w:t xml:space="preserve">. </w:t>
      </w:r>
    </w:p>
    <w:p w:rsidR="00CA4320" w:rsidRDefault="00A47A45" w:rsidP="00057B53">
      <w:pPr>
        <w:spacing w:line="480" w:lineRule="auto"/>
        <w:ind w:firstLine="720"/>
        <w:contextualSpacing/>
      </w:pPr>
      <w:r w:rsidRPr="00A47A45">
        <w:t>Examining the longitudinal data on GDPPC</w:t>
      </w:r>
      <w:r w:rsidRPr="00A47A45">
        <w:rPr>
          <w:noProof/>
        </w:rPr>
        <w:t>,</w:t>
      </w:r>
      <w:r w:rsidRPr="00A47A45">
        <w:t xml:space="preserve"> the </w:t>
      </w:r>
      <w:r w:rsidRPr="00A47A45">
        <w:rPr>
          <w:noProof/>
        </w:rPr>
        <w:t>worldwide</w:t>
      </w:r>
      <w:r w:rsidR="006C381A">
        <w:t xml:space="preserve"> average GDPPC is $21,553 during the first half of the </w:t>
      </w:r>
      <w:r w:rsidR="006C381A" w:rsidRPr="00893ACF">
        <w:rPr>
          <w:noProof/>
        </w:rPr>
        <w:t>observation</w:t>
      </w:r>
      <w:r w:rsidR="006C381A">
        <w:t xml:space="preserve"> and increases to $26,141 during the latter half. </w:t>
      </w:r>
      <w:r w:rsidRPr="00A47A45">
        <w:t xml:space="preserve">See </w:t>
      </w:r>
      <w:r w:rsidR="00C86B22">
        <w:rPr>
          <w:noProof/>
        </w:rPr>
        <w:t>Figure 22</w:t>
      </w:r>
      <w:r w:rsidRPr="00A47A45">
        <w:t xml:space="preserve"> for yearly averages for GDPPC.</w:t>
      </w:r>
      <w:r w:rsidR="000C1BD6">
        <w:t xml:space="preserve"> </w:t>
      </w:r>
    </w:p>
    <w:p w:rsidR="00CA4320" w:rsidRDefault="00CA4320" w:rsidP="0037420D">
      <w:pPr>
        <w:spacing w:line="240" w:lineRule="auto"/>
        <w:contextualSpacing/>
      </w:pPr>
    </w:p>
    <w:p w:rsidR="006F0D5D" w:rsidRDefault="006F0D5D" w:rsidP="0037420D">
      <w:pPr>
        <w:spacing w:line="240" w:lineRule="auto"/>
        <w:contextualSpacing/>
      </w:pPr>
    </w:p>
    <w:p w:rsidR="006F0D5D" w:rsidRDefault="006F0D5D" w:rsidP="0037420D">
      <w:pPr>
        <w:spacing w:line="240" w:lineRule="auto"/>
        <w:contextualSpacing/>
      </w:pPr>
    </w:p>
    <w:p w:rsidR="006F0D5D" w:rsidRDefault="006F0D5D" w:rsidP="0037420D">
      <w:pPr>
        <w:spacing w:line="240" w:lineRule="auto"/>
        <w:contextualSpacing/>
      </w:pPr>
    </w:p>
    <w:p w:rsidR="006F0D5D" w:rsidRDefault="006F0D5D" w:rsidP="0037420D">
      <w:pPr>
        <w:spacing w:line="240" w:lineRule="auto"/>
        <w:contextualSpacing/>
      </w:pPr>
    </w:p>
    <w:p w:rsidR="006F0D5D" w:rsidRDefault="006F0D5D" w:rsidP="0037420D">
      <w:pPr>
        <w:spacing w:line="240" w:lineRule="auto"/>
        <w:contextualSpacing/>
      </w:pPr>
    </w:p>
    <w:p w:rsidR="00A47A45" w:rsidRDefault="00A47A45" w:rsidP="0037420D">
      <w:pPr>
        <w:spacing w:line="240" w:lineRule="auto"/>
        <w:contextualSpacing/>
        <w:rPr>
          <w:noProof/>
        </w:rPr>
      </w:pPr>
      <w:r w:rsidRPr="00A47A45">
        <w:lastRenderedPageBreak/>
        <w:t xml:space="preserve">Figure </w:t>
      </w:r>
      <w:r w:rsidR="00295E9C">
        <w:rPr>
          <w:noProof/>
        </w:rPr>
        <w:t>19</w:t>
      </w:r>
      <w:r w:rsidR="00C86B22">
        <w:rPr>
          <w:noProof/>
        </w:rPr>
        <w:t>.</w:t>
      </w:r>
      <w:r w:rsidRPr="00A47A45">
        <w:t xml:space="preserve"> GDPPC Worldwide.</w:t>
      </w:r>
    </w:p>
    <w:p w:rsidR="006C381A" w:rsidRDefault="00CA4320" w:rsidP="0037420D">
      <w:pPr>
        <w:spacing w:line="240" w:lineRule="auto"/>
        <w:contextualSpacing/>
      </w:pPr>
      <w:r>
        <w:rPr>
          <w:noProof/>
        </w:rPr>
        <w:drawing>
          <wp:inline distT="0" distB="0" distL="0" distR="0">
            <wp:extent cx="5394960" cy="2886710"/>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dppcm_year.png"/>
                    <pic:cNvPicPr/>
                  </pic:nvPicPr>
                  <pic:blipFill>
                    <a:blip r:embed="rId32">
                      <a:extLst>
                        <a:ext uri="{28A0092B-C50C-407E-A947-70E740481C1C}">
                          <a14:useLocalDpi xmlns:a14="http://schemas.microsoft.com/office/drawing/2010/main" val="0"/>
                        </a:ext>
                      </a:extLst>
                    </a:blip>
                    <a:stretch>
                      <a:fillRect/>
                    </a:stretch>
                  </pic:blipFill>
                  <pic:spPr>
                    <a:xfrm>
                      <a:off x="0" y="0"/>
                      <a:ext cx="5394960" cy="2886710"/>
                    </a:xfrm>
                    <a:prstGeom prst="rect">
                      <a:avLst/>
                    </a:prstGeom>
                  </pic:spPr>
                </pic:pic>
              </a:graphicData>
            </a:graphic>
          </wp:inline>
        </w:drawing>
      </w:r>
    </w:p>
    <w:p w:rsidR="00057B53" w:rsidRDefault="00057B53" w:rsidP="0037420D">
      <w:pPr>
        <w:spacing w:line="240" w:lineRule="auto"/>
        <w:contextualSpacing/>
      </w:pPr>
    </w:p>
    <w:p w:rsidR="0037420D" w:rsidRDefault="00A47A45" w:rsidP="006C381A">
      <w:pPr>
        <w:spacing w:line="480" w:lineRule="auto"/>
        <w:ind w:firstLine="720"/>
        <w:contextualSpacing/>
      </w:pPr>
      <w:r w:rsidRPr="00A47A45">
        <w:t xml:space="preserve">Regional differences in GDPPC </w:t>
      </w:r>
      <w:r w:rsidRPr="00525FCF">
        <w:rPr>
          <w:noProof/>
        </w:rPr>
        <w:t>are shown</w:t>
      </w:r>
      <w:r w:rsidRPr="00A47A45">
        <w:t xml:space="preserve"> in </w:t>
      </w:r>
      <w:r w:rsidR="00295E9C">
        <w:rPr>
          <w:noProof/>
        </w:rPr>
        <w:t>Figure 20</w:t>
      </w:r>
      <w:r w:rsidR="006C381A">
        <w:rPr>
          <w:noProof/>
        </w:rPr>
        <w:t>.</w:t>
      </w:r>
      <w:r w:rsidRPr="00A47A45">
        <w:t xml:space="preserve"> Wealt</w:t>
      </w:r>
      <w:r w:rsidR="006C381A">
        <w:t>h in the West increases from $37,076 to $43,688</w:t>
      </w:r>
      <w:r w:rsidRPr="00A47A45">
        <w:t>.</w:t>
      </w:r>
      <w:r w:rsidR="006C381A">
        <w:t xml:space="preserve"> </w:t>
      </w:r>
      <w:r w:rsidRPr="00A47A45">
        <w:t>On the other hand, growt</w:t>
      </w:r>
      <w:r w:rsidR="006C381A">
        <w:t>h in GDPPC in Latin America</w:t>
      </w:r>
      <w:r w:rsidRPr="00A47A45">
        <w:t xml:space="preserve"> is the weakest, increasing from </w:t>
      </w:r>
      <w:r w:rsidR="006C381A">
        <w:t>$12,518 to $12,949</w:t>
      </w:r>
      <w:r w:rsidRPr="00A47A45">
        <w:t xml:space="preserve">. </w:t>
      </w:r>
      <w:r w:rsidR="006C381A">
        <w:t xml:space="preserve">Growth for the remaining regions is similar, </w:t>
      </w:r>
      <w:r w:rsidR="006C381A" w:rsidRPr="00525FCF">
        <w:rPr>
          <w:noProof/>
        </w:rPr>
        <w:t>increasing</w:t>
      </w:r>
      <w:r w:rsidR="006C381A">
        <w:t xml:space="preserve"> approximately $4,000 between observations.</w:t>
      </w: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A47A45" w:rsidRPr="00A47A45" w:rsidRDefault="00295E9C" w:rsidP="00A47A45">
      <w:pPr>
        <w:spacing w:line="240" w:lineRule="auto"/>
        <w:contextualSpacing/>
      </w:pPr>
      <w:r>
        <w:lastRenderedPageBreak/>
        <w:t>Figure 20</w:t>
      </w:r>
      <w:r w:rsidR="00C86B22">
        <w:t>.</w:t>
      </w:r>
      <w:r w:rsidR="00A47A45" w:rsidRPr="00A47A45">
        <w:t xml:space="preserve"> GDPPC by Region</w:t>
      </w:r>
      <w:r w:rsidR="00C86B22">
        <w:t>.</w:t>
      </w:r>
    </w:p>
    <w:p w:rsidR="00A47A45" w:rsidRPr="00FC3174" w:rsidRDefault="00CA4320" w:rsidP="00A47A45">
      <w:pPr>
        <w:spacing w:line="480" w:lineRule="auto"/>
        <w:contextualSpacing/>
      </w:pPr>
      <w:r>
        <w:rPr>
          <w:noProof/>
        </w:rPr>
        <w:drawing>
          <wp:inline distT="0" distB="0" distL="0" distR="0">
            <wp:extent cx="5394960" cy="34556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dppcm_year_region.png"/>
                    <pic:cNvPicPr/>
                  </pic:nvPicPr>
                  <pic:blipFill>
                    <a:blip r:embed="rId33">
                      <a:extLst>
                        <a:ext uri="{28A0092B-C50C-407E-A947-70E740481C1C}">
                          <a14:useLocalDpi xmlns:a14="http://schemas.microsoft.com/office/drawing/2010/main" val="0"/>
                        </a:ext>
                      </a:extLst>
                    </a:blip>
                    <a:stretch>
                      <a:fillRect/>
                    </a:stretch>
                  </pic:blipFill>
                  <pic:spPr>
                    <a:xfrm>
                      <a:off x="0" y="0"/>
                      <a:ext cx="5394960" cy="3455670"/>
                    </a:xfrm>
                    <a:prstGeom prst="rect">
                      <a:avLst/>
                    </a:prstGeom>
                  </pic:spPr>
                </pic:pic>
              </a:graphicData>
            </a:graphic>
          </wp:inline>
        </w:drawing>
      </w:r>
    </w:p>
    <w:p w:rsidR="00A47A45" w:rsidRPr="00A47A45" w:rsidRDefault="00A47A45" w:rsidP="00A47A45">
      <w:pPr>
        <w:spacing w:line="480" w:lineRule="auto"/>
        <w:contextualSpacing/>
      </w:pPr>
      <w:r w:rsidRPr="00A47A45">
        <w:rPr>
          <w:i/>
        </w:rPr>
        <w:t>Democracy</w:t>
      </w:r>
    </w:p>
    <w:p w:rsidR="00A47A45" w:rsidRPr="00A47A45" w:rsidRDefault="00A47A45" w:rsidP="00A47A45">
      <w:pPr>
        <w:spacing w:line="480" w:lineRule="auto"/>
        <w:contextualSpacing/>
      </w:pPr>
      <w:r w:rsidRPr="00A47A45">
        <w:rPr>
          <w:noProof/>
        </w:rPr>
        <w:t>My</w:t>
      </w:r>
      <w:r w:rsidRPr="00A47A45">
        <w:t xml:space="preserve"> </w:t>
      </w:r>
      <w:r w:rsidRPr="00525FCF">
        <w:rPr>
          <w:noProof/>
        </w:rPr>
        <w:t>democracy</w:t>
      </w:r>
      <w:r w:rsidRPr="00A47A45">
        <w:t xml:space="preserve"> measure from Freedom House (2014a) combines, averages, and recodes political rights and civil liberties indicators. Higher scores indicate more freed</w:t>
      </w:r>
      <w:r w:rsidR="00295E9C">
        <w:t>om within countries. Figure 21</w:t>
      </w:r>
      <w:r w:rsidRPr="00A47A45">
        <w:t xml:space="preserve"> </w:t>
      </w:r>
      <w:r w:rsidRPr="00A47A45">
        <w:rPr>
          <w:noProof/>
        </w:rPr>
        <w:t>shows</w:t>
      </w:r>
      <w:r w:rsidRPr="00A47A45">
        <w:t xml:space="preserve"> average democracy scores for countries from 1990 through 2012. </w:t>
      </w:r>
    </w:p>
    <w:p w:rsidR="00FC3174" w:rsidRDefault="00A47A45" w:rsidP="00FC3174">
      <w:pPr>
        <w:spacing w:line="480" w:lineRule="auto"/>
        <w:ind w:firstLine="720"/>
        <w:contextualSpacing/>
      </w:pPr>
      <w:r w:rsidRPr="00A47A45">
        <w:t xml:space="preserve">Democracy </w:t>
      </w:r>
      <w:r w:rsidRPr="00A47A45">
        <w:rPr>
          <w:noProof/>
        </w:rPr>
        <w:t>appears</w:t>
      </w:r>
      <w:r w:rsidRPr="00A47A45">
        <w:t xml:space="preserve"> to tr</w:t>
      </w:r>
      <w:r w:rsidR="00903B6F">
        <w:t>end upward</w:t>
      </w:r>
      <w:r w:rsidRPr="00A47A45">
        <w:t xml:space="preserve">, as noted by Clark </w:t>
      </w:r>
      <w:r w:rsidRPr="00893ACF">
        <w:rPr>
          <w:noProof/>
        </w:rPr>
        <w:t>(2012)</w:t>
      </w:r>
      <w:r w:rsidRPr="00A47A45">
        <w:t xml:space="preserve"> and remains relatively stable since the mid-2000s. </w:t>
      </w:r>
      <w:r w:rsidR="00903B6F">
        <w:t xml:space="preserve">The worldwide average increases from 5.77 to 6.02 during this </w:t>
      </w:r>
      <w:r w:rsidR="00903B6F" w:rsidRPr="00893ACF">
        <w:rPr>
          <w:noProof/>
        </w:rPr>
        <w:t>period</w:t>
      </w:r>
      <w:r w:rsidR="00903B6F">
        <w:t xml:space="preserve">. </w:t>
      </w:r>
      <w:r w:rsidRPr="00A47A45">
        <w:t xml:space="preserve">See </w:t>
      </w:r>
      <w:r w:rsidR="00295E9C">
        <w:rPr>
          <w:noProof/>
        </w:rPr>
        <w:t>Figure 21</w:t>
      </w:r>
      <w:r w:rsidRPr="00A47A45">
        <w:t xml:space="preserve"> for annual average </w:t>
      </w:r>
      <w:r w:rsidR="00525FCF">
        <w:rPr>
          <w:noProof/>
        </w:rPr>
        <w:t>global</w:t>
      </w:r>
      <w:r w:rsidRPr="00A47A45">
        <w:t xml:space="preserve"> democracy trends. </w:t>
      </w: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A47A45" w:rsidRPr="00A47A45" w:rsidRDefault="00295E9C" w:rsidP="00A47A45">
      <w:pPr>
        <w:spacing w:line="240" w:lineRule="auto"/>
        <w:contextualSpacing/>
      </w:pPr>
      <w:r>
        <w:lastRenderedPageBreak/>
        <w:t>Figure 21</w:t>
      </w:r>
      <w:r w:rsidR="00C86B22">
        <w:t>.</w:t>
      </w:r>
      <w:r w:rsidR="00A47A45" w:rsidRPr="00A47A45">
        <w:t xml:space="preserve"> Democracy Worldwide</w:t>
      </w:r>
      <w:r w:rsidR="00C86B22">
        <w:t>.</w:t>
      </w:r>
    </w:p>
    <w:p w:rsidR="00A47A45" w:rsidRPr="00A47A45" w:rsidRDefault="00CA4320" w:rsidP="00A47A45">
      <w:pPr>
        <w:spacing w:line="480" w:lineRule="auto"/>
        <w:contextualSpacing/>
      </w:pPr>
      <w:r>
        <w:rPr>
          <w:noProof/>
        </w:rPr>
        <w:drawing>
          <wp:inline distT="0" distB="0" distL="0" distR="0">
            <wp:extent cx="5394960" cy="16033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hrm_year.png"/>
                    <pic:cNvPicPr/>
                  </pic:nvPicPr>
                  <pic:blipFill>
                    <a:blip r:embed="rId34">
                      <a:extLst>
                        <a:ext uri="{28A0092B-C50C-407E-A947-70E740481C1C}">
                          <a14:useLocalDpi xmlns:a14="http://schemas.microsoft.com/office/drawing/2010/main" val="0"/>
                        </a:ext>
                      </a:extLst>
                    </a:blip>
                    <a:stretch>
                      <a:fillRect/>
                    </a:stretch>
                  </pic:blipFill>
                  <pic:spPr>
                    <a:xfrm>
                      <a:off x="0" y="0"/>
                      <a:ext cx="5394960" cy="1603375"/>
                    </a:xfrm>
                    <a:prstGeom prst="rect">
                      <a:avLst/>
                    </a:prstGeom>
                  </pic:spPr>
                </pic:pic>
              </a:graphicData>
            </a:graphic>
          </wp:inline>
        </w:drawing>
      </w:r>
    </w:p>
    <w:p w:rsidR="00A47A45" w:rsidRPr="00A47A45" w:rsidRDefault="00A47A45" w:rsidP="00A47A45">
      <w:pPr>
        <w:spacing w:line="480" w:lineRule="auto"/>
        <w:contextualSpacing/>
      </w:pPr>
      <w:r w:rsidRPr="00A47A45">
        <w:tab/>
        <w:t xml:space="preserve">Regionally, differences in </w:t>
      </w:r>
      <w:r w:rsidRPr="00525FCF">
        <w:rPr>
          <w:noProof/>
        </w:rPr>
        <w:t>democracy</w:t>
      </w:r>
      <w:r w:rsidRPr="00A47A45">
        <w:t xml:space="preserve"> are </w:t>
      </w:r>
      <w:r w:rsidRPr="00525FCF">
        <w:rPr>
          <w:noProof/>
        </w:rPr>
        <w:t>fairly</w:t>
      </w:r>
      <w:r w:rsidRPr="00A47A45">
        <w:t xml:space="preserve"> marked. The West scores at or near sev</w:t>
      </w:r>
      <w:r w:rsidR="00903B6F">
        <w:t xml:space="preserve">en, the maximum </w:t>
      </w:r>
      <w:r w:rsidR="00903B6F" w:rsidRPr="00525FCF">
        <w:rPr>
          <w:noProof/>
        </w:rPr>
        <w:t>score</w:t>
      </w:r>
      <w:r w:rsidRPr="00A47A45">
        <w:t xml:space="preserve">. Latin America has the next highest </w:t>
      </w:r>
      <w:r w:rsidRPr="00525FCF">
        <w:rPr>
          <w:noProof/>
        </w:rPr>
        <w:t>democracy</w:t>
      </w:r>
      <w:r w:rsidRPr="00A47A45">
        <w:t xml:space="preserve"> scor</w:t>
      </w:r>
      <w:r w:rsidR="00903B6F">
        <w:t xml:space="preserve">es, followed by EECA, EAP, </w:t>
      </w:r>
      <w:r w:rsidRPr="00A47A45">
        <w:t xml:space="preserve">and the MENA, in descending order. </w:t>
      </w:r>
      <w:r w:rsidR="00690138">
        <w:t>Noteworthy is the reduction in civil libert</w:t>
      </w:r>
      <w:r w:rsidR="00903B6F">
        <w:t xml:space="preserve">ies and political rights only in EAP. </w:t>
      </w:r>
    </w:p>
    <w:p w:rsidR="00A47A45" w:rsidRPr="00A47A45" w:rsidRDefault="00295E9C" w:rsidP="00A47A45">
      <w:pPr>
        <w:spacing w:line="240" w:lineRule="auto"/>
        <w:contextualSpacing/>
      </w:pPr>
      <w:r>
        <w:t>Figure 22</w:t>
      </w:r>
      <w:r w:rsidR="00C86B22">
        <w:t>.</w:t>
      </w:r>
      <w:r w:rsidR="00A47A45" w:rsidRPr="00A47A45">
        <w:t xml:space="preserve"> Democracy by Regions.</w:t>
      </w:r>
    </w:p>
    <w:p w:rsidR="00A47A45" w:rsidRPr="00A47A45" w:rsidRDefault="00CA4320" w:rsidP="00A47A45">
      <w:pPr>
        <w:spacing w:line="480" w:lineRule="auto"/>
        <w:contextualSpacing/>
      </w:pPr>
      <w:r>
        <w:rPr>
          <w:noProof/>
        </w:rPr>
        <w:drawing>
          <wp:inline distT="0" distB="0" distL="0" distR="0">
            <wp:extent cx="5394960" cy="25203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hrm_year_region.png"/>
                    <pic:cNvPicPr/>
                  </pic:nvPicPr>
                  <pic:blipFill>
                    <a:blip r:embed="rId35">
                      <a:extLst>
                        <a:ext uri="{28A0092B-C50C-407E-A947-70E740481C1C}">
                          <a14:useLocalDpi xmlns:a14="http://schemas.microsoft.com/office/drawing/2010/main" val="0"/>
                        </a:ext>
                      </a:extLst>
                    </a:blip>
                    <a:stretch>
                      <a:fillRect/>
                    </a:stretch>
                  </pic:blipFill>
                  <pic:spPr>
                    <a:xfrm>
                      <a:off x="0" y="0"/>
                      <a:ext cx="5394960" cy="2520315"/>
                    </a:xfrm>
                    <a:prstGeom prst="rect">
                      <a:avLst/>
                    </a:prstGeom>
                  </pic:spPr>
                </pic:pic>
              </a:graphicData>
            </a:graphic>
          </wp:inline>
        </w:drawing>
      </w:r>
    </w:p>
    <w:p w:rsidR="00A47A45" w:rsidRPr="00A47A45" w:rsidRDefault="00A47A45" w:rsidP="00A47A45">
      <w:pPr>
        <w:spacing w:line="480" w:lineRule="auto"/>
        <w:contextualSpacing/>
      </w:pPr>
      <w:r w:rsidRPr="00A47A45">
        <w:rPr>
          <w:i/>
        </w:rPr>
        <w:t>Age Cohort</w:t>
      </w:r>
    </w:p>
    <w:p w:rsidR="00A47A45" w:rsidRPr="00A47A45" w:rsidRDefault="00A47A45" w:rsidP="00903B6F">
      <w:pPr>
        <w:spacing w:line="480" w:lineRule="auto"/>
        <w:contextualSpacing/>
      </w:pPr>
      <w:r w:rsidRPr="00A47A45">
        <w:rPr>
          <w:noProof/>
        </w:rPr>
        <w:t>The percentage of the population between the ages of 15 and 64</w:t>
      </w:r>
      <w:r w:rsidRPr="00A47A45">
        <w:t xml:space="preserve"> </w:t>
      </w:r>
      <w:r w:rsidRPr="00A47A45">
        <w:rPr>
          <w:noProof/>
        </w:rPr>
        <w:t>rose from</w:t>
      </w:r>
      <w:r w:rsidRPr="00A47A45">
        <w:t xml:space="preserve"> </w:t>
      </w:r>
      <w:r w:rsidR="00903B6F">
        <w:t>65.62 percent to 66.80 percent</w:t>
      </w:r>
      <w:r w:rsidRPr="00A47A45">
        <w:t xml:space="preserve">. Worldwide a greater percentage of the population is of childbearing, marriage, and working age. Increases in the </w:t>
      </w:r>
      <w:r w:rsidRPr="00525FCF">
        <w:rPr>
          <w:noProof/>
        </w:rPr>
        <w:t>percentage</w:t>
      </w:r>
      <w:r w:rsidRPr="00A47A45">
        <w:t xml:space="preserve"> of the </w:t>
      </w:r>
      <w:r w:rsidRPr="00525FCF">
        <w:rPr>
          <w:noProof/>
        </w:rPr>
        <w:t>population</w:t>
      </w:r>
      <w:r w:rsidRPr="00A47A45">
        <w:t xml:space="preserve"> of </w:t>
      </w:r>
      <w:r w:rsidRPr="00A47A45">
        <w:rPr>
          <w:noProof/>
        </w:rPr>
        <w:t>reproductive</w:t>
      </w:r>
      <w:r w:rsidRPr="00A47A45">
        <w:t xml:space="preserve"> age also increase strain on available natural and societal resources, which </w:t>
      </w:r>
      <w:r w:rsidRPr="00525FCF">
        <w:rPr>
          <w:noProof/>
        </w:rPr>
        <w:t>are unequally distributed</w:t>
      </w:r>
      <w:r w:rsidRPr="00A47A45">
        <w:t xml:space="preserve">. </w:t>
      </w:r>
    </w:p>
    <w:p w:rsidR="00057B53" w:rsidRDefault="00057B53" w:rsidP="00A47A45">
      <w:pPr>
        <w:spacing w:line="240" w:lineRule="auto"/>
        <w:contextualSpacing/>
      </w:pPr>
    </w:p>
    <w:p w:rsidR="00A47A45" w:rsidRPr="00A47A45" w:rsidRDefault="00A47A45" w:rsidP="00A47A45">
      <w:pPr>
        <w:spacing w:line="240" w:lineRule="auto"/>
        <w:contextualSpacing/>
      </w:pPr>
      <w:r w:rsidRPr="00A47A45">
        <w:t>Fi</w:t>
      </w:r>
      <w:r w:rsidR="00295E9C">
        <w:t>gure 23</w:t>
      </w:r>
      <w:r w:rsidR="00C86B22">
        <w:t>.</w:t>
      </w:r>
      <w:r w:rsidRPr="00A47A45">
        <w:t xml:space="preserve"> Av</w:t>
      </w:r>
      <w:r w:rsidR="00C86B22">
        <w:t>erage Percentage of Population b</w:t>
      </w:r>
      <w:r w:rsidRPr="00A47A45">
        <w:t>et</w:t>
      </w:r>
      <w:r w:rsidR="00295E9C">
        <w:t>ween 15 and 64</w:t>
      </w:r>
      <w:r w:rsidRPr="00A47A45">
        <w:t>.</w:t>
      </w:r>
    </w:p>
    <w:p w:rsidR="00A47A45" w:rsidRPr="00A47A45" w:rsidRDefault="00CA4320" w:rsidP="00A47A45">
      <w:pPr>
        <w:spacing w:line="240" w:lineRule="auto"/>
        <w:contextualSpacing/>
      </w:pPr>
      <w:r>
        <w:rPr>
          <w:noProof/>
        </w:rPr>
        <w:drawing>
          <wp:inline distT="0" distB="0" distL="0" distR="0">
            <wp:extent cx="5394960" cy="1424305"/>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gecohortm_year.png"/>
                    <pic:cNvPicPr/>
                  </pic:nvPicPr>
                  <pic:blipFill>
                    <a:blip r:embed="rId36">
                      <a:extLst>
                        <a:ext uri="{28A0092B-C50C-407E-A947-70E740481C1C}">
                          <a14:useLocalDpi xmlns:a14="http://schemas.microsoft.com/office/drawing/2010/main" val="0"/>
                        </a:ext>
                      </a:extLst>
                    </a:blip>
                    <a:stretch>
                      <a:fillRect/>
                    </a:stretch>
                  </pic:blipFill>
                  <pic:spPr>
                    <a:xfrm>
                      <a:off x="0" y="0"/>
                      <a:ext cx="5394960" cy="1424305"/>
                    </a:xfrm>
                    <a:prstGeom prst="rect">
                      <a:avLst/>
                    </a:prstGeom>
                  </pic:spPr>
                </pic:pic>
              </a:graphicData>
            </a:graphic>
          </wp:inline>
        </w:drawing>
      </w:r>
    </w:p>
    <w:p w:rsidR="006F0D5D" w:rsidRDefault="006F0D5D" w:rsidP="00A47A45">
      <w:pPr>
        <w:spacing w:line="480" w:lineRule="auto"/>
        <w:contextualSpacing/>
      </w:pPr>
    </w:p>
    <w:p w:rsidR="00A47A45" w:rsidRPr="00A47A45" w:rsidRDefault="00A47A45" w:rsidP="00A47A45">
      <w:pPr>
        <w:spacing w:line="480" w:lineRule="auto"/>
        <w:contextualSpacing/>
      </w:pPr>
      <w:r w:rsidRPr="00A47A45">
        <w:tab/>
        <w:t>Regionally, the We</w:t>
      </w:r>
      <w:r w:rsidR="00903B6F">
        <w:t>st experiences the least growth</w:t>
      </w:r>
      <w:r w:rsidRPr="00A47A45">
        <w:t xml:space="preserve"> in the percentage in this age group</w:t>
      </w:r>
      <w:r w:rsidR="00903B6F">
        <w:t xml:space="preserve"> during this time frame, moving from the highest</w:t>
      </w:r>
      <w:r w:rsidRPr="00A47A45">
        <w:t xml:space="preserve"> </w:t>
      </w:r>
      <w:r w:rsidRPr="00525FCF">
        <w:rPr>
          <w:noProof/>
        </w:rPr>
        <w:t>per</w:t>
      </w:r>
      <w:r w:rsidR="00903B6F" w:rsidRPr="00525FCF">
        <w:rPr>
          <w:noProof/>
        </w:rPr>
        <w:t>centage</w:t>
      </w:r>
      <w:r w:rsidR="00903B6F">
        <w:t xml:space="preserve"> during the first half of the period, 66.56, to 66.87, during the second half.</w:t>
      </w:r>
      <w:r w:rsidRPr="00A47A45">
        <w:t xml:space="preserve"> </w:t>
      </w:r>
      <w:r w:rsidR="00903B6F">
        <w:t xml:space="preserve">All other regions experience larger growth in this category, with EECA, LA, and MENA increasing at similar rates to one </w:t>
      </w:r>
      <w:r w:rsidR="00903B6F" w:rsidRPr="00893ACF">
        <w:rPr>
          <w:noProof/>
        </w:rPr>
        <w:t>another</w:t>
      </w:r>
      <w:r w:rsidR="00903B6F">
        <w:t xml:space="preserve"> while EAP increases only slightly. </w:t>
      </w:r>
    </w:p>
    <w:p w:rsidR="00A47A45" w:rsidRPr="00A47A45" w:rsidRDefault="00295E9C" w:rsidP="00A47A45">
      <w:pPr>
        <w:spacing w:line="240" w:lineRule="auto"/>
        <w:contextualSpacing/>
      </w:pPr>
      <w:r>
        <w:t>Figure 24</w:t>
      </w:r>
      <w:r w:rsidR="00C86B22">
        <w:t>.</w:t>
      </w:r>
      <w:r w:rsidR="00A47A45" w:rsidRPr="00A47A45">
        <w:t xml:space="preserve"> Av</w:t>
      </w:r>
      <w:r w:rsidR="000C1BD6">
        <w:t>erage Percentage of Population b</w:t>
      </w:r>
      <w:r w:rsidR="00A47A45" w:rsidRPr="00A47A45">
        <w:t>etween 15 and 64 by Regions.</w:t>
      </w:r>
    </w:p>
    <w:p w:rsidR="00A47A45" w:rsidRPr="00A47A45" w:rsidRDefault="00CA4320" w:rsidP="00A47A45">
      <w:pPr>
        <w:spacing w:line="240" w:lineRule="auto"/>
        <w:contextualSpacing/>
      </w:pPr>
      <w:r>
        <w:rPr>
          <w:noProof/>
        </w:rPr>
        <w:drawing>
          <wp:inline distT="0" distB="0" distL="0" distR="0">
            <wp:extent cx="5394960" cy="24853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gecohortm_year_region.png"/>
                    <pic:cNvPicPr/>
                  </pic:nvPicPr>
                  <pic:blipFill>
                    <a:blip r:embed="rId37">
                      <a:extLst>
                        <a:ext uri="{28A0092B-C50C-407E-A947-70E740481C1C}">
                          <a14:useLocalDpi xmlns:a14="http://schemas.microsoft.com/office/drawing/2010/main" val="0"/>
                        </a:ext>
                      </a:extLst>
                    </a:blip>
                    <a:stretch>
                      <a:fillRect/>
                    </a:stretch>
                  </pic:blipFill>
                  <pic:spPr>
                    <a:xfrm>
                      <a:off x="0" y="0"/>
                      <a:ext cx="5394960" cy="2485390"/>
                    </a:xfrm>
                    <a:prstGeom prst="rect">
                      <a:avLst/>
                    </a:prstGeom>
                  </pic:spPr>
                </pic:pic>
              </a:graphicData>
            </a:graphic>
          </wp:inline>
        </w:drawing>
      </w:r>
    </w:p>
    <w:p w:rsidR="000C1BD6" w:rsidRDefault="000C1BD6" w:rsidP="00A47A45">
      <w:pPr>
        <w:spacing w:line="480" w:lineRule="auto"/>
        <w:contextualSpacing/>
        <w:rPr>
          <w:i/>
        </w:rPr>
      </w:pPr>
    </w:p>
    <w:p w:rsidR="00A47A45" w:rsidRPr="00A47A45" w:rsidRDefault="00A47A45" w:rsidP="00A47A45">
      <w:pPr>
        <w:spacing w:line="480" w:lineRule="auto"/>
        <w:contextualSpacing/>
      </w:pPr>
      <w:r w:rsidRPr="00A47A45">
        <w:rPr>
          <w:i/>
        </w:rPr>
        <w:t>Urbanization</w:t>
      </w:r>
    </w:p>
    <w:p w:rsidR="00A47A45" w:rsidRPr="00A47A45" w:rsidRDefault="00A47A45" w:rsidP="00A47A45">
      <w:pPr>
        <w:spacing w:line="480" w:lineRule="auto"/>
        <w:contextualSpacing/>
      </w:pPr>
      <w:r w:rsidRPr="00A47A45">
        <w:t>The percentage of a country’s population residing in urban are</w:t>
      </w:r>
      <w:r w:rsidR="00C86B22">
        <w:t xml:space="preserve">as </w:t>
      </w:r>
      <w:r w:rsidR="00C86B22" w:rsidRPr="00525FCF">
        <w:rPr>
          <w:noProof/>
        </w:rPr>
        <w:t>is represented</w:t>
      </w:r>
      <w:r w:rsidR="00525FCF">
        <w:t xml:space="preserve"> in Figure 25</w:t>
      </w:r>
      <w:r w:rsidRPr="00A47A45">
        <w:t xml:space="preserve"> below. Data from the World Bank’s WDI indicate </w:t>
      </w:r>
      <w:r w:rsidR="00903B6F">
        <w:t xml:space="preserve">an </w:t>
      </w:r>
      <w:r w:rsidRPr="00A47A45">
        <w:t xml:space="preserve">increase in the </w:t>
      </w:r>
      <w:r w:rsidRPr="00525FCF">
        <w:rPr>
          <w:noProof/>
        </w:rPr>
        <w:t>percentage</w:t>
      </w:r>
      <w:r w:rsidRPr="00A47A45">
        <w:t xml:space="preserve"> of countries’ populations </w:t>
      </w:r>
      <w:r w:rsidRPr="00525FCF">
        <w:rPr>
          <w:noProof/>
        </w:rPr>
        <w:t>residing</w:t>
      </w:r>
      <w:r w:rsidRPr="00A47A45">
        <w:t xml:space="preserve"> in urb</w:t>
      </w:r>
      <w:r w:rsidR="00C86B22">
        <w:t xml:space="preserve">an </w:t>
      </w:r>
      <w:r w:rsidR="006F0D5D">
        <w:t>areas. As is seen in Figure 25</w:t>
      </w:r>
      <w:r w:rsidRPr="00A47A45">
        <w:t xml:space="preserve">, on </w:t>
      </w:r>
      <w:r w:rsidRPr="00A47A45">
        <w:lastRenderedPageBreak/>
        <w:t xml:space="preserve">average, the world’s population increasingly </w:t>
      </w:r>
      <w:r w:rsidRPr="00525FCF">
        <w:rPr>
          <w:noProof/>
        </w:rPr>
        <w:t>resides</w:t>
      </w:r>
      <w:r w:rsidRPr="00A47A45">
        <w:t xml:space="preserve"> in urban areas. In fact, for the countries included in this study the </w:t>
      </w:r>
      <w:r w:rsidRPr="00525FCF">
        <w:rPr>
          <w:noProof/>
        </w:rPr>
        <w:t>average</w:t>
      </w:r>
      <w:r w:rsidRPr="00A47A45">
        <w:t xml:space="preserve"> percent of the world’s population </w:t>
      </w:r>
      <w:r w:rsidRPr="00525FCF">
        <w:rPr>
          <w:noProof/>
        </w:rPr>
        <w:t>residing</w:t>
      </w:r>
      <w:r w:rsidRPr="00A47A45">
        <w:t xml:space="preserve"> in urban areas increases from </w:t>
      </w:r>
      <w:r w:rsidR="00903B6F">
        <w:t>66.66</w:t>
      </w:r>
      <w:r w:rsidRPr="00A47A45">
        <w:t xml:space="preserve"> to </w:t>
      </w:r>
      <w:r w:rsidR="00903B6F">
        <w:t>67.80</w:t>
      </w:r>
      <w:r w:rsidRPr="00A47A45">
        <w:t>.</w:t>
      </w:r>
    </w:p>
    <w:p w:rsidR="00A47A45" w:rsidRPr="00A47A45" w:rsidRDefault="00295E9C" w:rsidP="00A47A45">
      <w:pPr>
        <w:spacing w:line="240" w:lineRule="auto"/>
        <w:contextualSpacing/>
      </w:pPr>
      <w:r>
        <w:t>Figure 25</w:t>
      </w:r>
      <w:r w:rsidR="00C86B22">
        <w:t>.</w:t>
      </w:r>
      <w:r w:rsidR="00A47A45" w:rsidRPr="00A47A45">
        <w:t xml:space="preserve"> Percent of Population in Urban Areas.</w:t>
      </w:r>
    </w:p>
    <w:p w:rsidR="00A47A45" w:rsidRPr="00A47A45" w:rsidRDefault="00CA4320" w:rsidP="00A47A45">
      <w:pPr>
        <w:spacing w:line="480" w:lineRule="auto"/>
        <w:contextualSpacing/>
      </w:pPr>
      <w:r>
        <w:rPr>
          <w:noProof/>
        </w:rPr>
        <w:drawing>
          <wp:inline distT="0" distB="0" distL="0" distR="0">
            <wp:extent cx="5394960" cy="185229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urbanm_year.png"/>
                    <pic:cNvPicPr/>
                  </pic:nvPicPr>
                  <pic:blipFill>
                    <a:blip r:embed="rId38">
                      <a:extLst>
                        <a:ext uri="{28A0092B-C50C-407E-A947-70E740481C1C}">
                          <a14:useLocalDpi xmlns:a14="http://schemas.microsoft.com/office/drawing/2010/main" val="0"/>
                        </a:ext>
                      </a:extLst>
                    </a:blip>
                    <a:stretch>
                      <a:fillRect/>
                    </a:stretch>
                  </pic:blipFill>
                  <pic:spPr>
                    <a:xfrm>
                      <a:off x="0" y="0"/>
                      <a:ext cx="5394960" cy="1852295"/>
                    </a:xfrm>
                    <a:prstGeom prst="rect">
                      <a:avLst/>
                    </a:prstGeom>
                  </pic:spPr>
                </pic:pic>
              </a:graphicData>
            </a:graphic>
          </wp:inline>
        </w:drawing>
      </w:r>
    </w:p>
    <w:p w:rsidR="00A47A45" w:rsidRPr="00A47A45" w:rsidRDefault="00A47A45" w:rsidP="00A47A45">
      <w:pPr>
        <w:spacing w:line="480" w:lineRule="auto"/>
        <w:contextualSpacing/>
      </w:pPr>
      <w:r w:rsidRPr="00A47A45">
        <w:tab/>
        <w:t>Each of the world’s regions experience increases in urban po</w:t>
      </w:r>
      <w:r w:rsidR="00903B6F">
        <w:t>pulations</w:t>
      </w:r>
      <w:r w:rsidRPr="00A47A45">
        <w:t xml:space="preserve">. </w:t>
      </w:r>
      <w:r w:rsidR="00903B6F">
        <w:t>Latin America</w:t>
      </w:r>
      <w:r w:rsidRPr="00A47A45">
        <w:t xml:space="preserve"> has the highest percentage of its </w:t>
      </w:r>
      <w:r w:rsidRPr="00525FCF">
        <w:rPr>
          <w:noProof/>
        </w:rPr>
        <w:t>populations</w:t>
      </w:r>
      <w:r w:rsidRPr="00A47A45">
        <w:t xml:space="preserve"> living in urban areas, increasing from </w:t>
      </w:r>
      <w:r w:rsidR="00903B6F">
        <w:t>82.34 to 84.24</w:t>
      </w:r>
      <w:r w:rsidRPr="00A47A45">
        <w:t xml:space="preserve">. </w:t>
      </w:r>
      <w:r w:rsidR="00903B6F">
        <w:t xml:space="preserve">Urbanization increases similarly in the West </w:t>
      </w:r>
      <w:r w:rsidR="00903B6F" w:rsidRPr="00893ACF">
        <w:rPr>
          <w:noProof/>
        </w:rPr>
        <w:t>and</w:t>
      </w:r>
      <w:r w:rsidR="00903B6F">
        <w:t xml:space="preserve"> </w:t>
      </w:r>
      <w:r w:rsidR="00903B6F" w:rsidRPr="00525FCF">
        <w:rPr>
          <w:noProof/>
        </w:rPr>
        <w:t>MENA</w:t>
      </w:r>
      <w:r w:rsidR="00903B6F">
        <w:t xml:space="preserve"> increasing just over one percent. Urbanization in East Asia and the Pacific increases approximately </w:t>
      </w:r>
      <w:r w:rsidR="00903B6F" w:rsidRPr="00525FCF">
        <w:rPr>
          <w:noProof/>
        </w:rPr>
        <w:t>three percent</w:t>
      </w:r>
      <w:r w:rsidR="00903B6F">
        <w:t xml:space="preserve">, while EECA </w:t>
      </w:r>
      <w:r w:rsidRPr="00A47A45">
        <w:t>experienced th</w:t>
      </w:r>
      <w:r w:rsidR="00903B6F">
        <w:t>e slowest growth, increasing less than one percent</w:t>
      </w:r>
      <w:r w:rsidRPr="00A47A45">
        <w:t xml:space="preserve">. </w:t>
      </w: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A47A45" w:rsidRPr="00A47A45" w:rsidRDefault="00A47A45" w:rsidP="00A47A45">
      <w:pPr>
        <w:spacing w:line="240" w:lineRule="auto"/>
        <w:contextualSpacing/>
      </w:pPr>
      <w:r w:rsidRPr="00A47A45">
        <w:lastRenderedPageBreak/>
        <w:t>Fig</w:t>
      </w:r>
      <w:r w:rsidR="00295E9C">
        <w:t>ure 26</w:t>
      </w:r>
      <w:r w:rsidR="00C86B22">
        <w:t>.</w:t>
      </w:r>
      <w:r w:rsidRPr="00A47A45">
        <w:t xml:space="preserve"> Percent of Population in Urban Areas by Region.</w:t>
      </w:r>
    </w:p>
    <w:p w:rsidR="00A47A45" w:rsidRPr="00A47A45" w:rsidRDefault="00CA4320" w:rsidP="00A47A45">
      <w:pPr>
        <w:spacing w:line="480" w:lineRule="auto"/>
        <w:contextualSpacing/>
      </w:pPr>
      <w:r>
        <w:rPr>
          <w:noProof/>
        </w:rPr>
        <w:drawing>
          <wp:inline distT="0" distB="0" distL="0" distR="0">
            <wp:extent cx="5394960" cy="34556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urbanm_year_region.png"/>
                    <pic:cNvPicPr/>
                  </pic:nvPicPr>
                  <pic:blipFill>
                    <a:blip r:embed="rId39">
                      <a:extLst>
                        <a:ext uri="{28A0092B-C50C-407E-A947-70E740481C1C}">
                          <a14:useLocalDpi xmlns:a14="http://schemas.microsoft.com/office/drawing/2010/main" val="0"/>
                        </a:ext>
                      </a:extLst>
                    </a:blip>
                    <a:stretch>
                      <a:fillRect/>
                    </a:stretch>
                  </pic:blipFill>
                  <pic:spPr>
                    <a:xfrm>
                      <a:off x="0" y="0"/>
                      <a:ext cx="5394960" cy="3455670"/>
                    </a:xfrm>
                    <a:prstGeom prst="rect">
                      <a:avLst/>
                    </a:prstGeom>
                  </pic:spPr>
                </pic:pic>
              </a:graphicData>
            </a:graphic>
          </wp:inline>
        </w:drawing>
      </w:r>
    </w:p>
    <w:p w:rsidR="00A47A45" w:rsidRPr="00A47A45" w:rsidRDefault="00A47A45" w:rsidP="00A47A45">
      <w:pPr>
        <w:spacing w:line="480" w:lineRule="auto"/>
        <w:contextualSpacing/>
      </w:pPr>
      <w:r w:rsidRPr="00A47A45">
        <w:rPr>
          <w:i/>
        </w:rPr>
        <w:t>Physical Integrity Rights</w:t>
      </w:r>
    </w:p>
    <w:p w:rsidR="00A47A45" w:rsidRPr="00A47A45" w:rsidRDefault="00A47A45" w:rsidP="00903B6F">
      <w:pPr>
        <w:spacing w:line="480" w:lineRule="auto"/>
        <w:contextualSpacing/>
      </w:pPr>
      <w:r w:rsidRPr="00A47A45">
        <w:t xml:space="preserve">Cingranelli and Richards (1999) use an eight-point scale indicating the level at which governments respect the physical integrity rights of the populace. Higher scores indicate greater </w:t>
      </w:r>
      <w:r w:rsidRPr="00525FCF">
        <w:rPr>
          <w:noProof/>
        </w:rPr>
        <w:t>governmental respect for the</w:t>
      </w:r>
      <w:r w:rsidRPr="00A47A45">
        <w:t xml:space="preserve"> </w:t>
      </w:r>
      <w:r w:rsidRPr="00A47A45">
        <w:rPr>
          <w:noProof/>
        </w:rPr>
        <w:t>lack</w:t>
      </w:r>
      <w:r w:rsidRPr="00A47A45">
        <w:t xml:space="preserve"> of torture, extrajudicial killing, political </w:t>
      </w:r>
      <w:r w:rsidRPr="00A47A45">
        <w:rPr>
          <w:noProof/>
        </w:rPr>
        <w:t>incarceration</w:t>
      </w:r>
      <w:r w:rsidRPr="00A47A45">
        <w:t xml:space="preserve">, and disappearance. </w:t>
      </w:r>
      <w:r w:rsidRPr="00A47A45">
        <w:rPr>
          <w:noProof/>
        </w:rPr>
        <w:t>There</w:t>
      </w:r>
      <w:r w:rsidRPr="00A47A45">
        <w:t xml:space="preserve"> is </w:t>
      </w:r>
      <w:r w:rsidR="00903B6F" w:rsidRPr="00525FCF">
        <w:rPr>
          <w:noProof/>
        </w:rPr>
        <w:t>slight</w:t>
      </w:r>
      <w:r w:rsidR="00903B6F">
        <w:t xml:space="preserve"> reduction in physical integrity rights worldwide. </w:t>
      </w:r>
      <w:r w:rsidRPr="00A47A45">
        <w:t xml:space="preserve">The </w:t>
      </w:r>
      <w:r w:rsidRPr="00A47A45">
        <w:rPr>
          <w:noProof/>
        </w:rPr>
        <w:t>global</w:t>
      </w:r>
      <w:r w:rsidRPr="00A47A45">
        <w:t xml:space="preserve"> average </w:t>
      </w:r>
      <w:r w:rsidR="00903B6F">
        <w:t xml:space="preserve">in the first half of the </w:t>
      </w:r>
      <w:r w:rsidR="00903B6F" w:rsidRPr="00525FCF">
        <w:rPr>
          <w:noProof/>
        </w:rPr>
        <w:t>time period</w:t>
      </w:r>
      <w:r w:rsidR="00903B6F">
        <w:t xml:space="preserve"> is 5.94</w:t>
      </w:r>
      <w:r w:rsidRPr="00A47A45">
        <w:t xml:space="preserve">, </w:t>
      </w:r>
      <w:r w:rsidR="00903B6F">
        <w:t>which decreases to 5.65</w:t>
      </w:r>
      <w:r w:rsidRPr="00A47A45">
        <w:t>.</w:t>
      </w: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A47A45" w:rsidRDefault="00295E9C" w:rsidP="00A47A45">
      <w:pPr>
        <w:spacing w:line="240" w:lineRule="auto"/>
        <w:contextualSpacing/>
        <w:rPr>
          <w:noProof/>
        </w:rPr>
      </w:pPr>
      <w:r>
        <w:lastRenderedPageBreak/>
        <w:t>Figure 27</w:t>
      </w:r>
      <w:r w:rsidR="00A47A45" w:rsidRPr="00A47A45">
        <w:t>. Physical Integrity Rights Worldwide Average.</w:t>
      </w:r>
    </w:p>
    <w:p w:rsidR="00903B6F" w:rsidRPr="00A47A45" w:rsidRDefault="00CA4320" w:rsidP="00A47A45">
      <w:pPr>
        <w:spacing w:line="240" w:lineRule="auto"/>
        <w:contextualSpacing/>
      </w:pPr>
      <w:r>
        <w:rPr>
          <w:noProof/>
        </w:rPr>
        <w:drawing>
          <wp:inline distT="0" distB="0" distL="0" distR="0">
            <wp:extent cx="5394960" cy="252603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hysintm_year.png"/>
                    <pic:cNvPicPr/>
                  </pic:nvPicPr>
                  <pic:blipFill>
                    <a:blip r:embed="rId40">
                      <a:extLst>
                        <a:ext uri="{28A0092B-C50C-407E-A947-70E740481C1C}">
                          <a14:useLocalDpi xmlns:a14="http://schemas.microsoft.com/office/drawing/2010/main" val="0"/>
                        </a:ext>
                      </a:extLst>
                    </a:blip>
                    <a:stretch>
                      <a:fillRect/>
                    </a:stretch>
                  </pic:blipFill>
                  <pic:spPr>
                    <a:xfrm>
                      <a:off x="0" y="0"/>
                      <a:ext cx="5394960" cy="2526030"/>
                    </a:xfrm>
                    <a:prstGeom prst="rect">
                      <a:avLst/>
                    </a:prstGeom>
                  </pic:spPr>
                </pic:pic>
              </a:graphicData>
            </a:graphic>
          </wp:inline>
        </w:drawing>
      </w:r>
    </w:p>
    <w:p w:rsidR="00A47A45" w:rsidRPr="00A47A45" w:rsidRDefault="00A47A45" w:rsidP="00A47A45">
      <w:pPr>
        <w:spacing w:line="240" w:lineRule="auto"/>
        <w:contextualSpacing/>
      </w:pPr>
    </w:p>
    <w:p w:rsidR="00A47A45" w:rsidRPr="00A47A45" w:rsidRDefault="00A47A45" w:rsidP="00A47A45">
      <w:pPr>
        <w:spacing w:line="480" w:lineRule="auto"/>
        <w:contextualSpacing/>
      </w:pPr>
      <w:r w:rsidRPr="00A47A45">
        <w:tab/>
        <w:t xml:space="preserve">Regional differences in trends in physical integrity rights </w:t>
      </w:r>
      <w:r w:rsidRPr="00525FCF">
        <w:rPr>
          <w:noProof/>
        </w:rPr>
        <w:t>are shown</w:t>
      </w:r>
      <w:r w:rsidRPr="00A47A45">
        <w:t xml:space="preserve"> below. The West has the highest </w:t>
      </w:r>
      <w:r w:rsidRPr="00525FCF">
        <w:rPr>
          <w:noProof/>
        </w:rPr>
        <w:t>average</w:t>
      </w:r>
      <w:r w:rsidRPr="00A47A45">
        <w:t xml:space="preserve"> physical integrity rights for the entire period</w:t>
      </w:r>
      <w:r w:rsidR="00903B6F">
        <w:t xml:space="preserve">. However, reductions in physical integrity rights are noted in the following regions: West, EECA, and EAP, while Latin America and the Middle East and North Africa indicate slight increases in the variable. It is noteworthy that the measurement for the first half of the </w:t>
      </w:r>
      <w:r w:rsidR="00903B6F" w:rsidRPr="00525FCF">
        <w:rPr>
          <w:noProof/>
        </w:rPr>
        <w:t>time period</w:t>
      </w:r>
      <w:r w:rsidR="00903B6F">
        <w:t xml:space="preserve"> ends in 2002, following the </w:t>
      </w:r>
      <w:r w:rsidR="00525FCF">
        <w:t xml:space="preserve">terrorist </w:t>
      </w:r>
      <w:r w:rsidR="00903B6F">
        <w:t xml:space="preserve">attacks of 9/11. These results may, in part, be the trade-off in security concerns for respect for physical integrity rights following, and influenced by terrorist attacks around the world. Although the increases demonstrated in LA and </w:t>
      </w:r>
      <w:r w:rsidR="00903B6F" w:rsidRPr="00525FCF">
        <w:rPr>
          <w:noProof/>
        </w:rPr>
        <w:t>MENA</w:t>
      </w:r>
      <w:r w:rsidR="00903B6F">
        <w:t xml:space="preserve"> appear to belie the security concerns explanation. </w:t>
      </w: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A47A45" w:rsidRPr="00A47A45" w:rsidRDefault="00C86B22" w:rsidP="00A47A45">
      <w:pPr>
        <w:spacing w:line="240" w:lineRule="auto"/>
        <w:contextualSpacing/>
      </w:pPr>
      <w:r>
        <w:lastRenderedPageBreak/>
        <w:t>Figure</w:t>
      </w:r>
      <w:r w:rsidR="00295E9C">
        <w:t xml:space="preserve"> 28</w:t>
      </w:r>
      <w:r>
        <w:t>.</w:t>
      </w:r>
      <w:r w:rsidR="00A47A45" w:rsidRPr="00A47A45">
        <w:t xml:space="preserve"> Physical Integrity Rights Regional Averages</w:t>
      </w:r>
      <w:r>
        <w:t>.</w:t>
      </w:r>
    </w:p>
    <w:p w:rsidR="00A47A45" w:rsidRPr="00A47A45" w:rsidRDefault="00CA4320" w:rsidP="00A47A45">
      <w:pPr>
        <w:spacing w:line="240" w:lineRule="auto"/>
        <w:contextualSpacing/>
      </w:pPr>
      <w:r>
        <w:rPr>
          <w:noProof/>
        </w:rPr>
        <w:drawing>
          <wp:inline distT="0" distB="0" distL="0" distR="0">
            <wp:extent cx="5394960" cy="345567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hysintm_year_region.png"/>
                    <pic:cNvPicPr/>
                  </pic:nvPicPr>
                  <pic:blipFill>
                    <a:blip r:embed="rId41">
                      <a:extLst>
                        <a:ext uri="{28A0092B-C50C-407E-A947-70E740481C1C}">
                          <a14:useLocalDpi xmlns:a14="http://schemas.microsoft.com/office/drawing/2010/main" val="0"/>
                        </a:ext>
                      </a:extLst>
                    </a:blip>
                    <a:stretch>
                      <a:fillRect/>
                    </a:stretch>
                  </pic:blipFill>
                  <pic:spPr>
                    <a:xfrm>
                      <a:off x="0" y="0"/>
                      <a:ext cx="5394960" cy="3455670"/>
                    </a:xfrm>
                    <a:prstGeom prst="rect">
                      <a:avLst/>
                    </a:prstGeom>
                  </pic:spPr>
                </pic:pic>
              </a:graphicData>
            </a:graphic>
          </wp:inline>
        </w:drawing>
      </w:r>
    </w:p>
    <w:p w:rsidR="00A47A45" w:rsidRPr="00A47A45" w:rsidRDefault="00A47A45" w:rsidP="00A47A45">
      <w:pPr>
        <w:spacing w:line="240" w:lineRule="auto"/>
        <w:contextualSpacing/>
      </w:pPr>
    </w:p>
    <w:p w:rsidR="00A47A45" w:rsidRPr="00A47A45" w:rsidRDefault="00A47A45" w:rsidP="00A47A45">
      <w:pPr>
        <w:spacing w:line="480" w:lineRule="auto"/>
        <w:contextualSpacing/>
      </w:pPr>
      <w:r w:rsidRPr="00A47A45">
        <w:rPr>
          <w:i/>
        </w:rPr>
        <w:t>Educational Attainment</w:t>
      </w:r>
    </w:p>
    <w:p w:rsidR="00A47A45" w:rsidRPr="00A47A45" w:rsidRDefault="00A47A45" w:rsidP="00A47A45">
      <w:pPr>
        <w:spacing w:line="480" w:lineRule="auto"/>
        <w:contextualSpacing/>
      </w:pPr>
      <w:r w:rsidRPr="00A47A45">
        <w:rPr>
          <w:noProof/>
        </w:rPr>
        <w:t>My</w:t>
      </w:r>
      <w:r w:rsidRPr="00A47A45">
        <w:t xml:space="preserve"> secondary education attainment measure is from Barro and Lee (2013a). </w:t>
      </w:r>
      <w:r w:rsidRPr="00A47A45">
        <w:rPr>
          <w:noProof/>
        </w:rPr>
        <w:t>I</w:t>
      </w:r>
      <w:r w:rsidRPr="00A47A45">
        <w:t xml:space="preserve"> report the percentage of the population aged 15 years and older having completed secondary </w:t>
      </w:r>
      <w:r w:rsidRPr="00525FCF">
        <w:rPr>
          <w:noProof/>
        </w:rPr>
        <w:t>education</w:t>
      </w:r>
      <w:r w:rsidRPr="00A47A45">
        <w:t xml:space="preserve">. </w:t>
      </w:r>
      <w:r w:rsidRPr="00893ACF">
        <w:rPr>
          <w:noProof/>
        </w:rPr>
        <w:t>Worldwide</w:t>
      </w:r>
      <w:r w:rsidRPr="00A47A45">
        <w:t xml:space="preserve"> averages</w:t>
      </w:r>
      <w:r w:rsidR="00903B6F">
        <w:t xml:space="preserve"> in these data</w:t>
      </w:r>
      <w:r w:rsidRPr="00A47A45">
        <w:t xml:space="preserve"> range from </w:t>
      </w:r>
      <w:r w:rsidR="00903B6F">
        <w:t>4.62 in Papua New Guinea to 70.69</w:t>
      </w:r>
      <w:r w:rsidRPr="00A47A45">
        <w:t xml:space="preserve"> in Kazakhstan. </w:t>
      </w:r>
    </w:p>
    <w:p w:rsidR="00690138" w:rsidRDefault="00A47A45" w:rsidP="00903B6F">
      <w:pPr>
        <w:spacing w:line="480" w:lineRule="auto"/>
        <w:contextualSpacing/>
      </w:pPr>
      <w:r w:rsidRPr="00A47A45">
        <w:tab/>
      </w:r>
      <w:r w:rsidRPr="00A47A45">
        <w:rPr>
          <w:noProof/>
        </w:rPr>
        <w:t>Educational attainment</w:t>
      </w:r>
      <w:r w:rsidRPr="00A47A45">
        <w:t xml:space="preserve"> worldwide increases </w:t>
      </w:r>
      <w:r w:rsidR="00903B6F">
        <w:t>slightly more than four percentage points, from 32.75 percent to 36.80 percent</w:t>
      </w:r>
      <w:r w:rsidRPr="00A47A45">
        <w:t xml:space="preserve">. Although relatively </w:t>
      </w:r>
      <w:r w:rsidRPr="00525FCF">
        <w:rPr>
          <w:noProof/>
        </w:rPr>
        <w:t>low</w:t>
      </w:r>
      <w:r w:rsidRPr="00A47A45">
        <w:t xml:space="preserve">, it appears that from a </w:t>
      </w:r>
      <w:r w:rsidR="00525FCF">
        <w:rPr>
          <w:noProof/>
        </w:rPr>
        <w:t>global</w:t>
      </w:r>
      <w:r w:rsidRPr="00A47A45">
        <w:t xml:space="preserve"> perspective, </w:t>
      </w:r>
      <w:r w:rsidR="00903B6F">
        <w:t>educational attainment grew during</w:t>
      </w:r>
      <w:r w:rsidRPr="00A47A45">
        <w:t xml:space="preserve"> the past two decades. See </w:t>
      </w:r>
      <w:r w:rsidR="00295E9C">
        <w:rPr>
          <w:noProof/>
        </w:rPr>
        <w:t>Figure 29</w:t>
      </w:r>
      <w:r w:rsidRPr="00A47A45">
        <w:t xml:space="preserve"> for trends in educational attainment.</w:t>
      </w:r>
    </w:p>
    <w:p w:rsidR="00903B6F" w:rsidRDefault="00903B6F" w:rsidP="00C86B22">
      <w:pPr>
        <w:spacing w:line="240" w:lineRule="auto"/>
        <w:contextualSpacing/>
      </w:pPr>
    </w:p>
    <w:p w:rsidR="00903B6F" w:rsidRDefault="00903B6F" w:rsidP="00C86B22">
      <w:pPr>
        <w:spacing w:line="240" w:lineRule="auto"/>
        <w:contextualSpacing/>
      </w:pPr>
    </w:p>
    <w:p w:rsidR="00903B6F" w:rsidRDefault="00903B6F" w:rsidP="00C86B22">
      <w:pPr>
        <w:spacing w:line="240" w:lineRule="auto"/>
        <w:contextualSpacing/>
      </w:pPr>
    </w:p>
    <w:p w:rsidR="00057B53" w:rsidRDefault="00057B53" w:rsidP="00C86B22">
      <w:pPr>
        <w:spacing w:line="240" w:lineRule="auto"/>
        <w:contextualSpacing/>
      </w:pPr>
    </w:p>
    <w:p w:rsidR="00057B53" w:rsidRDefault="00057B53" w:rsidP="00C86B22">
      <w:pPr>
        <w:spacing w:line="240" w:lineRule="auto"/>
        <w:contextualSpacing/>
      </w:pPr>
    </w:p>
    <w:p w:rsidR="006F0D5D" w:rsidRDefault="006F0D5D" w:rsidP="00C86B22">
      <w:pPr>
        <w:spacing w:line="240" w:lineRule="auto"/>
        <w:contextualSpacing/>
      </w:pPr>
    </w:p>
    <w:p w:rsidR="006F0D5D" w:rsidRDefault="006F0D5D" w:rsidP="00C86B22">
      <w:pPr>
        <w:spacing w:line="240" w:lineRule="auto"/>
        <w:contextualSpacing/>
      </w:pPr>
    </w:p>
    <w:p w:rsidR="00A47A45" w:rsidRPr="00A47A45" w:rsidRDefault="00295E9C" w:rsidP="00C86B22">
      <w:pPr>
        <w:spacing w:line="240" w:lineRule="auto"/>
        <w:contextualSpacing/>
      </w:pPr>
      <w:r>
        <w:lastRenderedPageBreak/>
        <w:t>Figure 29</w:t>
      </w:r>
      <w:r w:rsidR="00C86B22">
        <w:t>.</w:t>
      </w:r>
      <w:r w:rsidR="00A47A45" w:rsidRPr="00A47A45">
        <w:t xml:space="preserve"> Percent of the Population Completing Secondary Education.</w:t>
      </w:r>
    </w:p>
    <w:p w:rsidR="00A47A45" w:rsidRPr="00A47A45" w:rsidRDefault="00CA4320" w:rsidP="00A47A45">
      <w:pPr>
        <w:spacing w:line="480" w:lineRule="auto"/>
        <w:contextualSpacing/>
      </w:pPr>
      <w:r>
        <w:rPr>
          <w:noProof/>
        </w:rPr>
        <w:drawing>
          <wp:inline distT="0" distB="0" distL="0" distR="0">
            <wp:extent cx="5394960" cy="23260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cedm_year.png"/>
                    <pic:cNvPicPr/>
                  </pic:nvPicPr>
                  <pic:blipFill>
                    <a:blip r:embed="rId42">
                      <a:extLst>
                        <a:ext uri="{28A0092B-C50C-407E-A947-70E740481C1C}">
                          <a14:useLocalDpi xmlns:a14="http://schemas.microsoft.com/office/drawing/2010/main" val="0"/>
                        </a:ext>
                      </a:extLst>
                    </a:blip>
                    <a:stretch>
                      <a:fillRect/>
                    </a:stretch>
                  </pic:blipFill>
                  <pic:spPr>
                    <a:xfrm>
                      <a:off x="0" y="0"/>
                      <a:ext cx="5394960" cy="2326005"/>
                    </a:xfrm>
                    <a:prstGeom prst="rect">
                      <a:avLst/>
                    </a:prstGeom>
                  </pic:spPr>
                </pic:pic>
              </a:graphicData>
            </a:graphic>
          </wp:inline>
        </w:drawing>
      </w:r>
    </w:p>
    <w:p w:rsidR="00E00414" w:rsidRDefault="00A47A45" w:rsidP="00903B6F">
      <w:pPr>
        <w:spacing w:line="480" w:lineRule="auto"/>
        <w:contextualSpacing/>
      </w:pPr>
      <w:r w:rsidRPr="00A47A45">
        <w:tab/>
        <w:t xml:space="preserve">Regional trends for </w:t>
      </w:r>
      <w:r w:rsidR="00563480">
        <w:t xml:space="preserve">secondary </w:t>
      </w:r>
      <w:r w:rsidRPr="00A47A45">
        <w:t>education</w:t>
      </w:r>
      <w:r w:rsidR="00563480">
        <w:t xml:space="preserve"> completion</w:t>
      </w:r>
      <w:r w:rsidRPr="00A47A45">
        <w:t xml:space="preserve"> follow</w:t>
      </w:r>
      <w:r w:rsidR="00563480">
        <w:t>s</w:t>
      </w:r>
      <w:r w:rsidRPr="00A47A45">
        <w:t>. Countries in Eastern Europe and Central Asia report the highest averages during this re</w:t>
      </w:r>
      <w:r w:rsidR="00903B6F">
        <w:t xml:space="preserve">porting period. </w:t>
      </w:r>
      <w:r w:rsidR="00903B6F" w:rsidRPr="00525FCF">
        <w:rPr>
          <w:noProof/>
        </w:rPr>
        <w:t>Starting the period</w:t>
      </w:r>
      <w:r w:rsidRPr="00525FCF">
        <w:rPr>
          <w:noProof/>
        </w:rPr>
        <w:t xml:space="preserve"> </w:t>
      </w:r>
      <w:r w:rsidR="00903B6F" w:rsidRPr="00525FCF">
        <w:rPr>
          <w:noProof/>
        </w:rPr>
        <w:t>with a regional average of 44.61</w:t>
      </w:r>
      <w:r w:rsidRPr="00525FCF">
        <w:rPr>
          <w:noProof/>
        </w:rPr>
        <w:t xml:space="preserve"> percent of the population over age 15 completing secondary education</w:t>
      </w:r>
      <w:r w:rsidRPr="00A47A45">
        <w:t xml:space="preserve">, the region shows an increase to </w:t>
      </w:r>
      <w:r w:rsidR="00903B6F">
        <w:t xml:space="preserve">49.65 </w:t>
      </w:r>
      <w:r w:rsidR="00525FCF" w:rsidRPr="00525FCF">
        <w:rPr>
          <w:noProof/>
        </w:rPr>
        <w:t>percent</w:t>
      </w:r>
      <w:r w:rsidRPr="00A47A45">
        <w:t>. Educational atta</w:t>
      </w:r>
      <w:r w:rsidR="00903B6F">
        <w:t>inment in the West averages 29.23 for the first half of the observation period and increases to 33.35.</w:t>
      </w:r>
      <w:r w:rsidRPr="00A47A45">
        <w:t xml:space="preserve"> Although all regions show some growth in </w:t>
      </w:r>
      <w:r w:rsidRPr="00525FCF">
        <w:rPr>
          <w:noProof/>
        </w:rPr>
        <w:t>educational attainment</w:t>
      </w:r>
      <w:r w:rsidRPr="00A47A45">
        <w:t xml:space="preserve">, </w:t>
      </w:r>
      <w:r w:rsidR="00903B6F">
        <w:t>MENA</w:t>
      </w:r>
      <w:r w:rsidRPr="00A47A45">
        <w:t xml:space="preserve"> lags all other </w:t>
      </w:r>
      <w:r w:rsidRPr="00525FCF">
        <w:rPr>
          <w:noProof/>
        </w:rPr>
        <w:t>regions</w:t>
      </w:r>
      <w:r w:rsidRPr="00A47A45">
        <w:t>.</w:t>
      </w:r>
    </w:p>
    <w:p w:rsidR="00E00414" w:rsidRDefault="00E00414" w:rsidP="00903B6F">
      <w:pPr>
        <w:spacing w:line="480" w:lineRule="auto"/>
        <w:contextualSpacing/>
      </w:pPr>
    </w:p>
    <w:p w:rsidR="00E00414" w:rsidRDefault="00E00414" w:rsidP="00903B6F">
      <w:pPr>
        <w:spacing w:line="480" w:lineRule="auto"/>
        <w:contextualSpacing/>
      </w:pPr>
    </w:p>
    <w:p w:rsidR="00E00414" w:rsidRDefault="00E00414" w:rsidP="00903B6F">
      <w:pPr>
        <w:spacing w:line="480" w:lineRule="auto"/>
        <w:contextualSpacing/>
      </w:pPr>
    </w:p>
    <w:p w:rsidR="00E00414" w:rsidRDefault="00E00414" w:rsidP="00903B6F">
      <w:pPr>
        <w:spacing w:line="480" w:lineRule="auto"/>
        <w:contextualSpacing/>
      </w:pPr>
    </w:p>
    <w:p w:rsidR="00E00414" w:rsidRDefault="00E00414" w:rsidP="00903B6F">
      <w:pPr>
        <w:spacing w:line="480" w:lineRule="auto"/>
        <w:contextualSpacing/>
      </w:pPr>
    </w:p>
    <w:p w:rsidR="00E00414" w:rsidRDefault="00E00414" w:rsidP="00903B6F">
      <w:pPr>
        <w:spacing w:line="480" w:lineRule="auto"/>
        <w:contextualSpacing/>
      </w:pPr>
    </w:p>
    <w:p w:rsidR="00E00414" w:rsidRDefault="00E00414" w:rsidP="00903B6F">
      <w:pPr>
        <w:spacing w:line="480" w:lineRule="auto"/>
        <w:contextualSpacing/>
      </w:pPr>
    </w:p>
    <w:p w:rsidR="00E00414" w:rsidRDefault="00E00414" w:rsidP="00903B6F">
      <w:pPr>
        <w:spacing w:line="480" w:lineRule="auto"/>
        <w:contextualSpacing/>
      </w:pPr>
    </w:p>
    <w:p w:rsidR="00E00414" w:rsidRDefault="00E00414" w:rsidP="00903B6F">
      <w:pPr>
        <w:spacing w:line="480" w:lineRule="auto"/>
        <w:contextualSpacing/>
      </w:pPr>
    </w:p>
    <w:p w:rsidR="00A47A45" w:rsidRPr="00A47A45" w:rsidRDefault="00295E9C" w:rsidP="00903B6F">
      <w:pPr>
        <w:spacing w:line="480" w:lineRule="auto"/>
        <w:contextualSpacing/>
      </w:pPr>
      <w:r>
        <w:lastRenderedPageBreak/>
        <w:t>Figure 30</w:t>
      </w:r>
      <w:r w:rsidR="00C86B22">
        <w:t>.</w:t>
      </w:r>
      <w:r w:rsidR="00A47A45" w:rsidRPr="00A47A45">
        <w:t xml:space="preserve"> Percent Completing Secondary Education by Region</w:t>
      </w:r>
      <w:r w:rsidR="00C86B22">
        <w:t>.</w:t>
      </w:r>
    </w:p>
    <w:p w:rsidR="00A47A45" w:rsidRPr="00A47A45" w:rsidRDefault="00CA4320" w:rsidP="00A47A45">
      <w:pPr>
        <w:spacing w:line="240" w:lineRule="auto"/>
        <w:contextualSpacing/>
      </w:pPr>
      <w:r>
        <w:rPr>
          <w:noProof/>
        </w:rPr>
        <w:drawing>
          <wp:inline distT="0" distB="0" distL="0" distR="0">
            <wp:extent cx="5394960" cy="345567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ecedm_year_region.png"/>
                    <pic:cNvPicPr/>
                  </pic:nvPicPr>
                  <pic:blipFill>
                    <a:blip r:embed="rId43">
                      <a:extLst>
                        <a:ext uri="{28A0092B-C50C-407E-A947-70E740481C1C}">
                          <a14:useLocalDpi xmlns:a14="http://schemas.microsoft.com/office/drawing/2010/main" val="0"/>
                        </a:ext>
                      </a:extLst>
                    </a:blip>
                    <a:stretch>
                      <a:fillRect/>
                    </a:stretch>
                  </pic:blipFill>
                  <pic:spPr>
                    <a:xfrm>
                      <a:off x="0" y="0"/>
                      <a:ext cx="5394960" cy="3455670"/>
                    </a:xfrm>
                    <a:prstGeom prst="rect">
                      <a:avLst/>
                    </a:prstGeom>
                  </pic:spPr>
                </pic:pic>
              </a:graphicData>
            </a:graphic>
          </wp:inline>
        </w:drawing>
      </w:r>
    </w:p>
    <w:p w:rsidR="00FC3174" w:rsidRDefault="00FC3174" w:rsidP="00A47A45">
      <w:pPr>
        <w:spacing w:line="480" w:lineRule="auto"/>
        <w:contextualSpacing/>
        <w:rPr>
          <w:i/>
        </w:rPr>
      </w:pPr>
    </w:p>
    <w:p w:rsidR="00A47A45" w:rsidRPr="00A47A45" w:rsidRDefault="00A47A45" w:rsidP="00A47A45">
      <w:pPr>
        <w:spacing w:line="480" w:lineRule="auto"/>
        <w:contextualSpacing/>
      </w:pPr>
      <w:r w:rsidRPr="00A47A45">
        <w:rPr>
          <w:i/>
        </w:rPr>
        <w:t>Homicide Rates</w:t>
      </w:r>
    </w:p>
    <w:p w:rsidR="00A47A45" w:rsidRPr="00A47A45" w:rsidRDefault="00903B6F" w:rsidP="00A47A45">
      <w:pPr>
        <w:spacing w:line="480" w:lineRule="auto"/>
        <w:contextualSpacing/>
      </w:pPr>
      <w:r>
        <w:t xml:space="preserve">The average for homicide rates decreased slightly from the first half of the observation period to the second. At the beginning of the period, the average homicide rate for the countries covered is 4.27, which decreases to 4.00 at the end of the period. </w:t>
      </w:r>
    </w:p>
    <w:p w:rsidR="00A47A45" w:rsidRPr="00A47A45" w:rsidRDefault="00295E9C" w:rsidP="00A47A45">
      <w:pPr>
        <w:spacing w:line="240" w:lineRule="auto"/>
        <w:contextualSpacing/>
      </w:pPr>
      <w:r>
        <w:t>Figure 31</w:t>
      </w:r>
      <w:r w:rsidR="00C86B22">
        <w:t>.</w:t>
      </w:r>
      <w:r w:rsidR="00A47A45" w:rsidRPr="00A47A45">
        <w:t xml:space="preserve"> Worldwide Averages for Homicide Rates.</w:t>
      </w:r>
    </w:p>
    <w:p w:rsidR="00A47A45" w:rsidRPr="00A47A45" w:rsidRDefault="00CA4320" w:rsidP="00A47A45">
      <w:pPr>
        <w:spacing w:line="480" w:lineRule="auto"/>
        <w:contextualSpacing/>
      </w:pPr>
      <w:r>
        <w:rPr>
          <w:noProof/>
        </w:rPr>
        <w:drawing>
          <wp:inline distT="0" distB="0" distL="0" distR="0">
            <wp:extent cx="5394960" cy="24599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homratem_year.png"/>
                    <pic:cNvPicPr/>
                  </pic:nvPicPr>
                  <pic:blipFill>
                    <a:blip r:embed="rId44">
                      <a:extLst>
                        <a:ext uri="{28A0092B-C50C-407E-A947-70E740481C1C}">
                          <a14:useLocalDpi xmlns:a14="http://schemas.microsoft.com/office/drawing/2010/main" val="0"/>
                        </a:ext>
                      </a:extLst>
                    </a:blip>
                    <a:stretch>
                      <a:fillRect/>
                    </a:stretch>
                  </pic:blipFill>
                  <pic:spPr>
                    <a:xfrm>
                      <a:off x="0" y="0"/>
                      <a:ext cx="5394960" cy="2459990"/>
                    </a:xfrm>
                    <a:prstGeom prst="rect">
                      <a:avLst/>
                    </a:prstGeom>
                  </pic:spPr>
                </pic:pic>
              </a:graphicData>
            </a:graphic>
          </wp:inline>
        </w:drawing>
      </w:r>
    </w:p>
    <w:p w:rsidR="00903B6F" w:rsidRDefault="00903B6F" w:rsidP="00903B6F">
      <w:pPr>
        <w:spacing w:line="480" w:lineRule="auto"/>
        <w:contextualSpacing/>
      </w:pPr>
      <w:r>
        <w:lastRenderedPageBreak/>
        <w:tab/>
        <w:t xml:space="preserve">Regionally, homicide rates are greatest in Latin America, increasing from 10.62 per 100,000 to 14.63. </w:t>
      </w:r>
      <w:r w:rsidRPr="00525FCF">
        <w:rPr>
          <w:noProof/>
        </w:rPr>
        <w:t>Rates decreased the most in EECA while EAP, the West, and MENA all demonstrate smaller reductions.</w:t>
      </w:r>
      <w:r>
        <w:t xml:space="preserve"> The Middle East and North Africa have the lowest homicide rates, with rates in the West only slightly higher.</w:t>
      </w:r>
    </w:p>
    <w:p w:rsidR="00A47A45" w:rsidRPr="00A47A45" w:rsidRDefault="00295E9C" w:rsidP="00A47A45">
      <w:pPr>
        <w:spacing w:line="240" w:lineRule="auto"/>
        <w:contextualSpacing/>
      </w:pPr>
      <w:r>
        <w:t>Figure 32</w:t>
      </w:r>
      <w:r w:rsidR="00C86B22">
        <w:t>.</w:t>
      </w:r>
      <w:r w:rsidR="00A47A45" w:rsidRPr="00A47A45">
        <w:t xml:space="preserve"> Regional Averages for Homicide Rates.</w:t>
      </w:r>
    </w:p>
    <w:p w:rsidR="00A47A45" w:rsidRPr="00A47A45" w:rsidRDefault="00CA4320" w:rsidP="00A47A45">
      <w:pPr>
        <w:spacing w:line="480" w:lineRule="auto"/>
        <w:contextualSpacing/>
      </w:pPr>
      <w:r>
        <w:rPr>
          <w:noProof/>
        </w:rPr>
        <w:drawing>
          <wp:inline distT="0" distB="0" distL="0" distR="0">
            <wp:extent cx="5394960" cy="345567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homratem_year__region.png"/>
                    <pic:cNvPicPr/>
                  </pic:nvPicPr>
                  <pic:blipFill>
                    <a:blip r:embed="rId45">
                      <a:extLst>
                        <a:ext uri="{28A0092B-C50C-407E-A947-70E740481C1C}">
                          <a14:useLocalDpi xmlns:a14="http://schemas.microsoft.com/office/drawing/2010/main" val="0"/>
                        </a:ext>
                      </a:extLst>
                    </a:blip>
                    <a:stretch>
                      <a:fillRect/>
                    </a:stretch>
                  </pic:blipFill>
                  <pic:spPr>
                    <a:xfrm>
                      <a:off x="0" y="0"/>
                      <a:ext cx="5394960" cy="3455670"/>
                    </a:xfrm>
                    <a:prstGeom prst="rect">
                      <a:avLst/>
                    </a:prstGeom>
                  </pic:spPr>
                </pic:pic>
              </a:graphicData>
            </a:graphic>
          </wp:inline>
        </w:drawing>
      </w:r>
    </w:p>
    <w:p w:rsidR="00A47A45" w:rsidRPr="00A47A45" w:rsidRDefault="00A47A45" w:rsidP="00A47A45">
      <w:pPr>
        <w:spacing w:line="480" w:lineRule="auto"/>
        <w:contextualSpacing/>
      </w:pPr>
      <w:r w:rsidRPr="00A47A45">
        <w:rPr>
          <w:i/>
        </w:rPr>
        <w:t>Drug Offense Rates</w:t>
      </w:r>
    </w:p>
    <w:p w:rsidR="00E00414" w:rsidRDefault="00E00414" w:rsidP="00E00414">
      <w:pPr>
        <w:spacing w:line="480" w:lineRule="auto"/>
        <w:contextualSpacing/>
      </w:pPr>
      <w:r>
        <w:t xml:space="preserve">Unlike the overall reduction in homicide rates, drug offense rates increase during this period. During the first half of the period, average worldwide rates are 146.11 per 100,000, and by the end of the period, rates are </w:t>
      </w:r>
      <w:r w:rsidR="00525FCF">
        <w:t>159.32 per 100,000. See Figure 3</w:t>
      </w:r>
      <w:r>
        <w:t xml:space="preserve">3, below. </w:t>
      </w:r>
    </w:p>
    <w:p w:rsidR="00E00414" w:rsidRDefault="00E00414" w:rsidP="00E00414">
      <w:pPr>
        <w:spacing w:line="480" w:lineRule="auto"/>
        <w:contextualSpacing/>
      </w:pPr>
    </w:p>
    <w:p w:rsidR="00E00414" w:rsidRDefault="00E00414" w:rsidP="00E00414">
      <w:pPr>
        <w:spacing w:line="480" w:lineRule="auto"/>
        <w:contextualSpacing/>
      </w:pPr>
    </w:p>
    <w:p w:rsidR="00E00414" w:rsidRDefault="00E00414" w:rsidP="00E00414">
      <w:pPr>
        <w:spacing w:line="480" w:lineRule="auto"/>
        <w:contextualSpacing/>
      </w:pPr>
    </w:p>
    <w:p w:rsidR="00E00414" w:rsidRDefault="00E00414" w:rsidP="00A47A45">
      <w:pPr>
        <w:spacing w:line="240" w:lineRule="auto"/>
        <w:contextualSpacing/>
      </w:pPr>
    </w:p>
    <w:p w:rsidR="00A47A45" w:rsidRPr="00A47A45" w:rsidRDefault="00295E9C" w:rsidP="00A47A45">
      <w:pPr>
        <w:spacing w:line="240" w:lineRule="auto"/>
        <w:contextualSpacing/>
      </w:pPr>
      <w:r>
        <w:lastRenderedPageBreak/>
        <w:t>Figure 3</w:t>
      </w:r>
      <w:r w:rsidR="00C86B22">
        <w:t>3.</w:t>
      </w:r>
      <w:r w:rsidR="00A47A45" w:rsidRPr="00A47A45">
        <w:t xml:space="preserve"> Average Drug Offense Rates.</w:t>
      </w:r>
    </w:p>
    <w:p w:rsidR="00A47A45" w:rsidRPr="00A47A45" w:rsidRDefault="00CA4320" w:rsidP="00A47A45">
      <w:pPr>
        <w:spacing w:line="480" w:lineRule="auto"/>
        <w:contextualSpacing/>
      </w:pPr>
      <w:r>
        <w:rPr>
          <w:noProof/>
        </w:rPr>
        <w:drawing>
          <wp:inline distT="0" distB="0" distL="0" distR="0">
            <wp:extent cx="5394960" cy="21202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rgoffm_year.png"/>
                    <pic:cNvPicPr/>
                  </pic:nvPicPr>
                  <pic:blipFill>
                    <a:blip r:embed="rId46">
                      <a:extLst>
                        <a:ext uri="{28A0092B-C50C-407E-A947-70E740481C1C}">
                          <a14:useLocalDpi xmlns:a14="http://schemas.microsoft.com/office/drawing/2010/main" val="0"/>
                        </a:ext>
                      </a:extLst>
                    </a:blip>
                    <a:stretch>
                      <a:fillRect/>
                    </a:stretch>
                  </pic:blipFill>
                  <pic:spPr>
                    <a:xfrm>
                      <a:off x="0" y="0"/>
                      <a:ext cx="5394960" cy="2120265"/>
                    </a:xfrm>
                    <a:prstGeom prst="rect">
                      <a:avLst/>
                    </a:prstGeom>
                  </pic:spPr>
                </pic:pic>
              </a:graphicData>
            </a:graphic>
          </wp:inline>
        </w:drawing>
      </w:r>
    </w:p>
    <w:p w:rsidR="00E00414" w:rsidRDefault="00E00414" w:rsidP="00E00414">
      <w:pPr>
        <w:spacing w:line="480" w:lineRule="auto"/>
        <w:contextualSpacing/>
      </w:pPr>
      <w:r>
        <w:tab/>
        <w:t xml:space="preserve">Regional differences in drug offense rates </w:t>
      </w:r>
      <w:r w:rsidRPr="00525FCF">
        <w:rPr>
          <w:noProof/>
        </w:rPr>
        <w:t>are shown</w:t>
      </w:r>
      <w:r>
        <w:t xml:space="preserve"> below. The West has the highest drug offense rates, 301.10 per 100,000 the first half of the reporting </w:t>
      </w:r>
      <w:r w:rsidRPr="007D3AF1">
        <w:rPr>
          <w:noProof/>
        </w:rPr>
        <w:t>period</w:t>
      </w:r>
      <w:r>
        <w:t xml:space="preserve"> and growth between </w:t>
      </w:r>
      <w:r w:rsidRPr="00525FCF">
        <w:rPr>
          <w:noProof/>
        </w:rPr>
        <w:t>the periods was</w:t>
      </w:r>
      <w:r>
        <w:t xml:space="preserve"> marginal, only increasing to 316.10 in the second half. On the other hand, drug offense rates in Latin America are lowest among the regions for both reporting periods, 25.20 to 32.10, respectively. The greatest increase occurs in MENA, and the only reduction noted is in East Asia and the Pacific. </w:t>
      </w: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057B53" w:rsidRDefault="00057B53"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6F0D5D" w:rsidRDefault="006F0D5D" w:rsidP="00A47A45">
      <w:pPr>
        <w:spacing w:line="240" w:lineRule="auto"/>
        <w:contextualSpacing/>
      </w:pPr>
    </w:p>
    <w:p w:rsidR="00A47A45" w:rsidRPr="00A47A45" w:rsidRDefault="00295E9C" w:rsidP="00A47A45">
      <w:pPr>
        <w:spacing w:line="240" w:lineRule="auto"/>
        <w:contextualSpacing/>
      </w:pPr>
      <w:r>
        <w:lastRenderedPageBreak/>
        <w:t>Figure 3</w:t>
      </w:r>
      <w:r w:rsidR="00C86B22">
        <w:t>4.</w:t>
      </w:r>
      <w:r w:rsidR="00A47A45" w:rsidRPr="00A47A45">
        <w:t xml:space="preserve"> Drug Offense Rates by Region.</w:t>
      </w:r>
    </w:p>
    <w:p w:rsidR="00A47A45" w:rsidRPr="00A47A45" w:rsidRDefault="00CA4320" w:rsidP="00A47A45">
      <w:pPr>
        <w:spacing w:line="240" w:lineRule="auto"/>
        <w:contextualSpacing/>
      </w:pPr>
      <w:r>
        <w:rPr>
          <w:noProof/>
        </w:rPr>
        <w:drawing>
          <wp:inline distT="0" distB="0" distL="0" distR="0">
            <wp:extent cx="5394960" cy="345567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rgoffm_year_region.png"/>
                    <pic:cNvPicPr/>
                  </pic:nvPicPr>
                  <pic:blipFill>
                    <a:blip r:embed="rId47">
                      <a:extLst>
                        <a:ext uri="{28A0092B-C50C-407E-A947-70E740481C1C}">
                          <a14:useLocalDpi xmlns:a14="http://schemas.microsoft.com/office/drawing/2010/main" val="0"/>
                        </a:ext>
                      </a:extLst>
                    </a:blip>
                    <a:stretch>
                      <a:fillRect/>
                    </a:stretch>
                  </pic:blipFill>
                  <pic:spPr>
                    <a:xfrm>
                      <a:off x="0" y="0"/>
                      <a:ext cx="5394960" cy="3455670"/>
                    </a:xfrm>
                    <a:prstGeom prst="rect">
                      <a:avLst/>
                    </a:prstGeom>
                  </pic:spPr>
                </pic:pic>
              </a:graphicData>
            </a:graphic>
          </wp:inline>
        </w:drawing>
      </w:r>
    </w:p>
    <w:p w:rsidR="00057B53" w:rsidRDefault="00057B53" w:rsidP="00893ACF">
      <w:pPr>
        <w:spacing w:line="480" w:lineRule="auto"/>
        <w:contextualSpacing/>
      </w:pPr>
    </w:p>
    <w:p w:rsidR="00E00414" w:rsidRDefault="00A618EE" w:rsidP="00893ACF">
      <w:pPr>
        <w:spacing w:line="480" w:lineRule="auto"/>
        <w:contextualSpacing/>
      </w:pPr>
      <w:r>
        <w:tab/>
        <w:t xml:space="preserve">As the preceding graphs depict, </w:t>
      </w:r>
      <w:r w:rsidR="00E00414">
        <w:t xml:space="preserve">the West has the lowest incarceration rates and income </w:t>
      </w:r>
      <w:r w:rsidR="00E00414" w:rsidRPr="00893ACF">
        <w:rPr>
          <w:noProof/>
        </w:rPr>
        <w:t>inequality</w:t>
      </w:r>
      <w:r w:rsidR="00E00414">
        <w:t xml:space="preserve"> and has relatively low homicide rates. On the other hand, the West has the greatest wealth, democracy, governmental respect for physical integrity rights, and drug offense rates; and has</w:t>
      </w:r>
      <w:r w:rsidR="00893ACF">
        <w:t xml:space="preserve"> a</w:t>
      </w:r>
      <w:r w:rsidR="00E00414">
        <w:t xml:space="preserve"> </w:t>
      </w:r>
      <w:r w:rsidR="00E00414" w:rsidRPr="00893ACF">
        <w:rPr>
          <w:noProof/>
        </w:rPr>
        <w:t>relatively</w:t>
      </w:r>
      <w:r w:rsidR="00E00414">
        <w:t xml:space="preserve"> high percentage of the population between ages 15 and 64, urbanization, </w:t>
      </w:r>
      <w:r w:rsidR="00E00414" w:rsidRPr="00525FCF">
        <w:rPr>
          <w:noProof/>
        </w:rPr>
        <w:t>governmental</w:t>
      </w:r>
      <w:r w:rsidR="00E00414">
        <w:t xml:space="preserve"> respect for physical integrity rights, percent of the population completing secondary education. For the most part, these trends are as expected. I note with interest the West has low homicide rates and high drug offense rates. </w:t>
      </w:r>
      <w:r w:rsidR="00E00414" w:rsidRPr="00893ACF">
        <w:rPr>
          <w:noProof/>
        </w:rPr>
        <w:t xml:space="preserve">Perhaps as serious </w:t>
      </w:r>
      <w:r w:rsidR="00E00414" w:rsidRPr="00525FCF">
        <w:rPr>
          <w:noProof/>
        </w:rPr>
        <w:t>offense</w:t>
      </w:r>
      <w:r w:rsidR="00E00414" w:rsidRPr="00893ACF">
        <w:rPr>
          <w:noProof/>
        </w:rPr>
        <w:t xml:space="preserve"> </w:t>
      </w:r>
      <w:r w:rsidR="00E00414" w:rsidRPr="00525FCF">
        <w:rPr>
          <w:noProof/>
        </w:rPr>
        <w:t>rates</w:t>
      </w:r>
      <w:r w:rsidR="00893ACF" w:rsidRPr="00893ACF">
        <w:rPr>
          <w:noProof/>
        </w:rPr>
        <w:t xml:space="preserve">, like </w:t>
      </w:r>
      <w:r w:rsidR="00893ACF" w:rsidRPr="00525FCF">
        <w:rPr>
          <w:noProof/>
        </w:rPr>
        <w:t>homicide</w:t>
      </w:r>
      <w:r w:rsidR="00893ACF" w:rsidRPr="00893ACF">
        <w:rPr>
          <w:noProof/>
        </w:rPr>
        <w:t>,</w:t>
      </w:r>
      <w:r w:rsidR="00E00414" w:rsidRPr="00893ACF">
        <w:rPr>
          <w:noProof/>
        </w:rPr>
        <w:t xml:space="preserve"> are lower, resources are used to pursue less serious </w:t>
      </w:r>
      <w:r w:rsidR="00E00414" w:rsidRPr="00525FCF">
        <w:rPr>
          <w:noProof/>
        </w:rPr>
        <w:t>offenses</w:t>
      </w:r>
      <w:r w:rsidR="00893ACF" w:rsidRPr="00893ACF">
        <w:rPr>
          <w:noProof/>
        </w:rPr>
        <w:t>, like drug offenses</w:t>
      </w:r>
      <w:r w:rsidR="00E00414" w:rsidRPr="00893ACF">
        <w:rPr>
          <w:noProof/>
        </w:rPr>
        <w:t>.</w:t>
      </w:r>
      <w:r w:rsidR="00E00414">
        <w:t xml:space="preserve"> </w:t>
      </w:r>
      <w:r w:rsidR="00893ACF">
        <w:t>High</w:t>
      </w:r>
      <w:r w:rsidR="000B0FD5">
        <w:t xml:space="preserve">er drug offense rates may also </w:t>
      </w:r>
      <w:r w:rsidR="000B0FD5" w:rsidRPr="00525FCF">
        <w:rPr>
          <w:noProof/>
        </w:rPr>
        <w:t>b</w:t>
      </w:r>
      <w:r w:rsidR="00893ACF" w:rsidRPr="00525FCF">
        <w:rPr>
          <w:noProof/>
        </w:rPr>
        <w:t>e associated</w:t>
      </w:r>
      <w:r w:rsidR="00893ACF">
        <w:t xml:space="preserve"> with greater wealth, with which to purchase illegal substances. </w:t>
      </w:r>
    </w:p>
    <w:p w:rsidR="000B0FD5" w:rsidRDefault="000B0FD5" w:rsidP="00E00414">
      <w:pPr>
        <w:spacing w:line="480" w:lineRule="auto"/>
        <w:contextualSpacing/>
      </w:pPr>
      <w:r>
        <w:tab/>
        <w:t xml:space="preserve">Incarceration rates in East Asia and the Pacific are as low as those in the West at the end of the observation period. </w:t>
      </w:r>
      <w:r w:rsidRPr="00525FCF">
        <w:rPr>
          <w:noProof/>
        </w:rPr>
        <w:t>Yet, as</w:t>
      </w:r>
      <w:r>
        <w:t xml:space="preserve"> a region, EAP has high inequality, the second </w:t>
      </w:r>
      <w:r w:rsidRPr="00525FCF">
        <w:rPr>
          <w:noProof/>
        </w:rPr>
        <w:lastRenderedPageBreak/>
        <w:t>highest</w:t>
      </w:r>
      <w:r>
        <w:t xml:space="preserve"> GDPPC, and one of the lowest democracy scores of any of the regions. They also report some of the lower homicide rates and drug offense rates. </w:t>
      </w:r>
    </w:p>
    <w:p w:rsidR="00057B53" w:rsidRDefault="000B0FD5" w:rsidP="000B0FD5">
      <w:pPr>
        <w:spacing w:line="480" w:lineRule="auto"/>
        <w:ind w:firstLine="720"/>
        <w:contextualSpacing/>
      </w:pPr>
      <w:r>
        <w:t xml:space="preserve">Eastern Europe and Central Asia has some of the higher incarceration rates, lower inequality, </w:t>
      </w:r>
      <w:r w:rsidRPr="00525FCF">
        <w:rPr>
          <w:noProof/>
        </w:rPr>
        <w:t>lower</w:t>
      </w:r>
      <w:r>
        <w:t xml:space="preserve"> wealth, and is mid-range for levels of democracy for the regions. Inequality is greatest in Latin America, although incarceration rates are in the middle of the </w:t>
      </w:r>
      <w:r w:rsidRPr="00525FCF">
        <w:rPr>
          <w:noProof/>
        </w:rPr>
        <w:t>regions</w:t>
      </w:r>
      <w:r>
        <w:t xml:space="preserve">. Latin America has the least </w:t>
      </w:r>
      <w:r w:rsidRPr="007D3AF1">
        <w:rPr>
          <w:noProof/>
        </w:rPr>
        <w:t>wealth</w:t>
      </w:r>
      <w:r>
        <w:t xml:space="preserve"> but is the region with the next to highest level of democracy. Homicide rates are </w:t>
      </w:r>
      <w:r w:rsidRPr="007D3AF1">
        <w:rPr>
          <w:noProof/>
        </w:rPr>
        <w:t>highest</w:t>
      </w:r>
      <w:r w:rsidR="007D3AF1">
        <w:rPr>
          <w:noProof/>
        </w:rPr>
        <w:t>,</w:t>
      </w:r>
      <w:r>
        <w:t xml:space="preserve"> and drug offense rates are lowest in LA. The Middle East and North Africa has the highest incarceration rates, moving atop EECA during the last reporting period. Compared to other regions, inequality in MENA is in the middle. Regarding wealth, MENA is also in between other </w:t>
      </w:r>
      <w:r w:rsidRPr="00525FCF">
        <w:rPr>
          <w:noProof/>
        </w:rPr>
        <w:t>regions</w:t>
      </w:r>
      <w:r>
        <w:t xml:space="preserve">, but is nearer the poorest </w:t>
      </w:r>
      <w:r w:rsidRPr="00525FCF">
        <w:rPr>
          <w:noProof/>
        </w:rPr>
        <w:t>regions</w:t>
      </w:r>
      <w:r>
        <w:t xml:space="preserve"> than the wealthier. </w:t>
      </w:r>
    </w:p>
    <w:p w:rsidR="00057B53" w:rsidRDefault="00057B53" w:rsidP="000B0FD5">
      <w:pPr>
        <w:spacing w:line="480" w:lineRule="auto"/>
        <w:ind w:firstLine="720"/>
        <w:contextualSpacing/>
      </w:pPr>
      <w:r>
        <w:t xml:space="preserve">Latin America is in the middle range of regions for incarceration rates, but has the highest level of inequality and the lowest level of wealth. The region, on average, is second in level of democracy and highest in level of urbanization. Homicide rates are greatest in LA and increased during the study period, while drug offense rates were lowest. As a region, Latin America has been the beneficiary, and victim, or foreign domestic investment from transnational corporations. The presence of FDI tends to increase levels of inequality (Rubinson 1976; Mahutga et al. 2011). </w:t>
      </w:r>
    </w:p>
    <w:p w:rsidR="00057B53" w:rsidRDefault="00057B53" w:rsidP="000B0FD5">
      <w:pPr>
        <w:spacing w:line="480" w:lineRule="auto"/>
        <w:ind w:firstLine="720"/>
        <w:contextualSpacing/>
      </w:pPr>
      <w:r>
        <w:t xml:space="preserve">The Middle East and North Africa has the highest level of incarceration rates at the end of the period, the lowest level for homicide rates, and has the largest increase in drug offense rates over the period. On average, inequality in MENA is in the middle of the regions. </w:t>
      </w:r>
    </w:p>
    <w:p w:rsidR="00A47A45" w:rsidRDefault="00A47A45" w:rsidP="000B0FD5">
      <w:pPr>
        <w:spacing w:line="480" w:lineRule="auto"/>
        <w:ind w:firstLine="720"/>
        <w:contextualSpacing/>
      </w:pPr>
      <w:r>
        <w:br w:type="page"/>
      </w:r>
    </w:p>
    <w:p w:rsidR="0011582A" w:rsidRDefault="0011582A" w:rsidP="0011582A">
      <w:pPr>
        <w:spacing w:line="480" w:lineRule="auto"/>
        <w:contextualSpacing/>
        <w:rPr>
          <w:noProof/>
        </w:rPr>
      </w:pPr>
      <w:r>
        <w:rPr>
          <w:noProof/>
        </w:rPr>
        <w:lastRenderedPageBreak/>
        <w:t xml:space="preserve">CHAPTER 4. WORLD-SYSTEMS POSITION </w:t>
      </w:r>
    </w:p>
    <w:p w:rsidR="0011582A" w:rsidRDefault="0011582A" w:rsidP="0011582A">
      <w:pPr>
        <w:spacing w:line="480" w:lineRule="auto"/>
        <w:contextualSpacing/>
      </w:pPr>
      <w:r>
        <w:t xml:space="preserve">Wallerstein (1976) posits a single capitalistic economic and social system operating in the world. Within that system, there is an international division of labor. The world-systems model </w:t>
      </w:r>
      <w:r w:rsidRPr="00525FCF">
        <w:rPr>
          <w:noProof/>
        </w:rPr>
        <w:t>is based</w:t>
      </w:r>
      <w:r>
        <w:t xml:space="preserve"> on a three-tiered structure of economic interactions between countries of the world. Core countries sit atop the system with capital-intensive </w:t>
      </w:r>
      <w:r w:rsidRPr="00852BF9">
        <w:rPr>
          <w:noProof/>
        </w:rPr>
        <w:t>production,</w:t>
      </w:r>
      <w:r>
        <w:t xml:space="preserve"> while peripheral countries have labor-intensive agricultural production. Semi-periphery countries exhibit a combination of both capital-intensive and labor-intensive production and act as an economic and political buffer between the core and periphery </w:t>
      </w:r>
      <w:r w:rsidRPr="00B82EE4">
        <w:t>(Wallerstein 1974; Wallerstein 1976; Chase-Dunn 1998</w:t>
      </w:r>
      <w:r>
        <w:t xml:space="preserve">). Exploitation of the semi-periphery and periphery by core countries is a central tenet of world-systems theory. Core countries have greater wealth, and </w:t>
      </w:r>
      <w:r w:rsidRPr="00525FCF">
        <w:rPr>
          <w:noProof/>
        </w:rPr>
        <w:t>greater</w:t>
      </w:r>
      <w:r>
        <w:t xml:space="preserve"> political and military power, which leads to increased options in trading with other </w:t>
      </w:r>
      <w:r w:rsidRPr="00525FCF">
        <w:rPr>
          <w:noProof/>
        </w:rPr>
        <w:t>countries</w:t>
      </w:r>
      <w:r>
        <w:t xml:space="preserve">. On the other hand, peripheral countries tend to have limited trading options, both in products to trade and countries with whom they trade. </w:t>
      </w:r>
    </w:p>
    <w:p w:rsidR="0011582A" w:rsidRPr="00572D83" w:rsidRDefault="0011582A" w:rsidP="0011582A">
      <w:pPr>
        <w:spacing w:line="480" w:lineRule="auto"/>
        <w:ind w:firstLine="720"/>
        <w:contextualSpacing/>
      </w:pPr>
      <w:r w:rsidRPr="00572D83">
        <w:t xml:space="preserve">Empirical work establishing the standard for a three-tiered world-systems position was conducted by Snyder and Kick (1979). For their classification scheme, Snyder and Kick (1979) use “four types of international networks: trade flows, military interventions, diplomatic exchanges, and conjoint treaty memberships” (p. 1105). The four ten-block models indicate the presence or absence of relationships between countries in each of the listed categories. Analyses of the network provide a roughly three-tiered model, although Snyder and Kick (1979:1116) acknowledge the presence of some countries included in their semiperiphery, </w:t>
      </w:r>
      <w:r>
        <w:t xml:space="preserve">considered </w:t>
      </w:r>
      <w:r w:rsidRPr="00572D83">
        <w:t>strong or weak semiperiphery states</w:t>
      </w:r>
      <w:r>
        <w:t xml:space="preserve">. Similarly, </w:t>
      </w:r>
      <w:r w:rsidRPr="00572D83">
        <w:t xml:space="preserve">Arrighi and Drangel (1986:65) </w:t>
      </w:r>
      <w:r>
        <w:t xml:space="preserve">characterize some </w:t>
      </w:r>
      <w:r>
        <w:lastRenderedPageBreak/>
        <w:t xml:space="preserve">countries as </w:t>
      </w:r>
      <w:r w:rsidRPr="00572D83">
        <w:t xml:space="preserve">perimeter core and </w:t>
      </w:r>
      <w:r w:rsidRPr="00525FCF">
        <w:rPr>
          <w:noProof/>
        </w:rPr>
        <w:t>perimeter</w:t>
      </w:r>
      <w:r w:rsidRPr="00572D83">
        <w:t xml:space="preserve"> peripher</w:t>
      </w:r>
      <w:r w:rsidR="00563480">
        <w:t>y states. Burns et al.</w:t>
      </w:r>
      <w:r w:rsidRPr="00572D83">
        <w:t xml:space="preserve"> (1997) note distinctions within the semiperiphery as well, the stronger </w:t>
      </w:r>
      <w:r w:rsidRPr="00525FCF">
        <w:rPr>
          <w:noProof/>
        </w:rPr>
        <w:t>states</w:t>
      </w:r>
      <w:r w:rsidRPr="00572D83">
        <w:t xml:space="preserve"> of which they refer to as the “semicore” (p. 439). </w:t>
      </w:r>
    </w:p>
    <w:p w:rsidR="0011582A" w:rsidRDefault="0011582A" w:rsidP="0011582A">
      <w:pPr>
        <w:spacing w:line="480" w:lineRule="auto"/>
        <w:ind w:firstLine="720"/>
        <w:contextualSpacing/>
      </w:pPr>
      <w:r>
        <w:t xml:space="preserve">The impact of capitalism, via unequal exchange, occurs in interactions between countries. It also </w:t>
      </w:r>
      <w:r w:rsidRPr="00525FCF">
        <w:rPr>
          <w:noProof/>
        </w:rPr>
        <w:t>occurs</w:t>
      </w:r>
      <w:r>
        <w:t xml:space="preserve"> within countries. Changes occur within countries as capitalism expands. As noted by Howard, Newman, and Pridemore (2000), “[a]s capitalism </w:t>
      </w:r>
      <w:r w:rsidRPr="00525FCF">
        <w:rPr>
          <w:noProof/>
        </w:rPr>
        <w:t>expands</w:t>
      </w:r>
      <w:r>
        <w:t xml:space="preserve"> . . . </w:t>
      </w:r>
      <w:r w:rsidRPr="00525FCF">
        <w:rPr>
          <w:noProof/>
        </w:rPr>
        <w:t>it</w:t>
      </w:r>
      <w:r>
        <w:t xml:space="preserve"> disrupts indigenous cultures </w:t>
      </w:r>
      <w:r w:rsidRPr="007D3AF1">
        <w:rPr>
          <w:noProof/>
        </w:rPr>
        <w:t>and traditional means of subsistence, producing exploitation from</w:t>
      </w:r>
      <w:r>
        <w:t xml:space="preserve"> the outside and new inequalities within” (p. 152). </w:t>
      </w:r>
      <w:r>
        <w:rPr>
          <w:noProof/>
        </w:rPr>
        <w:t>Also</w:t>
      </w:r>
      <w:r>
        <w:t xml:space="preserve">, economic growth is accompanied by increased industrialization and urbanization, leading to greater competition for resources and greater inequality (Howard et al. 2000:153). Given the differences in position in the international division of labor, it may well be there are differences in social dynamics demonstrated at the various levels (Terlouw 1993; Burns et al. 1994). </w:t>
      </w:r>
    </w:p>
    <w:p w:rsidR="0011582A" w:rsidRDefault="0011582A" w:rsidP="0011582A">
      <w:pPr>
        <w:spacing w:line="480" w:lineRule="auto"/>
        <w:ind w:firstLine="720"/>
        <w:contextualSpacing/>
      </w:pPr>
      <w:r>
        <w:t xml:space="preserve">Subsequently, dependency theorists postulate income inequality is exacerbated in Third World countries, </w:t>
      </w:r>
      <w:r w:rsidRPr="003D0B6E">
        <w:rPr>
          <w:noProof/>
        </w:rPr>
        <w:t>generally</w:t>
      </w:r>
      <w:r>
        <w:t xml:space="preserve"> those countries in the periphery, by foreign capital penetration from transnational corporations, as noted by Crenshaw (1992). In his study, Crenshaw uses </w:t>
      </w:r>
      <w:r w:rsidRPr="00DE31C9">
        <w:rPr>
          <w:noProof/>
        </w:rPr>
        <w:t>dependency</w:t>
      </w:r>
      <w:r>
        <w:t xml:space="preserve"> or world-systems position as one of his explanatory variables for inequality. However, he finds little support for </w:t>
      </w:r>
      <w:r w:rsidRPr="00525FCF">
        <w:rPr>
          <w:noProof/>
        </w:rPr>
        <w:t>position</w:t>
      </w:r>
      <w:r>
        <w:t xml:space="preserve"> in the world economy </w:t>
      </w:r>
      <w:r w:rsidRPr="00525FCF">
        <w:rPr>
          <w:noProof/>
        </w:rPr>
        <w:t>relative to</w:t>
      </w:r>
      <w:r>
        <w:t xml:space="preserve"> income inequality (p. 357). </w:t>
      </w:r>
      <w:r w:rsidRPr="00295E9C">
        <w:rPr>
          <w:noProof/>
        </w:rPr>
        <w:t>He</w:t>
      </w:r>
      <w:r>
        <w:t xml:space="preserve"> finds support for a curvilinear relationship between development and education and inequality, and a curvilinear relationship between democratic rights and inequality. Finally, he </w:t>
      </w:r>
      <w:r w:rsidRPr="00F652E7">
        <w:rPr>
          <w:noProof/>
        </w:rPr>
        <w:t>rep</w:t>
      </w:r>
      <w:r>
        <w:rPr>
          <w:noProof/>
        </w:rPr>
        <w:t>orts</w:t>
      </w:r>
      <w:r>
        <w:t xml:space="preserve"> agricultural density is negatively related to </w:t>
      </w:r>
      <w:r w:rsidRPr="00525FCF">
        <w:rPr>
          <w:noProof/>
        </w:rPr>
        <w:t>inequality</w:t>
      </w:r>
      <w:r>
        <w:t xml:space="preserve">. Crenshaw (1992) uses the </w:t>
      </w:r>
      <w:r w:rsidRPr="00295E9C">
        <w:rPr>
          <w:noProof/>
        </w:rPr>
        <w:t>orthodox</w:t>
      </w:r>
      <w:r>
        <w:t xml:space="preserve"> measure </w:t>
      </w:r>
      <w:r>
        <w:lastRenderedPageBreak/>
        <w:t>of WSP as produced by Snyder and Kick (1979) for a maximum of 59 countries with data from the 1960s and 1970s.</w:t>
      </w:r>
    </w:p>
    <w:p w:rsidR="00372E97" w:rsidRDefault="0011582A" w:rsidP="0011582A">
      <w:pPr>
        <w:spacing w:line="480" w:lineRule="auto"/>
        <w:ind w:firstLine="720"/>
        <w:contextualSpacing/>
      </w:pPr>
      <w:r w:rsidRPr="00A23987">
        <w:rPr>
          <w:noProof/>
        </w:rPr>
        <w:t xml:space="preserve">Clark and Beckfield (2009) confirm and update the three-tiered configuration of world-system position for 144 countries using the international trade </w:t>
      </w:r>
      <w:r w:rsidRPr="007D3AF1">
        <w:rPr>
          <w:noProof/>
        </w:rPr>
        <w:t>network,</w:t>
      </w:r>
      <w:r w:rsidRPr="00A23987">
        <w:rPr>
          <w:noProof/>
        </w:rPr>
        <w:t xml:space="preserve"> while addressing the “age, [and] </w:t>
      </w:r>
      <w:r w:rsidRPr="00525FCF">
        <w:rPr>
          <w:noProof/>
        </w:rPr>
        <w:t>informal</w:t>
      </w:r>
      <w:r w:rsidRPr="00A23987">
        <w:rPr>
          <w:noProof/>
        </w:rPr>
        <w:t xml:space="preserve"> construction” (p. 9) of Snyder and Kick’s (1979) model.</w:t>
      </w:r>
      <w:r>
        <w:t xml:space="preserve"> Their analysis finds the greatest concentration of trade networks among core nations, with significantly lower </w:t>
      </w:r>
      <w:r w:rsidRPr="00525FCF">
        <w:rPr>
          <w:noProof/>
        </w:rPr>
        <w:t>concentrations</w:t>
      </w:r>
      <w:r>
        <w:t xml:space="preserve"> </w:t>
      </w:r>
      <w:r w:rsidRPr="0022145F">
        <w:rPr>
          <w:noProof/>
        </w:rPr>
        <w:t>for</w:t>
      </w:r>
      <w:r>
        <w:t xml:space="preserve"> both semi-periphery and periphery countries (p. 14). Clark (2012) extends the above and provides WSP for 161 countries including an expanded core of 47 countries, 38 semiperiphery countries, and 76 periphery countries for the decade from 1990-2000.</w:t>
      </w:r>
      <w:r w:rsidR="00372E97">
        <w:t xml:space="preserve"> Although Clark’s (2012) update does not extend into the 2000s, </w:t>
      </w:r>
      <w:r w:rsidRPr="00A23987">
        <w:rPr>
          <w:noProof/>
        </w:rPr>
        <w:t>I</w:t>
      </w:r>
      <w:r>
        <w:t xml:space="preserve"> use Clark’s (2012) updated classification for my </w:t>
      </w:r>
      <w:r w:rsidRPr="00A23987">
        <w:rPr>
          <w:noProof/>
        </w:rPr>
        <w:t>analyses</w:t>
      </w:r>
      <w:r>
        <w:t xml:space="preserve">. </w:t>
      </w:r>
    </w:p>
    <w:p w:rsidR="00372E97" w:rsidRDefault="00372E97" w:rsidP="0011582A">
      <w:pPr>
        <w:spacing w:line="480" w:lineRule="auto"/>
        <w:ind w:firstLine="720"/>
        <w:contextualSpacing/>
      </w:pPr>
      <w:r>
        <w:t xml:space="preserve">To investigate the relationship between WSP and explanatory variables, I conduct random effects modeling. Random effects regression are preferred over fixed-effects regression when the explanatory variable is time-invariant. I use the core as my referent category in all analyses. </w:t>
      </w:r>
    </w:p>
    <w:p w:rsidR="00372E97" w:rsidRDefault="00563480" w:rsidP="0011582A">
      <w:pPr>
        <w:spacing w:line="480" w:lineRule="auto"/>
        <w:ind w:firstLine="720"/>
        <w:contextualSpacing/>
      </w:pPr>
      <w:r>
        <w:t>R</w:t>
      </w:r>
      <w:r w:rsidR="00295E9C">
        <w:t>esults of the regression analysi</w:t>
      </w:r>
      <w:r>
        <w:t xml:space="preserve">s </w:t>
      </w:r>
      <w:r w:rsidRPr="00525FCF">
        <w:rPr>
          <w:noProof/>
        </w:rPr>
        <w:t>indicate</w:t>
      </w:r>
      <w:r w:rsidR="00295E9C" w:rsidRPr="00525FCF">
        <w:rPr>
          <w:noProof/>
        </w:rPr>
        <w:t>s</w:t>
      </w:r>
      <w:r>
        <w:t xml:space="preserve"> </w:t>
      </w:r>
      <w:r w:rsidR="00BC59A1">
        <w:t xml:space="preserve">no relationship between </w:t>
      </w:r>
      <w:r w:rsidR="00BC59A1" w:rsidRPr="00525FCF">
        <w:rPr>
          <w:noProof/>
        </w:rPr>
        <w:t>position</w:t>
      </w:r>
      <w:r w:rsidR="00BC59A1">
        <w:t xml:space="preserve"> in the world-system and incarceration rates. </w:t>
      </w:r>
      <w:r w:rsidR="00BC59A1" w:rsidRPr="00BC59A1">
        <w:rPr>
          <w:noProof/>
        </w:rPr>
        <w:t>C</w:t>
      </w:r>
      <w:r w:rsidR="00372E97" w:rsidRPr="00BC59A1">
        <w:rPr>
          <w:noProof/>
        </w:rPr>
        <w:t>ore</w:t>
      </w:r>
      <w:r w:rsidR="00372E97">
        <w:t xml:space="preserve"> countries have </w:t>
      </w:r>
      <w:r w:rsidR="001B0FF1">
        <w:t xml:space="preserve">greater wealth, democracy, urbanization, </w:t>
      </w:r>
      <w:r w:rsidR="001B0FF1" w:rsidRPr="00525FCF">
        <w:rPr>
          <w:noProof/>
        </w:rPr>
        <w:t>percentage</w:t>
      </w:r>
      <w:r w:rsidR="001B0FF1">
        <w:t xml:space="preserve"> of the population ages 15-64, and drug offen</w:t>
      </w:r>
      <w:r w:rsidR="00BC59A1">
        <w:t xml:space="preserve">se rates; and lower </w:t>
      </w:r>
      <w:r w:rsidR="00372E97">
        <w:t>homicide rates</w:t>
      </w:r>
      <w:r w:rsidR="00BC59A1">
        <w:t xml:space="preserve">. </w:t>
      </w:r>
      <w:r w:rsidR="00372E97">
        <w:t xml:space="preserve">Semiperiphery and periphery countries have lower levels of </w:t>
      </w:r>
      <w:r w:rsidR="00372E97" w:rsidRPr="00525FCF">
        <w:rPr>
          <w:noProof/>
        </w:rPr>
        <w:t>democracy</w:t>
      </w:r>
      <w:r w:rsidR="00372E97">
        <w:t xml:space="preserve">, </w:t>
      </w:r>
      <w:r w:rsidR="00372E97" w:rsidRPr="00295E9C">
        <w:rPr>
          <w:noProof/>
        </w:rPr>
        <w:t>lower</w:t>
      </w:r>
      <w:r w:rsidR="00372E97">
        <w:t xml:space="preserve"> </w:t>
      </w:r>
      <w:r w:rsidR="00372E97" w:rsidRPr="00295E9C">
        <w:rPr>
          <w:noProof/>
        </w:rPr>
        <w:t>percentage</w:t>
      </w:r>
      <w:r w:rsidR="00372E97">
        <w:t xml:space="preserve"> of the population age 15-64, les</w:t>
      </w:r>
      <w:r w:rsidR="00BC59A1">
        <w:t xml:space="preserve">s urbanization, </w:t>
      </w:r>
      <w:r w:rsidR="00372E97">
        <w:t xml:space="preserve">and lower drug offense rates. </w:t>
      </w:r>
      <w:r>
        <w:t xml:space="preserve">See Table </w:t>
      </w:r>
      <w:r w:rsidR="00CE1779">
        <w:t>12</w:t>
      </w:r>
      <w:r>
        <w:t xml:space="preserve">. </w:t>
      </w:r>
    </w:p>
    <w:p w:rsidR="00FC3174" w:rsidRDefault="00FC3174" w:rsidP="00A822F3">
      <w:pPr>
        <w:spacing w:line="480" w:lineRule="auto"/>
        <w:ind w:firstLine="720"/>
        <w:contextualSpacing/>
      </w:pPr>
      <w:r>
        <w:lastRenderedPageBreak/>
        <w:t>When I examine the relationship betwe</w:t>
      </w:r>
      <w:r w:rsidR="00295E9C">
        <w:t>en WSP and inequality in Model 2</w:t>
      </w:r>
      <w:r>
        <w:t>, I note inequality i</w:t>
      </w:r>
      <w:r w:rsidR="00BC59A1">
        <w:t xml:space="preserve">s greater in </w:t>
      </w:r>
      <w:r w:rsidR="00BC59A1" w:rsidRPr="00BC59A1">
        <w:rPr>
          <w:noProof/>
        </w:rPr>
        <w:t xml:space="preserve">the </w:t>
      </w:r>
      <w:r w:rsidRPr="00BC59A1">
        <w:rPr>
          <w:noProof/>
        </w:rPr>
        <w:t>periphery</w:t>
      </w:r>
      <w:r>
        <w:t xml:space="preserve"> (</w:t>
      </w:r>
      <w:r>
        <w:rPr>
          <w:i/>
        </w:rPr>
        <w:t>z</w:t>
      </w:r>
      <w:r w:rsidR="00BC59A1">
        <w:t xml:space="preserve"> = 2.48</w:t>
      </w:r>
      <w:r>
        <w:t xml:space="preserve">, </w:t>
      </w:r>
      <w:r>
        <w:rPr>
          <w:i/>
        </w:rPr>
        <w:t>p</w:t>
      </w:r>
      <w:r w:rsidR="00BC59A1">
        <w:t xml:space="preserve"> &lt; .05</w:t>
      </w:r>
      <w:r>
        <w:t xml:space="preserve">). </w:t>
      </w:r>
      <w:r w:rsidR="00563480">
        <w:t xml:space="preserve">This analysis is </w:t>
      </w:r>
      <w:r w:rsidR="00563480" w:rsidRPr="00525FCF">
        <w:rPr>
          <w:noProof/>
        </w:rPr>
        <w:t>fairly straightforward</w:t>
      </w:r>
      <w:r w:rsidR="00563480">
        <w:t xml:space="preserve"> and does not explore the indirect effects </w:t>
      </w:r>
      <w:r w:rsidR="00563480" w:rsidRPr="00525FCF">
        <w:rPr>
          <w:noProof/>
        </w:rPr>
        <w:t>posited</w:t>
      </w:r>
      <w:r w:rsidR="00563480">
        <w:t xml:space="preserve"> by Mahutga et al. (2011).</w:t>
      </w:r>
      <w:r w:rsidR="00BC59A1">
        <w:t xml:space="preserve"> </w:t>
      </w:r>
      <w:r w:rsidR="00057B53">
        <w:t xml:space="preserve">This result also reflects the impact of foreign domestic investment and alliances formed between ruling classes in core and non-core countries (Rubinson 1976; Mahutga et al. 2011).  </w:t>
      </w:r>
      <w:r w:rsidR="00BC59A1">
        <w:t>The semiperiphery produces a positive coefficient that fails to achieve significance (</w:t>
      </w:r>
      <w:r w:rsidR="00BC59A1">
        <w:rPr>
          <w:i/>
        </w:rPr>
        <w:t>z</w:t>
      </w:r>
      <w:r w:rsidR="00BC59A1">
        <w:t xml:space="preserve"> = 1.53). In this analysis, position in the world-</w:t>
      </w:r>
      <w:r w:rsidR="00404DE3">
        <w:t>system explains approximately 8 percent</w:t>
      </w:r>
      <w:r w:rsidR="00BC59A1">
        <w:t xml:space="preserve"> of the difference in inequality between countries. </w:t>
      </w:r>
      <w:r w:rsidR="007D3AF1">
        <w:rPr>
          <w:noProof/>
        </w:rPr>
        <w:t xml:space="preserve">In </w:t>
      </w:r>
      <w:r w:rsidR="00295E9C">
        <w:rPr>
          <w:noProof/>
        </w:rPr>
        <w:t xml:space="preserve">Figure 35 </w:t>
      </w:r>
      <w:r w:rsidR="007D3AF1">
        <w:rPr>
          <w:noProof/>
        </w:rPr>
        <w:t xml:space="preserve">below, I show income inequality trends by world-systems position by their averages pre- and post-2002, noting the relative stability of </w:t>
      </w:r>
      <w:r w:rsidR="007D3AF1" w:rsidRPr="00525FCF">
        <w:rPr>
          <w:noProof/>
        </w:rPr>
        <w:t>inequality</w:t>
      </w:r>
      <w:r w:rsidR="007D3AF1">
        <w:rPr>
          <w:noProof/>
        </w:rPr>
        <w:t xml:space="preserve"> in the core, along with a slight decrease in income inequality in the periphery, with a similarly </w:t>
      </w:r>
      <w:r w:rsidR="007D3AF1" w:rsidRPr="00525FCF">
        <w:rPr>
          <w:noProof/>
        </w:rPr>
        <w:t>slight</w:t>
      </w:r>
      <w:r w:rsidR="007D3AF1">
        <w:rPr>
          <w:noProof/>
        </w:rPr>
        <w:t xml:space="preserve"> increase in inequality in the semiperiphery. </w:t>
      </w:r>
    </w:p>
    <w:p w:rsidR="00057B53" w:rsidRDefault="00057B53" w:rsidP="007D3AF1">
      <w:pPr>
        <w:spacing w:line="240" w:lineRule="auto"/>
        <w:contextualSpacing/>
      </w:pPr>
    </w:p>
    <w:p w:rsidR="007D3AF1" w:rsidRDefault="00295E9C" w:rsidP="007D3AF1">
      <w:pPr>
        <w:spacing w:line="240" w:lineRule="auto"/>
        <w:contextualSpacing/>
      </w:pPr>
      <w:r>
        <w:t>Figure 35</w:t>
      </w:r>
      <w:r w:rsidR="007D3AF1">
        <w:t xml:space="preserve">. </w:t>
      </w:r>
      <w:r w:rsidR="007D3AF1">
        <w:rPr>
          <w:noProof/>
        </w:rPr>
        <w:t>Inequality</w:t>
      </w:r>
      <w:r w:rsidR="007D3AF1">
        <w:t xml:space="preserve"> by World-Systems Position.</w:t>
      </w:r>
    </w:p>
    <w:p w:rsidR="007D3AF1" w:rsidRDefault="00CA4320" w:rsidP="007D3AF1">
      <w:pPr>
        <w:spacing w:line="480" w:lineRule="auto"/>
        <w:contextualSpacing/>
      </w:pPr>
      <w:r>
        <w:rPr>
          <w:noProof/>
        </w:rPr>
        <w:drawing>
          <wp:inline distT="0" distB="0" distL="0" distR="0">
            <wp:extent cx="5394960" cy="198247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ininetm_year_wsp.png"/>
                    <pic:cNvPicPr/>
                  </pic:nvPicPr>
                  <pic:blipFill>
                    <a:blip r:embed="rId48">
                      <a:extLst>
                        <a:ext uri="{28A0092B-C50C-407E-A947-70E740481C1C}">
                          <a14:useLocalDpi xmlns:a14="http://schemas.microsoft.com/office/drawing/2010/main" val="0"/>
                        </a:ext>
                      </a:extLst>
                    </a:blip>
                    <a:stretch>
                      <a:fillRect/>
                    </a:stretch>
                  </pic:blipFill>
                  <pic:spPr>
                    <a:xfrm>
                      <a:off x="0" y="0"/>
                      <a:ext cx="5394960" cy="1982470"/>
                    </a:xfrm>
                    <a:prstGeom prst="rect">
                      <a:avLst/>
                    </a:prstGeom>
                  </pic:spPr>
                </pic:pic>
              </a:graphicData>
            </a:graphic>
          </wp:inline>
        </w:drawing>
      </w:r>
    </w:p>
    <w:p w:rsidR="007D3AF1" w:rsidRDefault="00FC3174" w:rsidP="00BC59A1">
      <w:pPr>
        <w:spacing w:line="480" w:lineRule="auto"/>
        <w:contextualSpacing/>
      </w:pPr>
      <w:r>
        <w:tab/>
        <w:t>As expected, and by definition, wealth is significantly lower in the semiperiphery (</w:t>
      </w:r>
      <w:r>
        <w:rPr>
          <w:i/>
        </w:rPr>
        <w:t>z</w:t>
      </w:r>
      <w:r w:rsidR="00BC59A1">
        <w:t xml:space="preserve"> = -3.91</w:t>
      </w:r>
      <w:r>
        <w:t xml:space="preserve">, </w:t>
      </w:r>
      <w:r>
        <w:rPr>
          <w:i/>
        </w:rPr>
        <w:t>p</w:t>
      </w:r>
      <w:r>
        <w:t xml:space="preserve"> &lt; .001) and periphery (</w:t>
      </w:r>
      <w:r>
        <w:rPr>
          <w:i/>
        </w:rPr>
        <w:t>z</w:t>
      </w:r>
      <w:r w:rsidR="00BC59A1">
        <w:t xml:space="preserve"> = -7.54</w:t>
      </w:r>
      <w:r>
        <w:t xml:space="preserve">, </w:t>
      </w:r>
      <w:r>
        <w:rPr>
          <w:i/>
        </w:rPr>
        <w:t xml:space="preserve">p </w:t>
      </w:r>
      <w:r w:rsidRPr="00372E97">
        <w:t>&lt; .001</w:t>
      </w:r>
      <w:r>
        <w:t xml:space="preserve">). </w:t>
      </w:r>
      <w:r w:rsidR="00BC59A1">
        <w:t xml:space="preserve">The core is made up of countries with greater wealth than either the semiperiphery or the periphery. The direction and magnitude of the results of the regression are indicative of the respective </w:t>
      </w:r>
      <w:r w:rsidR="00BC59A1">
        <w:lastRenderedPageBreak/>
        <w:t xml:space="preserve">positions. </w:t>
      </w:r>
      <w:r w:rsidR="00295E9C" w:rsidRPr="00525FCF">
        <w:rPr>
          <w:noProof/>
        </w:rPr>
        <w:t>Forty-three</w:t>
      </w:r>
      <w:r w:rsidR="00BC59A1" w:rsidRPr="00525FCF">
        <w:rPr>
          <w:noProof/>
        </w:rPr>
        <w:t xml:space="preserve"> percent of the difference in wealth between countries is explained by position in the world-system</w:t>
      </w:r>
      <w:r w:rsidR="00BC59A1">
        <w:t>.</w:t>
      </w:r>
      <w:r w:rsidR="007D3AF1">
        <w:t xml:space="preserve"> A graphic depiction of the differences noted </w:t>
      </w:r>
      <w:r w:rsidR="007D3AF1" w:rsidRPr="00525FCF">
        <w:rPr>
          <w:noProof/>
        </w:rPr>
        <w:t>is seen</w:t>
      </w:r>
      <w:r w:rsidR="007D3AF1">
        <w:t xml:space="preserve"> in </w:t>
      </w:r>
      <w:r w:rsidR="00295E9C" w:rsidRPr="00295E9C">
        <w:rPr>
          <w:noProof/>
        </w:rPr>
        <w:t xml:space="preserve">Figure </w:t>
      </w:r>
      <w:r w:rsidR="00295E9C">
        <w:rPr>
          <w:noProof/>
        </w:rPr>
        <w:t>36</w:t>
      </w:r>
      <w:r w:rsidR="007D3AF1">
        <w:t xml:space="preserve"> below. </w:t>
      </w:r>
    </w:p>
    <w:p w:rsidR="007D3AF1" w:rsidRDefault="00295E9C" w:rsidP="007D3AF1">
      <w:pPr>
        <w:spacing w:line="240" w:lineRule="auto"/>
        <w:contextualSpacing/>
      </w:pPr>
      <w:r>
        <w:t>Figure 36.</w:t>
      </w:r>
      <w:r w:rsidR="007D3AF1">
        <w:t xml:space="preserve"> GDPPC by </w:t>
      </w:r>
      <w:r w:rsidR="007D3AF1" w:rsidRPr="007D3AF1">
        <w:t>World-Systems Position</w:t>
      </w:r>
      <w:r w:rsidR="007D3AF1">
        <w:t>.</w:t>
      </w:r>
    </w:p>
    <w:p w:rsidR="007D3AF1" w:rsidRPr="00BC59A1" w:rsidRDefault="00CA4320" w:rsidP="00BC59A1">
      <w:pPr>
        <w:spacing w:line="480" w:lineRule="auto"/>
        <w:contextualSpacing/>
      </w:pPr>
      <w:r>
        <w:rPr>
          <w:noProof/>
        </w:rPr>
        <w:drawing>
          <wp:inline distT="0" distB="0" distL="0" distR="0">
            <wp:extent cx="5394960" cy="32791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dppcm_year_wsp.png"/>
                    <pic:cNvPicPr/>
                  </pic:nvPicPr>
                  <pic:blipFill>
                    <a:blip r:embed="rId49">
                      <a:extLst>
                        <a:ext uri="{28A0092B-C50C-407E-A947-70E740481C1C}">
                          <a14:useLocalDpi xmlns:a14="http://schemas.microsoft.com/office/drawing/2010/main" val="0"/>
                        </a:ext>
                      </a:extLst>
                    </a:blip>
                    <a:stretch>
                      <a:fillRect/>
                    </a:stretch>
                  </pic:blipFill>
                  <pic:spPr>
                    <a:xfrm>
                      <a:off x="0" y="0"/>
                      <a:ext cx="5394960" cy="3279140"/>
                    </a:xfrm>
                    <a:prstGeom prst="rect">
                      <a:avLst/>
                    </a:prstGeom>
                  </pic:spPr>
                </pic:pic>
              </a:graphicData>
            </a:graphic>
          </wp:inline>
        </w:drawing>
      </w:r>
    </w:p>
    <w:p w:rsidR="00FC3174" w:rsidRDefault="00FC3174" w:rsidP="00FC3174">
      <w:pPr>
        <w:spacing w:line="480" w:lineRule="auto"/>
        <w:ind w:firstLine="720"/>
        <w:contextualSpacing/>
      </w:pPr>
      <w:r>
        <w:t xml:space="preserve">Random effects regression also confirms the relationship between WSP and democracy. </w:t>
      </w:r>
      <w:r w:rsidRPr="00FC3174">
        <w:t>Democracy is greate</w:t>
      </w:r>
      <w:r w:rsidR="00BC59A1">
        <w:t>st</w:t>
      </w:r>
      <w:r w:rsidRPr="00FC3174">
        <w:t xml:space="preserve"> in the core, with both the semiperiphery (</w:t>
      </w:r>
      <w:r w:rsidRPr="00FC3174">
        <w:rPr>
          <w:i/>
        </w:rPr>
        <w:t>z</w:t>
      </w:r>
      <w:r w:rsidR="00BC59A1">
        <w:t xml:space="preserve"> = -2.32</w:t>
      </w:r>
      <w:r w:rsidRPr="00FC3174">
        <w:t xml:space="preserve">, </w:t>
      </w:r>
      <w:r w:rsidRPr="00FC3174">
        <w:rPr>
          <w:i/>
        </w:rPr>
        <w:t>p</w:t>
      </w:r>
      <w:r w:rsidR="00BC59A1">
        <w:t xml:space="preserve"> &lt; .05</w:t>
      </w:r>
      <w:r w:rsidRPr="00FC3174">
        <w:t>) and periphery (</w:t>
      </w:r>
      <w:r w:rsidRPr="00FC3174">
        <w:rPr>
          <w:i/>
        </w:rPr>
        <w:t>z</w:t>
      </w:r>
      <w:r w:rsidR="00BC59A1">
        <w:t xml:space="preserve"> = -3.02</w:t>
      </w:r>
      <w:r w:rsidRPr="00FC3174">
        <w:t xml:space="preserve">, </w:t>
      </w:r>
      <w:r w:rsidRPr="00FC3174">
        <w:rPr>
          <w:i/>
        </w:rPr>
        <w:t>p</w:t>
      </w:r>
      <w:r w:rsidRPr="00FC3174">
        <w:t xml:space="preserve"> &lt;</w:t>
      </w:r>
      <w:r w:rsidR="00BC59A1">
        <w:t xml:space="preserve"> .01</w:t>
      </w:r>
      <w:r w:rsidRPr="00FC3174">
        <w:t>) producing negative and significant coefficients</w:t>
      </w:r>
      <w:r>
        <w:t xml:space="preserve"> in Model 3</w:t>
      </w:r>
      <w:r w:rsidRPr="00FC3174">
        <w:t>.</w:t>
      </w:r>
      <w:r w:rsidR="00BC59A1">
        <w:t xml:space="preserve"> With the core as the referent category, the results indicate semiperipheral countries have fewer civil liberties and political rights than the core, but more so than peripheral countries. Position in the world-system explains 11</w:t>
      </w:r>
      <w:r w:rsidR="00404DE3">
        <w:t>percent</w:t>
      </w:r>
      <w:r w:rsidR="00BC59A1">
        <w:t xml:space="preserve"> of the difference in levels of democracy </w:t>
      </w:r>
      <w:r w:rsidR="00BC59A1" w:rsidRPr="007D3AF1">
        <w:rPr>
          <w:noProof/>
        </w:rPr>
        <w:t>between</w:t>
      </w:r>
      <w:r w:rsidR="00BC59A1">
        <w:t xml:space="preserve"> countries. </w:t>
      </w:r>
      <w:r w:rsidR="00563480">
        <w:t xml:space="preserve">These results appear similar to Clark’s (2012) findings </w:t>
      </w:r>
      <w:r w:rsidR="00563480" w:rsidRPr="00525FCF">
        <w:rPr>
          <w:noProof/>
        </w:rPr>
        <w:t>relative to</w:t>
      </w:r>
      <w:r w:rsidR="00563480">
        <w:t xml:space="preserve"> the relationship between world-systems position and democracy. </w:t>
      </w:r>
      <w:r w:rsidR="007D3AF1">
        <w:t xml:space="preserve">See </w:t>
      </w:r>
      <w:r w:rsidR="00295E9C" w:rsidRPr="00295E9C">
        <w:rPr>
          <w:noProof/>
        </w:rPr>
        <w:t xml:space="preserve">Figure </w:t>
      </w:r>
      <w:r w:rsidR="00295E9C">
        <w:rPr>
          <w:noProof/>
        </w:rPr>
        <w:t>37</w:t>
      </w:r>
      <w:r w:rsidR="007D3AF1">
        <w:t xml:space="preserve"> below for trends in democracy by position in the world-system. </w:t>
      </w:r>
    </w:p>
    <w:p w:rsidR="007D3AF1" w:rsidRDefault="007D3AF1" w:rsidP="007D3AF1">
      <w:pPr>
        <w:spacing w:line="240" w:lineRule="auto"/>
        <w:contextualSpacing/>
      </w:pPr>
    </w:p>
    <w:p w:rsidR="007D3AF1" w:rsidRDefault="00295E9C" w:rsidP="007D3AF1">
      <w:pPr>
        <w:spacing w:line="240" w:lineRule="auto"/>
        <w:contextualSpacing/>
      </w:pPr>
      <w:r>
        <w:t>Figure 37.</w:t>
      </w:r>
      <w:r w:rsidR="007D3AF1">
        <w:t xml:space="preserve"> Democracy by </w:t>
      </w:r>
      <w:r w:rsidR="007D3AF1" w:rsidRPr="007D3AF1">
        <w:t>World-Systems Position</w:t>
      </w:r>
    </w:p>
    <w:p w:rsidR="007D3AF1" w:rsidRDefault="00CA4320" w:rsidP="007D3AF1">
      <w:pPr>
        <w:spacing w:line="240" w:lineRule="auto"/>
        <w:contextualSpacing/>
      </w:pPr>
      <w:r>
        <w:rPr>
          <w:noProof/>
        </w:rPr>
        <w:drawing>
          <wp:inline distT="0" distB="0" distL="0" distR="0">
            <wp:extent cx="5394960" cy="2296160"/>
            <wp:effectExtent l="0" t="0" r="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hr_year_wsp.png"/>
                    <pic:cNvPicPr/>
                  </pic:nvPicPr>
                  <pic:blipFill>
                    <a:blip r:embed="rId50">
                      <a:extLst>
                        <a:ext uri="{28A0092B-C50C-407E-A947-70E740481C1C}">
                          <a14:useLocalDpi xmlns:a14="http://schemas.microsoft.com/office/drawing/2010/main" val="0"/>
                        </a:ext>
                      </a:extLst>
                    </a:blip>
                    <a:stretch>
                      <a:fillRect/>
                    </a:stretch>
                  </pic:blipFill>
                  <pic:spPr>
                    <a:xfrm>
                      <a:off x="0" y="0"/>
                      <a:ext cx="5394960" cy="2296160"/>
                    </a:xfrm>
                    <a:prstGeom prst="rect">
                      <a:avLst/>
                    </a:prstGeom>
                  </pic:spPr>
                </pic:pic>
              </a:graphicData>
            </a:graphic>
          </wp:inline>
        </w:drawing>
      </w:r>
    </w:p>
    <w:p w:rsidR="00057B53" w:rsidRDefault="00057B53" w:rsidP="00BC59A1">
      <w:pPr>
        <w:spacing w:line="480" w:lineRule="auto"/>
        <w:contextualSpacing/>
      </w:pPr>
    </w:p>
    <w:p w:rsidR="00BC59A1" w:rsidRDefault="00FC3174" w:rsidP="00BC59A1">
      <w:pPr>
        <w:spacing w:line="480" w:lineRule="auto"/>
        <w:contextualSpacing/>
      </w:pPr>
      <w:r w:rsidRPr="00A47A45">
        <w:tab/>
      </w:r>
      <w:r w:rsidR="00BC59A1">
        <w:t xml:space="preserve">Core countries have a larger percentage of their populations between the ages of 15 and 64. </w:t>
      </w:r>
      <w:r w:rsidR="00295E9C">
        <w:t>In Model 5</w:t>
      </w:r>
      <w:r w:rsidRPr="00FC3174">
        <w:t xml:space="preserve">, the </w:t>
      </w:r>
      <w:r w:rsidRPr="00525FCF">
        <w:rPr>
          <w:noProof/>
        </w:rPr>
        <w:t>percentage</w:t>
      </w:r>
      <w:r w:rsidRPr="00FC3174">
        <w:t xml:space="preserve"> of the population between ages 15-64 is lower in the semiperiphery (</w:t>
      </w:r>
      <w:r w:rsidRPr="00FC3174">
        <w:rPr>
          <w:i/>
        </w:rPr>
        <w:t>z</w:t>
      </w:r>
      <w:r w:rsidR="00BC59A1">
        <w:t xml:space="preserve"> = -2.45</w:t>
      </w:r>
      <w:r w:rsidRPr="00FC3174">
        <w:t xml:space="preserve">, </w:t>
      </w:r>
      <w:r w:rsidRPr="00FC3174">
        <w:rPr>
          <w:i/>
        </w:rPr>
        <w:t>p</w:t>
      </w:r>
      <w:r w:rsidR="00BC59A1">
        <w:t xml:space="preserve"> &lt; .05</w:t>
      </w:r>
      <w:r w:rsidRPr="00FC3174">
        <w:t>) and the periphery (</w:t>
      </w:r>
      <w:r w:rsidRPr="00FC3174">
        <w:rPr>
          <w:i/>
        </w:rPr>
        <w:t>z</w:t>
      </w:r>
      <w:r w:rsidR="00BC59A1">
        <w:t xml:space="preserve"> = -5.37</w:t>
      </w:r>
      <w:r w:rsidRPr="00FC3174">
        <w:t xml:space="preserve">, </w:t>
      </w:r>
      <w:r w:rsidRPr="00FC3174">
        <w:rPr>
          <w:i/>
        </w:rPr>
        <w:t>p</w:t>
      </w:r>
      <w:r w:rsidR="00563480">
        <w:t xml:space="preserve"> &lt; .001). </w:t>
      </w:r>
    </w:p>
    <w:p w:rsidR="007D3AF1" w:rsidRDefault="00295E9C" w:rsidP="007D3AF1">
      <w:pPr>
        <w:spacing w:line="240" w:lineRule="auto"/>
        <w:contextualSpacing/>
      </w:pPr>
      <w:r>
        <w:t>Figure 38.</w:t>
      </w:r>
      <w:r w:rsidR="007D3AF1">
        <w:t xml:space="preserve"> Percentage of Population between 15-64 by World-Systems Position</w:t>
      </w:r>
    </w:p>
    <w:p w:rsidR="007D3AF1" w:rsidRDefault="00CA4320" w:rsidP="007D3AF1">
      <w:pPr>
        <w:spacing w:line="240" w:lineRule="auto"/>
        <w:contextualSpacing/>
      </w:pPr>
      <w:r>
        <w:rPr>
          <w:noProof/>
        </w:rPr>
        <w:drawing>
          <wp:inline distT="0" distB="0" distL="0" distR="0">
            <wp:extent cx="5394960" cy="2379345"/>
            <wp:effectExtent l="0" t="0" r="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gecohortm_year_wsp.png"/>
                    <pic:cNvPicPr/>
                  </pic:nvPicPr>
                  <pic:blipFill>
                    <a:blip r:embed="rId51">
                      <a:extLst>
                        <a:ext uri="{28A0092B-C50C-407E-A947-70E740481C1C}">
                          <a14:useLocalDpi xmlns:a14="http://schemas.microsoft.com/office/drawing/2010/main" val="0"/>
                        </a:ext>
                      </a:extLst>
                    </a:blip>
                    <a:stretch>
                      <a:fillRect/>
                    </a:stretch>
                  </pic:blipFill>
                  <pic:spPr>
                    <a:xfrm>
                      <a:off x="0" y="0"/>
                      <a:ext cx="5394960" cy="2379345"/>
                    </a:xfrm>
                    <a:prstGeom prst="rect">
                      <a:avLst/>
                    </a:prstGeom>
                  </pic:spPr>
                </pic:pic>
              </a:graphicData>
            </a:graphic>
          </wp:inline>
        </w:drawing>
      </w:r>
    </w:p>
    <w:p w:rsidR="007D3AF1" w:rsidRDefault="007D3AF1" w:rsidP="00BC59A1">
      <w:pPr>
        <w:spacing w:line="480" w:lineRule="auto"/>
        <w:ind w:firstLine="720"/>
        <w:contextualSpacing/>
      </w:pPr>
    </w:p>
    <w:p w:rsidR="00FC3174" w:rsidRDefault="00FC3174" w:rsidP="00BC59A1">
      <w:pPr>
        <w:spacing w:line="480" w:lineRule="auto"/>
        <w:ind w:firstLine="720"/>
        <w:contextualSpacing/>
      </w:pPr>
      <w:r w:rsidRPr="00FC3174">
        <w:t>There are greater percentages of populations residing in urban areas in core countries than in the semiperiphery (</w:t>
      </w:r>
      <w:r w:rsidRPr="00FC3174">
        <w:rPr>
          <w:i/>
        </w:rPr>
        <w:t>z</w:t>
      </w:r>
      <w:r w:rsidR="00BC59A1">
        <w:t xml:space="preserve"> = -2.29, </w:t>
      </w:r>
      <w:r w:rsidRPr="00FC3174">
        <w:rPr>
          <w:i/>
        </w:rPr>
        <w:t>p</w:t>
      </w:r>
      <w:r w:rsidR="00BC59A1">
        <w:t xml:space="preserve"> &lt; .05</w:t>
      </w:r>
      <w:r w:rsidRPr="00FC3174">
        <w:t>) and periphery (</w:t>
      </w:r>
      <w:r w:rsidRPr="00FC3174">
        <w:rPr>
          <w:i/>
        </w:rPr>
        <w:t>z</w:t>
      </w:r>
      <w:r w:rsidR="00BC59A1">
        <w:t xml:space="preserve"> = -4.78</w:t>
      </w:r>
      <w:r w:rsidRPr="00FC3174">
        <w:t xml:space="preserve">, </w:t>
      </w:r>
      <w:r w:rsidRPr="00FC3174">
        <w:rPr>
          <w:i/>
        </w:rPr>
        <w:t>p</w:t>
      </w:r>
      <w:r w:rsidRPr="00FC3174">
        <w:t xml:space="preserve"> &lt; .001).</w:t>
      </w:r>
      <w:r w:rsidR="00BC59A1">
        <w:t xml:space="preserve"> </w:t>
      </w:r>
    </w:p>
    <w:p w:rsidR="007D3AF1" w:rsidRDefault="00295E9C" w:rsidP="007D3AF1">
      <w:pPr>
        <w:spacing w:line="240" w:lineRule="auto"/>
        <w:contextualSpacing/>
      </w:pPr>
      <w:r>
        <w:lastRenderedPageBreak/>
        <w:t>Figure 39.</w:t>
      </w:r>
      <w:r w:rsidR="007D3AF1">
        <w:t xml:space="preserve"> Urbanization by World-Systems Position.</w:t>
      </w:r>
      <w:r w:rsidR="00CA4320">
        <w:rPr>
          <w:noProof/>
        </w:rPr>
        <w:drawing>
          <wp:inline distT="0" distB="0" distL="0" distR="0">
            <wp:extent cx="5394960" cy="327914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urbanm_year_wsp.png"/>
                    <pic:cNvPicPr/>
                  </pic:nvPicPr>
                  <pic:blipFill>
                    <a:blip r:embed="rId52">
                      <a:extLst>
                        <a:ext uri="{28A0092B-C50C-407E-A947-70E740481C1C}">
                          <a14:useLocalDpi xmlns:a14="http://schemas.microsoft.com/office/drawing/2010/main" val="0"/>
                        </a:ext>
                      </a:extLst>
                    </a:blip>
                    <a:stretch>
                      <a:fillRect/>
                    </a:stretch>
                  </pic:blipFill>
                  <pic:spPr>
                    <a:xfrm>
                      <a:off x="0" y="0"/>
                      <a:ext cx="5394960" cy="3279140"/>
                    </a:xfrm>
                    <a:prstGeom prst="rect">
                      <a:avLst/>
                    </a:prstGeom>
                  </pic:spPr>
                </pic:pic>
              </a:graphicData>
            </a:graphic>
          </wp:inline>
        </w:drawing>
      </w:r>
    </w:p>
    <w:p w:rsidR="007D3AF1" w:rsidRDefault="007D3AF1" w:rsidP="00FC3174">
      <w:pPr>
        <w:spacing w:line="480" w:lineRule="auto"/>
        <w:ind w:firstLine="720"/>
        <w:contextualSpacing/>
      </w:pPr>
    </w:p>
    <w:p w:rsidR="00FC3174" w:rsidRDefault="00295E9C" w:rsidP="00FC3174">
      <w:pPr>
        <w:spacing w:line="480" w:lineRule="auto"/>
        <w:ind w:firstLine="720"/>
        <w:contextualSpacing/>
      </w:pPr>
      <w:r>
        <w:t>In Model 7</w:t>
      </w:r>
      <w:r w:rsidR="00BC59A1">
        <w:t>, the</w:t>
      </w:r>
      <w:r w:rsidR="00FC3174" w:rsidRPr="00FC3174">
        <w:t xml:space="preserve"> respect for physical integrity rights is </w:t>
      </w:r>
      <w:r w:rsidR="00BC59A1">
        <w:t xml:space="preserve">not statistically different among the three tiers, although coefficients for the semiperiphery and periphery were both negative in this analysis. Similarly, the percentage of populations over age 15 having completed secondary education produces negative </w:t>
      </w:r>
      <w:r w:rsidR="00BC59A1" w:rsidRPr="00525FCF">
        <w:rPr>
          <w:noProof/>
        </w:rPr>
        <w:t>coefficients</w:t>
      </w:r>
      <w:r w:rsidR="00BC59A1">
        <w:t xml:space="preserve"> for both the semiperiphery and periphery, which fail to achieve statistical</w:t>
      </w:r>
      <w:r>
        <w:t xml:space="preserve"> significance as seen in Model 8</w:t>
      </w:r>
      <w:r w:rsidR="00BC59A1">
        <w:t>.</w:t>
      </w:r>
    </w:p>
    <w:p w:rsidR="007D3AF1" w:rsidRDefault="00563480" w:rsidP="00057B53">
      <w:pPr>
        <w:spacing w:line="480" w:lineRule="auto"/>
        <w:ind w:firstLine="720"/>
        <w:contextualSpacing/>
      </w:pPr>
      <w:r w:rsidRPr="00FC3174">
        <w:t xml:space="preserve">Homicide rates </w:t>
      </w:r>
      <w:r w:rsidR="00BC59A1">
        <w:t xml:space="preserve">(logged) </w:t>
      </w:r>
      <w:r w:rsidRPr="00FC3174">
        <w:t>are greater in the semiperiphery (</w:t>
      </w:r>
      <w:r w:rsidRPr="00FC3174">
        <w:rPr>
          <w:i/>
        </w:rPr>
        <w:t>z</w:t>
      </w:r>
      <w:r w:rsidR="00BC59A1">
        <w:t xml:space="preserve"> = 3.97</w:t>
      </w:r>
      <w:r w:rsidRPr="00FC3174">
        <w:t xml:space="preserve">, </w:t>
      </w:r>
      <w:r w:rsidRPr="00FC3174">
        <w:rPr>
          <w:i/>
        </w:rPr>
        <w:t>p</w:t>
      </w:r>
      <w:r w:rsidRPr="00FC3174">
        <w:t xml:space="preserve"> &lt; .001) and the periphery (</w:t>
      </w:r>
      <w:r w:rsidRPr="00FC3174">
        <w:rPr>
          <w:i/>
        </w:rPr>
        <w:t xml:space="preserve">z = </w:t>
      </w:r>
      <w:r w:rsidR="00BC59A1">
        <w:t>4.94</w:t>
      </w:r>
      <w:r w:rsidRPr="00FC3174">
        <w:t xml:space="preserve">, </w:t>
      </w:r>
      <w:r w:rsidRPr="00FC3174">
        <w:rPr>
          <w:i/>
        </w:rPr>
        <w:t>p</w:t>
      </w:r>
      <w:r w:rsidRPr="00FC3174">
        <w:t xml:space="preserve"> &lt; .001)</w:t>
      </w:r>
      <w:r>
        <w:t>, than</w:t>
      </w:r>
      <w:r w:rsidR="00295E9C">
        <w:t xml:space="preserve"> in the core, as seen in Model 9</w:t>
      </w:r>
      <w:r>
        <w:t>.</w:t>
      </w:r>
      <w:r w:rsidR="00BC59A1">
        <w:t xml:space="preserve"> Again, the direction and magnitude of the coefficients </w:t>
      </w:r>
      <w:r w:rsidR="00BC59A1" w:rsidRPr="00525FCF">
        <w:rPr>
          <w:noProof/>
        </w:rPr>
        <w:t>is</w:t>
      </w:r>
      <w:r w:rsidR="00BC59A1">
        <w:t xml:space="preserve"> consistent with </w:t>
      </w:r>
      <w:r w:rsidR="00BC59A1" w:rsidRPr="00525FCF">
        <w:rPr>
          <w:noProof/>
        </w:rPr>
        <w:t>position</w:t>
      </w:r>
      <w:r w:rsidR="00BC59A1">
        <w:t xml:space="preserve"> in the world-system. Position in the world-system explains approximately 27</w:t>
      </w:r>
      <w:r w:rsidR="00404DE3">
        <w:t>percent</w:t>
      </w:r>
      <w:r w:rsidR="00BC59A1">
        <w:t xml:space="preserve"> of the difference of homicide rates (logged) between countries.</w:t>
      </w:r>
    </w:p>
    <w:p w:rsidR="00057B53" w:rsidRDefault="00057B53" w:rsidP="00057B53">
      <w:pPr>
        <w:spacing w:line="480" w:lineRule="auto"/>
        <w:ind w:firstLine="720"/>
        <w:contextualSpacing/>
      </w:pPr>
    </w:p>
    <w:p w:rsidR="006F0D5D" w:rsidRDefault="006F0D5D" w:rsidP="007D3AF1">
      <w:pPr>
        <w:spacing w:line="240" w:lineRule="auto"/>
        <w:contextualSpacing/>
      </w:pPr>
    </w:p>
    <w:p w:rsidR="007D3AF1" w:rsidRDefault="00295E9C" w:rsidP="007D3AF1">
      <w:pPr>
        <w:spacing w:line="240" w:lineRule="auto"/>
        <w:contextualSpacing/>
      </w:pPr>
      <w:r>
        <w:lastRenderedPageBreak/>
        <w:t>Figure 40.</w:t>
      </w:r>
      <w:r w:rsidR="007D3AF1">
        <w:t xml:space="preserve"> Homicide Rates by World-Systems Position</w:t>
      </w:r>
      <w:r>
        <w:t>.</w:t>
      </w:r>
    </w:p>
    <w:p w:rsidR="007D3AF1" w:rsidRPr="00BC59A1" w:rsidRDefault="00CA4320" w:rsidP="007D3AF1">
      <w:pPr>
        <w:spacing w:line="240" w:lineRule="auto"/>
        <w:contextualSpacing/>
        <w:rPr>
          <w:i/>
        </w:rPr>
      </w:pPr>
      <w:r>
        <w:rPr>
          <w:i/>
          <w:noProof/>
        </w:rPr>
        <w:drawing>
          <wp:inline distT="0" distB="0" distL="0" distR="0">
            <wp:extent cx="5394960" cy="327914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homratem_year_wsp.png"/>
                    <pic:cNvPicPr/>
                  </pic:nvPicPr>
                  <pic:blipFill>
                    <a:blip r:embed="rId53">
                      <a:extLst>
                        <a:ext uri="{28A0092B-C50C-407E-A947-70E740481C1C}">
                          <a14:useLocalDpi xmlns:a14="http://schemas.microsoft.com/office/drawing/2010/main" val="0"/>
                        </a:ext>
                      </a:extLst>
                    </a:blip>
                    <a:stretch>
                      <a:fillRect/>
                    </a:stretch>
                  </pic:blipFill>
                  <pic:spPr>
                    <a:xfrm>
                      <a:off x="0" y="0"/>
                      <a:ext cx="5394960" cy="3279140"/>
                    </a:xfrm>
                    <a:prstGeom prst="rect">
                      <a:avLst/>
                    </a:prstGeom>
                  </pic:spPr>
                </pic:pic>
              </a:graphicData>
            </a:graphic>
          </wp:inline>
        </w:drawing>
      </w:r>
    </w:p>
    <w:p w:rsidR="007D3AF1" w:rsidRDefault="00FC3174" w:rsidP="00FC3174">
      <w:pPr>
        <w:spacing w:line="480" w:lineRule="auto"/>
        <w:contextualSpacing/>
      </w:pPr>
      <w:r w:rsidRPr="00A47A45">
        <w:tab/>
      </w:r>
    </w:p>
    <w:p w:rsidR="00FC3174" w:rsidRDefault="00FC3174" w:rsidP="007D3AF1">
      <w:pPr>
        <w:spacing w:line="480" w:lineRule="auto"/>
        <w:ind w:firstLine="720"/>
        <w:contextualSpacing/>
      </w:pPr>
      <w:r w:rsidRPr="00A47A45">
        <w:t>Core countries have higher drug offense rates</w:t>
      </w:r>
      <w:r w:rsidR="00BC59A1">
        <w:t xml:space="preserve"> (logged)</w:t>
      </w:r>
      <w:r w:rsidRPr="00A47A45">
        <w:t xml:space="preserve"> than the semiperiphery or the periphery. </w:t>
      </w:r>
      <w:r w:rsidR="00563480" w:rsidRPr="00FC3174">
        <w:t>Drug offense rates are greater in the core than in the semiperiphery (</w:t>
      </w:r>
      <w:r w:rsidR="00563480" w:rsidRPr="00FC3174">
        <w:rPr>
          <w:i/>
        </w:rPr>
        <w:t>z</w:t>
      </w:r>
      <w:r w:rsidR="00BC59A1">
        <w:t xml:space="preserve"> = -2.03</w:t>
      </w:r>
      <w:r w:rsidR="00563480" w:rsidRPr="00FC3174">
        <w:t xml:space="preserve">, </w:t>
      </w:r>
      <w:r w:rsidR="00563480" w:rsidRPr="00FC3174">
        <w:rPr>
          <w:i/>
        </w:rPr>
        <w:t>p</w:t>
      </w:r>
      <w:r w:rsidR="00BC59A1">
        <w:t xml:space="preserve"> &lt; .05</w:t>
      </w:r>
      <w:r w:rsidR="00563480" w:rsidRPr="00FC3174">
        <w:t>) and the periphery (</w:t>
      </w:r>
      <w:r w:rsidR="00563480" w:rsidRPr="00FC3174">
        <w:rPr>
          <w:i/>
        </w:rPr>
        <w:t xml:space="preserve">z = </w:t>
      </w:r>
      <w:r w:rsidR="00BC59A1">
        <w:t>-3.72</w:t>
      </w:r>
      <w:r w:rsidR="00563480" w:rsidRPr="00FC3174">
        <w:t xml:space="preserve">, </w:t>
      </w:r>
      <w:r w:rsidR="00563480" w:rsidRPr="00FC3174">
        <w:rPr>
          <w:i/>
        </w:rPr>
        <w:t>p</w:t>
      </w:r>
      <w:r w:rsidR="00295E9C">
        <w:t xml:space="preserve"> &lt; .001), as shown in Model 10</w:t>
      </w:r>
      <w:r w:rsidR="00563480" w:rsidRPr="00FC3174">
        <w:t>.</w:t>
      </w:r>
      <w:r w:rsidR="00BC59A1">
        <w:t xml:space="preserve"> </w:t>
      </w:r>
      <w:r w:rsidR="00BC59A1">
        <w:rPr>
          <w:i/>
        </w:rPr>
        <w:t>R</w:t>
      </w:r>
      <w:r w:rsidR="00BC59A1">
        <w:rPr>
          <w:i/>
          <w:vertAlign w:val="superscript"/>
        </w:rPr>
        <w:t>2</w:t>
      </w:r>
      <w:r w:rsidR="00BC59A1">
        <w:rPr>
          <w:vertAlign w:val="superscript"/>
        </w:rPr>
        <w:t xml:space="preserve"> </w:t>
      </w:r>
      <w:r w:rsidR="00BC59A1">
        <w:t xml:space="preserve">for this analysis indicates </w:t>
      </w:r>
      <w:r w:rsidR="00BC59A1" w:rsidRPr="00525FCF">
        <w:rPr>
          <w:noProof/>
        </w:rPr>
        <w:t>approximately 15</w:t>
      </w:r>
      <w:r w:rsidR="00404DE3">
        <w:rPr>
          <w:noProof/>
        </w:rPr>
        <w:t xml:space="preserve"> percent</w:t>
      </w:r>
      <w:r w:rsidR="00BC59A1" w:rsidRPr="00525FCF">
        <w:rPr>
          <w:noProof/>
        </w:rPr>
        <w:t xml:space="preserve"> of the variation in drug offense rates (logged) between countries is explained by position in the world-system</w:t>
      </w:r>
      <w:r w:rsidR="00BC59A1">
        <w:t xml:space="preserve">. </w:t>
      </w:r>
    </w:p>
    <w:p w:rsidR="007D3AF1" w:rsidRPr="00BC59A1" w:rsidRDefault="00295E9C" w:rsidP="007D3AF1">
      <w:pPr>
        <w:spacing w:line="240" w:lineRule="auto"/>
        <w:contextualSpacing/>
      </w:pPr>
      <w:r>
        <w:lastRenderedPageBreak/>
        <w:t>Figure 41.</w:t>
      </w:r>
      <w:r w:rsidR="007D3AF1">
        <w:t xml:space="preserve"> Drug Offense Rates by World-Systems Position</w:t>
      </w:r>
      <w:r w:rsidR="00CA4320">
        <w:rPr>
          <w:noProof/>
        </w:rPr>
        <w:drawing>
          <wp:inline distT="0" distB="0" distL="0" distR="0">
            <wp:extent cx="5394960" cy="327914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drgoffm_year_wsp.png"/>
                    <pic:cNvPicPr/>
                  </pic:nvPicPr>
                  <pic:blipFill>
                    <a:blip r:embed="rId54">
                      <a:extLst>
                        <a:ext uri="{28A0092B-C50C-407E-A947-70E740481C1C}">
                          <a14:useLocalDpi xmlns:a14="http://schemas.microsoft.com/office/drawing/2010/main" val="0"/>
                        </a:ext>
                      </a:extLst>
                    </a:blip>
                    <a:stretch>
                      <a:fillRect/>
                    </a:stretch>
                  </pic:blipFill>
                  <pic:spPr>
                    <a:xfrm>
                      <a:off x="0" y="0"/>
                      <a:ext cx="5394960" cy="3279140"/>
                    </a:xfrm>
                    <a:prstGeom prst="rect">
                      <a:avLst/>
                    </a:prstGeom>
                  </pic:spPr>
                </pic:pic>
              </a:graphicData>
            </a:graphic>
          </wp:inline>
        </w:drawing>
      </w:r>
    </w:p>
    <w:p w:rsidR="00372E97" w:rsidRDefault="00372E97" w:rsidP="00FC3174">
      <w:pPr>
        <w:spacing w:line="480" w:lineRule="auto"/>
        <w:contextualSpacing/>
      </w:pPr>
    </w:p>
    <w:p w:rsidR="007D3AF1" w:rsidRDefault="00057B53" w:rsidP="00FC3174">
      <w:pPr>
        <w:spacing w:line="480" w:lineRule="auto"/>
        <w:contextualSpacing/>
      </w:pPr>
      <w:r>
        <w:tab/>
        <w:t>Homicide rates are lower in the core, but drug offense rates are higher in the core. Although beyond the focus of this analysis, the differences in levels of homicide rates and drug offense rates bring to mind the words of Durkheim regarding differences in the definitions of crime and deviance: “Crimes, properly so called, will there be unknown, but faults which appear venial to the layman will create there the same scandal”</w:t>
      </w:r>
      <w:r w:rsidRPr="00057B53">
        <w:t xml:space="preserve"> (1966</w:t>
      </w:r>
      <w:r>
        <w:t>:68</w:t>
      </w:r>
      <w:r w:rsidRPr="00057B53">
        <w:t>)</w:t>
      </w:r>
      <w:r>
        <w:t>. In the absence of serious offenses, like homicide, it appears that core countries have redefined and criminalized less serious offenses, like drug offenses, to fill the void.</w:t>
      </w:r>
    </w:p>
    <w:p w:rsidR="007D3AF1" w:rsidRDefault="007D3AF1" w:rsidP="00FC3174">
      <w:pPr>
        <w:spacing w:line="480" w:lineRule="auto"/>
        <w:contextualSpacing/>
      </w:pPr>
    </w:p>
    <w:p w:rsidR="007D3AF1" w:rsidRDefault="007D3AF1" w:rsidP="00FC3174">
      <w:pPr>
        <w:spacing w:line="480" w:lineRule="auto"/>
        <w:contextualSpacing/>
      </w:pPr>
    </w:p>
    <w:p w:rsidR="007D3AF1" w:rsidRDefault="007D3AF1" w:rsidP="00FC3174">
      <w:pPr>
        <w:spacing w:line="480" w:lineRule="auto"/>
        <w:contextualSpacing/>
      </w:pPr>
    </w:p>
    <w:p w:rsidR="007D3AF1" w:rsidRDefault="007D3AF1" w:rsidP="00FC3174">
      <w:pPr>
        <w:spacing w:line="480" w:lineRule="auto"/>
        <w:contextualSpacing/>
      </w:pPr>
    </w:p>
    <w:p w:rsidR="007D3AF1" w:rsidRDefault="007D3AF1" w:rsidP="00FC3174">
      <w:pPr>
        <w:spacing w:line="480" w:lineRule="auto"/>
        <w:contextualSpacing/>
      </w:pPr>
    </w:p>
    <w:p w:rsidR="007D3AF1" w:rsidRDefault="007D3AF1" w:rsidP="00FC3174">
      <w:pPr>
        <w:spacing w:line="480" w:lineRule="auto"/>
        <w:contextualSpacing/>
      </w:pPr>
    </w:p>
    <w:tbl>
      <w:tblPr>
        <w:tblStyle w:val="TableGrid5"/>
        <w:tblW w:w="4718" w:type="dxa"/>
        <w:tblLayout w:type="fixed"/>
        <w:tblLook w:val="02A0" w:firstRow="1" w:lastRow="0" w:firstColumn="1" w:lastColumn="0" w:noHBand="1" w:noVBand="0"/>
      </w:tblPr>
      <w:tblGrid>
        <w:gridCol w:w="306"/>
        <w:gridCol w:w="324"/>
        <w:gridCol w:w="450"/>
        <w:gridCol w:w="590"/>
        <w:gridCol w:w="528"/>
        <w:gridCol w:w="862"/>
        <w:gridCol w:w="1658"/>
      </w:tblGrid>
      <w:tr w:rsidR="00BC59A1" w:rsidRPr="00F810C6" w:rsidTr="00BC59A1">
        <w:trPr>
          <w:trHeight w:val="1079"/>
        </w:trPr>
        <w:tc>
          <w:tcPr>
            <w:tcW w:w="306" w:type="dxa"/>
            <w:vMerge w:val="restart"/>
            <w:tcBorders>
              <w:top w:val="nil"/>
              <w:left w:val="nil"/>
              <w:bottom w:val="nil"/>
            </w:tcBorders>
            <w:textDirection w:val="btLr"/>
          </w:tcPr>
          <w:p w:rsidR="00BC59A1" w:rsidRPr="006425A0" w:rsidRDefault="00295E9C" w:rsidP="00BC59A1">
            <w:pPr>
              <w:ind w:left="113" w:right="113"/>
              <w:rPr>
                <w:sz w:val="16"/>
                <w:szCs w:val="16"/>
              </w:rPr>
            </w:pPr>
            <w:r>
              <w:rPr>
                <w:sz w:val="16"/>
                <w:szCs w:val="16"/>
              </w:rPr>
              <w:t>Table 12</w:t>
            </w:r>
            <w:r w:rsidR="00BC59A1">
              <w:rPr>
                <w:sz w:val="16"/>
                <w:szCs w:val="16"/>
              </w:rPr>
              <w:t>. RE Regression for each Variable for WSP.</w:t>
            </w:r>
          </w:p>
        </w:tc>
        <w:tc>
          <w:tcPr>
            <w:tcW w:w="324" w:type="dxa"/>
            <w:tcBorders>
              <w:top w:val="single" w:sz="4" w:space="0" w:color="auto"/>
              <w:bottom w:val="nil"/>
            </w:tcBorders>
            <w:textDirection w:val="btLr"/>
          </w:tcPr>
          <w:p w:rsidR="00BC59A1" w:rsidRDefault="00295E9C" w:rsidP="00BC59A1">
            <w:pPr>
              <w:ind w:left="113" w:right="113"/>
              <w:jc w:val="center"/>
              <w:rPr>
                <w:sz w:val="14"/>
                <w:szCs w:val="14"/>
              </w:rPr>
            </w:pPr>
            <w:r>
              <w:rPr>
                <w:sz w:val="14"/>
                <w:szCs w:val="14"/>
              </w:rPr>
              <w:t>Model 10</w:t>
            </w:r>
          </w:p>
        </w:tc>
        <w:tc>
          <w:tcPr>
            <w:tcW w:w="450" w:type="dxa"/>
            <w:tcBorders>
              <w:top w:val="single" w:sz="4" w:space="0" w:color="auto"/>
              <w:bottom w:val="nil"/>
            </w:tcBorders>
            <w:noWrap/>
            <w:textDirection w:val="btLr"/>
          </w:tcPr>
          <w:p w:rsidR="00BC59A1" w:rsidRPr="008F097E" w:rsidRDefault="00BC59A1" w:rsidP="00BC59A1">
            <w:pPr>
              <w:ind w:left="113" w:right="113"/>
              <w:jc w:val="center"/>
              <w:rPr>
                <w:sz w:val="14"/>
                <w:szCs w:val="14"/>
                <w:vertAlign w:val="superscript"/>
              </w:rPr>
            </w:pPr>
            <w:r>
              <w:rPr>
                <w:sz w:val="14"/>
                <w:szCs w:val="14"/>
              </w:rPr>
              <w:t>Drug Offense Rates</w:t>
            </w:r>
            <w:r>
              <w:rPr>
                <w:sz w:val="14"/>
                <w:szCs w:val="14"/>
                <w:vertAlign w:val="superscript"/>
              </w:rPr>
              <w:t>a</w:t>
            </w:r>
          </w:p>
        </w:tc>
        <w:tc>
          <w:tcPr>
            <w:tcW w:w="590" w:type="dxa"/>
            <w:tcBorders>
              <w:top w:val="single" w:sz="4" w:space="0" w:color="auto"/>
              <w:bottom w:val="nil"/>
              <w:right w:val="nil"/>
            </w:tcBorders>
            <w:shd w:val="clear" w:color="auto" w:fill="FFFFFF" w:themeFill="background1"/>
            <w:textDirection w:val="btLr"/>
          </w:tcPr>
          <w:p w:rsidR="00BC59A1" w:rsidRPr="008266D4" w:rsidRDefault="00BC59A1" w:rsidP="00BC59A1">
            <w:pPr>
              <w:ind w:left="113" w:right="113"/>
              <w:jc w:val="right"/>
              <w:rPr>
                <w:sz w:val="12"/>
                <w:szCs w:val="12"/>
              </w:rPr>
            </w:pPr>
            <w:r>
              <w:rPr>
                <w:sz w:val="12"/>
                <w:szCs w:val="12"/>
              </w:rPr>
              <w:t>-.81</w:t>
            </w:r>
            <w:r w:rsidRPr="008266D4">
              <w:rPr>
                <w:sz w:val="12"/>
                <w:szCs w:val="12"/>
              </w:rPr>
              <w:t>*</w:t>
            </w:r>
          </w:p>
          <w:p w:rsidR="00BC59A1" w:rsidRPr="008266D4" w:rsidRDefault="00BC59A1" w:rsidP="00BC59A1">
            <w:pPr>
              <w:ind w:left="113" w:right="113"/>
              <w:jc w:val="right"/>
              <w:rPr>
                <w:sz w:val="12"/>
                <w:szCs w:val="12"/>
              </w:rPr>
            </w:pPr>
            <w:r>
              <w:rPr>
                <w:sz w:val="12"/>
                <w:szCs w:val="12"/>
              </w:rPr>
              <w:t>(.40</w:t>
            </w:r>
            <w:r w:rsidRPr="008266D4">
              <w:rPr>
                <w:sz w:val="12"/>
                <w:szCs w:val="12"/>
              </w:rPr>
              <w:t>)</w:t>
            </w:r>
          </w:p>
        </w:tc>
        <w:tc>
          <w:tcPr>
            <w:tcW w:w="528" w:type="dxa"/>
            <w:tcBorders>
              <w:top w:val="single" w:sz="4" w:space="0" w:color="auto"/>
              <w:left w:val="nil"/>
              <w:bottom w:val="nil"/>
              <w:right w:val="nil"/>
            </w:tcBorders>
            <w:shd w:val="clear" w:color="auto" w:fill="E7E6E6" w:themeFill="background2"/>
            <w:noWrap/>
            <w:textDirection w:val="btLr"/>
          </w:tcPr>
          <w:p w:rsidR="00BC59A1" w:rsidRPr="008266D4" w:rsidRDefault="00BC59A1" w:rsidP="00BC59A1">
            <w:pPr>
              <w:ind w:left="113" w:right="113"/>
              <w:jc w:val="right"/>
              <w:rPr>
                <w:sz w:val="12"/>
                <w:szCs w:val="12"/>
              </w:rPr>
            </w:pPr>
            <w:r>
              <w:rPr>
                <w:sz w:val="12"/>
                <w:szCs w:val="12"/>
              </w:rPr>
              <w:t>-1.52</w:t>
            </w:r>
            <w:r w:rsidRPr="008266D4">
              <w:rPr>
                <w:sz w:val="12"/>
                <w:szCs w:val="12"/>
              </w:rPr>
              <w:t>***</w:t>
            </w:r>
          </w:p>
          <w:p w:rsidR="00BC59A1" w:rsidRPr="008266D4" w:rsidRDefault="00BC59A1" w:rsidP="00BC59A1">
            <w:pPr>
              <w:ind w:left="113" w:right="113"/>
              <w:jc w:val="right"/>
              <w:rPr>
                <w:sz w:val="12"/>
                <w:szCs w:val="12"/>
              </w:rPr>
            </w:pPr>
            <w:r>
              <w:rPr>
                <w:sz w:val="12"/>
                <w:szCs w:val="12"/>
              </w:rPr>
              <w:t>(.41</w:t>
            </w:r>
            <w:r w:rsidRPr="008266D4">
              <w:rPr>
                <w:sz w:val="12"/>
                <w:szCs w:val="12"/>
              </w:rPr>
              <w:t>)</w:t>
            </w:r>
          </w:p>
          <w:p w:rsidR="00BC59A1" w:rsidRPr="008266D4" w:rsidRDefault="00BC59A1" w:rsidP="00BC59A1">
            <w:pPr>
              <w:ind w:left="113" w:right="113"/>
              <w:jc w:val="right"/>
              <w:rPr>
                <w:sz w:val="12"/>
                <w:szCs w:val="12"/>
              </w:rPr>
            </w:pPr>
          </w:p>
        </w:tc>
        <w:tc>
          <w:tcPr>
            <w:tcW w:w="862" w:type="dxa"/>
            <w:tcBorders>
              <w:top w:val="single" w:sz="4" w:space="0" w:color="auto"/>
              <w:bottom w:val="nil"/>
            </w:tcBorders>
            <w:textDirection w:val="btLr"/>
          </w:tcPr>
          <w:p w:rsidR="00BC59A1" w:rsidRPr="008266D4" w:rsidRDefault="00BC59A1" w:rsidP="00BC59A1">
            <w:pPr>
              <w:ind w:left="113" w:right="113"/>
              <w:jc w:val="right"/>
              <w:rPr>
                <w:sz w:val="12"/>
                <w:szCs w:val="12"/>
              </w:rPr>
            </w:pPr>
            <w:r>
              <w:rPr>
                <w:sz w:val="12"/>
                <w:szCs w:val="12"/>
              </w:rPr>
              <w:t>.11</w:t>
            </w:r>
          </w:p>
          <w:p w:rsidR="00BC59A1" w:rsidRPr="008266D4" w:rsidRDefault="00BC59A1" w:rsidP="00BC59A1">
            <w:pPr>
              <w:ind w:left="113" w:right="113"/>
              <w:jc w:val="right"/>
              <w:rPr>
                <w:sz w:val="12"/>
                <w:szCs w:val="12"/>
              </w:rPr>
            </w:pPr>
            <w:r>
              <w:rPr>
                <w:sz w:val="12"/>
                <w:szCs w:val="12"/>
              </w:rPr>
              <w:t>.00</w:t>
            </w:r>
          </w:p>
          <w:p w:rsidR="00BC59A1" w:rsidRPr="008266D4" w:rsidRDefault="00BC59A1" w:rsidP="00BC59A1">
            <w:pPr>
              <w:ind w:left="113" w:right="113"/>
              <w:jc w:val="right"/>
              <w:rPr>
                <w:sz w:val="12"/>
                <w:szCs w:val="12"/>
              </w:rPr>
            </w:pPr>
            <w:r>
              <w:rPr>
                <w:sz w:val="12"/>
                <w:szCs w:val="12"/>
              </w:rPr>
              <w:t>.15</w:t>
            </w:r>
          </w:p>
          <w:p w:rsidR="00BC59A1" w:rsidRDefault="00BC59A1" w:rsidP="00BC59A1">
            <w:pPr>
              <w:ind w:left="113" w:right="113"/>
              <w:jc w:val="right"/>
              <w:rPr>
                <w:sz w:val="12"/>
                <w:szCs w:val="12"/>
              </w:rPr>
            </w:pPr>
            <w:r>
              <w:rPr>
                <w:sz w:val="12"/>
                <w:szCs w:val="12"/>
              </w:rPr>
              <w:t>325</w:t>
            </w:r>
          </w:p>
          <w:p w:rsidR="00BC59A1" w:rsidRPr="008266D4" w:rsidRDefault="00BC59A1" w:rsidP="00BC59A1">
            <w:pPr>
              <w:ind w:left="113" w:right="113"/>
              <w:jc w:val="right"/>
              <w:rPr>
                <w:sz w:val="12"/>
                <w:szCs w:val="12"/>
              </w:rPr>
            </w:pPr>
            <w:r>
              <w:rPr>
                <w:sz w:val="12"/>
                <w:szCs w:val="12"/>
              </w:rPr>
              <w:t>77</w:t>
            </w:r>
          </w:p>
        </w:tc>
        <w:tc>
          <w:tcPr>
            <w:tcW w:w="1658" w:type="dxa"/>
            <w:vMerge w:val="restart"/>
            <w:tcBorders>
              <w:top w:val="nil"/>
              <w:bottom w:val="nil"/>
              <w:right w:val="nil"/>
            </w:tcBorders>
            <w:textDirection w:val="btLr"/>
          </w:tcPr>
          <w:p w:rsidR="00BC59A1" w:rsidRPr="00BC59A1" w:rsidRDefault="00BC59A1" w:rsidP="00BC59A1">
            <w:pPr>
              <w:ind w:left="113" w:right="113"/>
              <w:rPr>
                <w:sz w:val="14"/>
                <w:szCs w:val="14"/>
              </w:rPr>
            </w:pPr>
            <w:r>
              <w:rPr>
                <w:sz w:val="14"/>
                <w:szCs w:val="14"/>
              </w:rPr>
              <w:t>Note: a = logged variable.</w:t>
            </w:r>
          </w:p>
        </w:tc>
      </w:tr>
      <w:tr w:rsidR="00BC59A1" w:rsidRPr="00F810C6" w:rsidTr="00BC59A1">
        <w:trPr>
          <w:trHeight w:val="890"/>
        </w:trPr>
        <w:tc>
          <w:tcPr>
            <w:tcW w:w="306" w:type="dxa"/>
            <w:vMerge/>
            <w:tcBorders>
              <w:left w:val="nil"/>
              <w:bottom w:val="nil"/>
            </w:tcBorders>
            <w:textDirection w:val="btLr"/>
          </w:tcPr>
          <w:p w:rsidR="00BC59A1" w:rsidRPr="00F810C6" w:rsidRDefault="00BC59A1" w:rsidP="00BC59A1">
            <w:pPr>
              <w:ind w:left="113" w:right="113"/>
              <w:jc w:val="right"/>
              <w:rPr>
                <w:rFonts w:asciiTheme="minorHAnsi" w:hAnsiTheme="minorHAnsi" w:cstheme="minorBidi"/>
                <w:sz w:val="14"/>
                <w:szCs w:val="14"/>
              </w:rPr>
            </w:pPr>
          </w:p>
        </w:tc>
        <w:tc>
          <w:tcPr>
            <w:tcW w:w="324" w:type="dxa"/>
            <w:tcBorders>
              <w:top w:val="nil"/>
              <w:bottom w:val="nil"/>
            </w:tcBorders>
            <w:textDirection w:val="btLr"/>
          </w:tcPr>
          <w:p w:rsidR="00BC59A1" w:rsidRDefault="00295E9C" w:rsidP="00BC59A1">
            <w:pPr>
              <w:ind w:left="113" w:right="113"/>
              <w:jc w:val="center"/>
              <w:rPr>
                <w:sz w:val="14"/>
                <w:szCs w:val="14"/>
              </w:rPr>
            </w:pPr>
            <w:r>
              <w:rPr>
                <w:sz w:val="14"/>
                <w:szCs w:val="14"/>
              </w:rPr>
              <w:t>Model 9</w:t>
            </w:r>
          </w:p>
        </w:tc>
        <w:tc>
          <w:tcPr>
            <w:tcW w:w="450" w:type="dxa"/>
            <w:tcBorders>
              <w:top w:val="nil"/>
              <w:bottom w:val="nil"/>
            </w:tcBorders>
            <w:noWrap/>
            <w:textDirection w:val="btLr"/>
          </w:tcPr>
          <w:p w:rsidR="00BC59A1" w:rsidRPr="008F097E" w:rsidRDefault="00BC59A1" w:rsidP="00BC59A1">
            <w:pPr>
              <w:ind w:left="113" w:right="113"/>
              <w:jc w:val="center"/>
              <w:rPr>
                <w:sz w:val="14"/>
                <w:szCs w:val="14"/>
                <w:vertAlign w:val="superscript"/>
              </w:rPr>
            </w:pPr>
            <w:r>
              <w:rPr>
                <w:sz w:val="14"/>
                <w:szCs w:val="14"/>
              </w:rPr>
              <w:t>Homicide Rates</w:t>
            </w:r>
            <w:r>
              <w:rPr>
                <w:sz w:val="14"/>
                <w:szCs w:val="14"/>
                <w:vertAlign w:val="superscript"/>
              </w:rPr>
              <w:t>a</w:t>
            </w:r>
          </w:p>
        </w:tc>
        <w:tc>
          <w:tcPr>
            <w:tcW w:w="590" w:type="dxa"/>
            <w:tcBorders>
              <w:top w:val="nil"/>
              <w:bottom w:val="nil"/>
              <w:right w:val="nil"/>
            </w:tcBorders>
            <w:shd w:val="clear" w:color="auto" w:fill="FFFFFF" w:themeFill="background1"/>
            <w:textDirection w:val="btLr"/>
          </w:tcPr>
          <w:p w:rsidR="00BC59A1" w:rsidRPr="008266D4" w:rsidRDefault="00BC59A1" w:rsidP="00BC59A1">
            <w:pPr>
              <w:ind w:left="113" w:right="113"/>
              <w:jc w:val="right"/>
              <w:rPr>
                <w:sz w:val="12"/>
                <w:szCs w:val="12"/>
              </w:rPr>
            </w:pPr>
            <w:r>
              <w:rPr>
                <w:sz w:val="12"/>
                <w:szCs w:val="12"/>
              </w:rPr>
              <w:t>.86</w:t>
            </w:r>
            <w:r w:rsidRPr="008266D4">
              <w:rPr>
                <w:sz w:val="12"/>
                <w:szCs w:val="12"/>
              </w:rPr>
              <w:t>***</w:t>
            </w:r>
          </w:p>
          <w:p w:rsidR="00BC59A1" w:rsidRPr="008266D4" w:rsidRDefault="00BC59A1" w:rsidP="00BC59A1">
            <w:pPr>
              <w:ind w:left="113" w:right="113"/>
              <w:jc w:val="right"/>
              <w:rPr>
                <w:sz w:val="12"/>
                <w:szCs w:val="12"/>
              </w:rPr>
            </w:pPr>
            <w:r>
              <w:rPr>
                <w:sz w:val="12"/>
                <w:szCs w:val="12"/>
              </w:rPr>
              <w:t>(.22</w:t>
            </w:r>
            <w:r w:rsidRPr="008266D4">
              <w:rPr>
                <w:sz w:val="12"/>
                <w:szCs w:val="12"/>
              </w:rPr>
              <w:t>)</w:t>
            </w:r>
          </w:p>
        </w:tc>
        <w:tc>
          <w:tcPr>
            <w:tcW w:w="528" w:type="dxa"/>
            <w:tcBorders>
              <w:top w:val="nil"/>
              <w:left w:val="nil"/>
              <w:bottom w:val="nil"/>
              <w:right w:val="nil"/>
            </w:tcBorders>
            <w:shd w:val="clear" w:color="auto" w:fill="E7E6E6" w:themeFill="background2"/>
            <w:noWrap/>
            <w:textDirection w:val="btLr"/>
          </w:tcPr>
          <w:p w:rsidR="00BC59A1" w:rsidRPr="008266D4" w:rsidRDefault="00BC59A1" w:rsidP="00BC59A1">
            <w:pPr>
              <w:ind w:left="113" w:right="113"/>
              <w:jc w:val="right"/>
              <w:rPr>
                <w:sz w:val="12"/>
                <w:szCs w:val="12"/>
              </w:rPr>
            </w:pPr>
            <w:r>
              <w:rPr>
                <w:sz w:val="12"/>
                <w:szCs w:val="12"/>
              </w:rPr>
              <w:t>1.10</w:t>
            </w:r>
            <w:r w:rsidRPr="008266D4">
              <w:rPr>
                <w:sz w:val="12"/>
                <w:szCs w:val="12"/>
              </w:rPr>
              <w:t>***</w:t>
            </w:r>
          </w:p>
          <w:p w:rsidR="00BC59A1" w:rsidRPr="008266D4" w:rsidRDefault="00BC59A1" w:rsidP="00BC59A1">
            <w:pPr>
              <w:ind w:left="113" w:right="113"/>
              <w:jc w:val="right"/>
              <w:rPr>
                <w:sz w:val="12"/>
                <w:szCs w:val="12"/>
              </w:rPr>
            </w:pPr>
            <w:r w:rsidRPr="008266D4">
              <w:rPr>
                <w:sz w:val="12"/>
                <w:szCs w:val="12"/>
              </w:rPr>
              <w:t>(.</w:t>
            </w:r>
            <w:r>
              <w:rPr>
                <w:sz w:val="12"/>
                <w:szCs w:val="12"/>
              </w:rPr>
              <w:t>22</w:t>
            </w:r>
            <w:r w:rsidRPr="008266D4">
              <w:rPr>
                <w:sz w:val="12"/>
                <w:szCs w:val="12"/>
              </w:rPr>
              <w:t>)</w:t>
            </w:r>
          </w:p>
        </w:tc>
        <w:tc>
          <w:tcPr>
            <w:tcW w:w="862" w:type="dxa"/>
            <w:tcBorders>
              <w:top w:val="nil"/>
              <w:bottom w:val="nil"/>
            </w:tcBorders>
            <w:textDirection w:val="btLr"/>
          </w:tcPr>
          <w:p w:rsidR="00BC59A1" w:rsidRPr="008266D4" w:rsidRDefault="00BC59A1" w:rsidP="00BC59A1">
            <w:pPr>
              <w:ind w:left="113" w:right="113"/>
              <w:jc w:val="right"/>
              <w:rPr>
                <w:sz w:val="12"/>
                <w:szCs w:val="12"/>
              </w:rPr>
            </w:pPr>
            <w:r w:rsidRPr="008266D4">
              <w:rPr>
                <w:sz w:val="12"/>
                <w:szCs w:val="12"/>
              </w:rPr>
              <w:t>.2</w:t>
            </w:r>
            <w:r>
              <w:rPr>
                <w:sz w:val="12"/>
                <w:szCs w:val="12"/>
              </w:rPr>
              <w:t>3</w:t>
            </w:r>
          </w:p>
          <w:p w:rsidR="00BC59A1" w:rsidRPr="008266D4" w:rsidRDefault="00BC59A1" w:rsidP="00BC59A1">
            <w:pPr>
              <w:ind w:left="113" w:right="113"/>
              <w:jc w:val="right"/>
              <w:rPr>
                <w:sz w:val="12"/>
                <w:szCs w:val="12"/>
              </w:rPr>
            </w:pPr>
            <w:r>
              <w:rPr>
                <w:sz w:val="12"/>
                <w:szCs w:val="12"/>
              </w:rPr>
              <w:t>.00</w:t>
            </w:r>
          </w:p>
          <w:p w:rsidR="00BC59A1" w:rsidRPr="008266D4" w:rsidRDefault="00BC59A1" w:rsidP="00BC59A1">
            <w:pPr>
              <w:ind w:left="113" w:right="113"/>
              <w:jc w:val="right"/>
              <w:rPr>
                <w:sz w:val="12"/>
                <w:szCs w:val="12"/>
              </w:rPr>
            </w:pPr>
            <w:r>
              <w:rPr>
                <w:sz w:val="12"/>
                <w:szCs w:val="12"/>
              </w:rPr>
              <w:t>.27</w:t>
            </w:r>
          </w:p>
          <w:p w:rsidR="00BC59A1" w:rsidRPr="008266D4" w:rsidRDefault="00BC59A1" w:rsidP="00BC59A1">
            <w:pPr>
              <w:ind w:left="113" w:right="113"/>
              <w:jc w:val="right"/>
              <w:rPr>
                <w:sz w:val="12"/>
                <w:szCs w:val="12"/>
              </w:rPr>
            </w:pPr>
            <w:r>
              <w:rPr>
                <w:sz w:val="12"/>
                <w:szCs w:val="12"/>
              </w:rPr>
              <w:t>325</w:t>
            </w:r>
          </w:p>
          <w:p w:rsidR="00BC59A1" w:rsidRPr="008266D4" w:rsidRDefault="00BC59A1" w:rsidP="00BC59A1">
            <w:pPr>
              <w:ind w:left="113" w:right="113"/>
              <w:jc w:val="right"/>
              <w:rPr>
                <w:sz w:val="12"/>
                <w:szCs w:val="12"/>
              </w:rPr>
            </w:pPr>
            <w:r>
              <w:rPr>
                <w:sz w:val="12"/>
                <w:szCs w:val="12"/>
              </w:rPr>
              <w:t>77</w:t>
            </w:r>
          </w:p>
        </w:tc>
        <w:tc>
          <w:tcPr>
            <w:tcW w:w="1658" w:type="dxa"/>
            <w:vMerge/>
            <w:tcBorders>
              <w:top w:val="nil"/>
              <w:bottom w:val="nil"/>
              <w:right w:val="nil"/>
            </w:tcBorders>
            <w:textDirection w:val="btLr"/>
          </w:tcPr>
          <w:p w:rsidR="00BC59A1" w:rsidRPr="00F810C6" w:rsidRDefault="00BC59A1" w:rsidP="00BC59A1">
            <w:pPr>
              <w:ind w:left="113" w:right="113"/>
              <w:rPr>
                <w:rFonts w:asciiTheme="minorHAnsi" w:hAnsiTheme="minorHAnsi" w:cstheme="minorBidi"/>
                <w:sz w:val="14"/>
                <w:szCs w:val="14"/>
              </w:rPr>
            </w:pPr>
          </w:p>
        </w:tc>
      </w:tr>
      <w:tr w:rsidR="00BC59A1" w:rsidRPr="00F810C6" w:rsidTr="00BC59A1">
        <w:trPr>
          <w:trHeight w:val="890"/>
        </w:trPr>
        <w:tc>
          <w:tcPr>
            <w:tcW w:w="306" w:type="dxa"/>
            <w:vMerge/>
            <w:tcBorders>
              <w:left w:val="nil"/>
              <w:bottom w:val="nil"/>
            </w:tcBorders>
            <w:textDirection w:val="btLr"/>
          </w:tcPr>
          <w:p w:rsidR="00BC59A1" w:rsidRPr="00F810C6" w:rsidRDefault="00BC59A1" w:rsidP="00BC59A1">
            <w:pPr>
              <w:ind w:left="113" w:right="113"/>
              <w:jc w:val="right"/>
              <w:rPr>
                <w:rFonts w:asciiTheme="minorHAnsi" w:hAnsiTheme="minorHAnsi" w:cstheme="minorBidi"/>
                <w:sz w:val="14"/>
                <w:szCs w:val="14"/>
              </w:rPr>
            </w:pPr>
          </w:p>
        </w:tc>
        <w:tc>
          <w:tcPr>
            <w:tcW w:w="324" w:type="dxa"/>
            <w:tcBorders>
              <w:top w:val="nil"/>
              <w:bottom w:val="nil"/>
            </w:tcBorders>
            <w:textDirection w:val="btLr"/>
          </w:tcPr>
          <w:p w:rsidR="00BC59A1" w:rsidRDefault="00295E9C" w:rsidP="00BC59A1">
            <w:pPr>
              <w:ind w:left="113" w:right="113"/>
              <w:jc w:val="center"/>
              <w:rPr>
                <w:sz w:val="14"/>
                <w:szCs w:val="14"/>
              </w:rPr>
            </w:pPr>
            <w:r>
              <w:rPr>
                <w:sz w:val="14"/>
                <w:szCs w:val="14"/>
              </w:rPr>
              <w:t>Model 8</w:t>
            </w:r>
          </w:p>
        </w:tc>
        <w:tc>
          <w:tcPr>
            <w:tcW w:w="450" w:type="dxa"/>
            <w:tcBorders>
              <w:top w:val="nil"/>
              <w:bottom w:val="nil"/>
            </w:tcBorders>
            <w:noWrap/>
            <w:textDirection w:val="btLr"/>
          </w:tcPr>
          <w:p w:rsidR="00BC59A1" w:rsidRPr="00F810C6" w:rsidRDefault="00BC59A1" w:rsidP="00BC59A1">
            <w:pPr>
              <w:ind w:left="113" w:right="113"/>
              <w:jc w:val="center"/>
              <w:rPr>
                <w:sz w:val="14"/>
                <w:szCs w:val="14"/>
              </w:rPr>
            </w:pPr>
            <w:r>
              <w:rPr>
                <w:sz w:val="14"/>
                <w:szCs w:val="14"/>
              </w:rPr>
              <w:t>Secondary Education</w:t>
            </w:r>
          </w:p>
        </w:tc>
        <w:tc>
          <w:tcPr>
            <w:tcW w:w="590" w:type="dxa"/>
            <w:tcBorders>
              <w:top w:val="nil"/>
              <w:bottom w:val="nil"/>
              <w:right w:val="nil"/>
            </w:tcBorders>
            <w:shd w:val="clear" w:color="auto" w:fill="FFFFFF" w:themeFill="background1"/>
            <w:textDirection w:val="btLr"/>
          </w:tcPr>
          <w:p w:rsidR="00BC59A1" w:rsidRPr="008266D4" w:rsidRDefault="00BC59A1" w:rsidP="00BC59A1">
            <w:pPr>
              <w:ind w:left="113" w:right="113"/>
              <w:jc w:val="right"/>
              <w:rPr>
                <w:sz w:val="12"/>
                <w:szCs w:val="12"/>
              </w:rPr>
            </w:pPr>
            <w:r>
              <w:rPr>
                <w:sz w:val="12"/>
                <w:szCs w:val="12"/>
              </w:rPr>
              <w:t>-3.11</w:t>
            </w:r>
          </w:p>
          <w:p w:rsidR="00BC59A1" w:rsidRPr="008266D4" w:rsidRDefault="00BC59A1" w:rsidP="00BC59A1">
            <w:pPr>
              <w:ind w:left="113" w:right="113"/>
              <w:jc w:val="right"/>
              <w:rPr>
                <w:sz w:val="12"/>
                <w:szCs w:val="12"/>
              </w:rPr>
            </w:pPr>
            <w:r>
              <w:rPr>
                <w:sz w:val="12"/>
                <w:szCs w:val="12"/>
              </w:rPr>
              <w:t>(4.11</w:t>
            </w:r>
            <w:r w:rsidRPr="008266D4">
              <w:rPr>
                <w:sz w:val="12"/>
                <w:szCs w:val="12"/>
              </w:rPr>
              <w:t>)</w:t>
            </w:r>
          </w:p>
        </w:tc>
        <w:tc>
          <w:tcPr>
            <w:tcW w:w="528" w:type="dxa"/>
            <w:tcBorders>
              <w:top w:val="nil"/>
              <w:left w:val="nil"/>
              <w:bottom w:val="nil"/>
              <w:right w:val="nil"/>
            </w:tcBorders>
            <w:shd w:val="clear" w:color="auto" w:fill="E7E6E6" w:themeFill="background2"/>
            <w:noWrap/>
            <w:textDirection w:val="btLr"/>
          </w:tcPr>
          <w:p w:rsidR="00BC59A1" w:rsidRPr="008266D4" w:rsidRDefault="00BC59A1" w:rsidP="00BC59A1">
            <w:pPr>
              <w:ind w:left="113" w:right="113"/>
              <w:jc w:val="right"/>
              <w:rPr>
                <w:sz w:val="12"/>
                <w:szCs w:val="12"/>
              </w:rPr>
            </w:pPr>
            <w:r w:rsidRPr="008266D4">
              <w:rPr>
                <w:sz w:val="12"/>
                <w:szCs w:val="12"/>
              </w:rPr>
              <w:t>-</w:t>
            </w:r>
            <w:r>
              <w:rPr>
                <w:sz w:val="12"/>
                <w:szCs w:val="12"/>
              </w:rPr>
              <w:t>2.53</w:t>
            </w:r>
          </w:p>
          <w:p w:rsidR="00BC59A1" w:rsidRPr="008266D4" w:rsidRDefault="00BC59A1" w:rsidP="00BC59A1">
            <w:pPr>
              <w:ind w:left="113" w:right="113"/>
              <w:jc w:val="right"/>
              <w:rPr>
                <w:sz w:val="12"/>
                <w:szCs w:val="12"/>
              </w:rPr>
            </w:pPr>
            <w:r>
              <w:rPr>
                <w:sz w:val="12"/>
                <w:szCs w:val="12"/>
              </w:rPr>
              <w:t>(4.19)</w:t>
            </w:r>
          </w:p>
        </w:tc>
        <w:tc>
          <w:tcPr>
            <w:tcW w:w="862" w:type="dxa"/>
            <w:tcBorders>
              <w:top w:val="nil"/>
              <w:bottom w:val="nil"/>
            </w:tcBorders>
            <w:textDirection w:val="btLr"/>
          </w:tcPr>
          <w:p w:rsidR="00BC59A1" w:rsidRPr="008266D4" w:rsidRDefault="00BC59A1" w:rsidP="00BC59A1">
            <w:pPr>
              <w:ind w:left="113" w:right="113"/>
              <w:jc w:val="right"/>
              <w:rPr>
                <w:sz w:val="12"/>
                <w:szCs w:val="12"/>
              </w:rPr>
            </w:pPr>
            <w:r w:rsidRPr="008266D4">
              <w:rPr>
                <w:sz w:val="12"/>
                <w:szCs w:val="12"/>
              </w:rPr>
              <w:t>.</w:t>
            </w:r>
            <w:r>
              <w:rPr>
                <w:sz w:val="12"/>
                <w:szCs w:val="12"/>
              </w:rPr>
              <w:t>004</w:t>
            </w:r>
          </w:p>
          <w:p w:rsidR="00BC59A1" w:rsidRPr="008266D4" w:rsidRDefault="00BC59A1" w:rsidP="00BC59A1">
            <w:pPr>
              <w:ind w:left="113" w:right="113"/>
              <w:jc w:val="right"/>
              <w:rPr>
                <w:sz w:val="12"/>
                <w:szCs w:val="12"/>
              </w:rPr>
            </w:pPr>
            <w:r>
              <w:rPr>
                <w:sz w:val="12"/>
                <w:szCs w:val="12"/>
              </w:rPr>
              <w:t>.00</w:t>
            </w:r>
          </w:p>
          <w:p w:rsidR="00BC59A1" w:rsidRPr="008266D4" w:rsidRDefault="00BC59A1" w:rsidP="00BC59A1">
            <w:pPr>
              <w:ind w:left="113" w:right="113"/>
              <w:jc w:val="right"/>
              <w:rPr>
                <w:sz w:val="12"/>
                <w:szCs w:val="12"/>
              </w:rPr>
            </w:pPr>
            <w:r>
              <w:rPr>
                <w:sz w:val="12"/>
                <w:szCs w:val="12"/>
              </w:rPr>
              <w:t>.01</w:t>
            </w:r>
          </w:p>
          <w:p w:rsidR="00BC59A1" w:rsidRDefault="00BC59A1" w:rsidP="00BC59A1">
            <w:pPr>
              <w:ind w:left="113" w:right="113"/>
              <w:jc w:val="right"/>
              <w:rPr>
                <w:sz w:val="12"/>
                <w:szCs w:val="12"/>
              </w:rPr>
            </w:pPr>
            <w:r>
              <w:rPr>
                <w:sz w:val="12"/>
                <w:szCs w:val="12"/>
              </w:rPr>
              <w:t>325</w:t>
            </w:r>
          </w:p>
          <w:p w:rsidR="00BC59A1" w:rsidRPr="008266D4" w:rsidRDefault="00BC59A1" w:rsidP="00BC59A1">
            <w:pPr>
              <w:ind w:left="113" w:right="113"/>
              <w:jc w:val="right"/>
              <w:rPr>
                <w:sz w:val="12"/>
                <w:szCs w:val="12"/>
              </w:rPr>
            </w:pPr>
            <w:r>
              <w:rPr>
                <w:sz w:val="12"/>
                <w:szCs w:val="12"/>
              </w:rPr>
              <w:t>77</w:t>
            </w:r>
          </w:p>
        </w:tc>
        <w:tc>
          <w:tcPr>
            <w:tcW w:w="1658" w:type="dxa"/>
            <w:vMerge/>
            <w:tcBorders>
              <w:top w:val="nil"/>
              <w:bottom w:val="nil"/>
              <w:right w:val="nil"/>
            </w:tcBorders>
            <w:textDirection w:val="btLr"/>
          </w:tcPr>
          <w:p w:rsidR="00BC59A1" w:rsidRPr="00F810C6" w:rsidRDefault="00BC59A1" w:rsidP="00BC59A1">
            <w:pPr>
              <w:ind w:left="113" w:right="113"/>
              <w:rPr>
                <w:rFonts w:asciiTheme="minorHAnsi" w:hAnsiTheme="minorHAnsi" w:cstheme="minorBidi"/>
                <w:sz w:val="14"/>
                <w:szCs w:val="14"/>
              </w:rPr>
            </w:pPr>
          </w:p>
        </w:tc>
      </w:tr>
      <w:tr w:rsidR="00BC59A1" w:rsidRPr="00F810C6" w:rsidTr="00BC59A1">
        <w:trPr>
          <w:trHeight w:val="890"/>
        </w:trPr>
        <w:tc>
          <w:tcPr>
            <w:tcW w:w="306" w:type="dxa"/>
            <w:vMerge/>
            <w:tcBorders>
              <w:left w:val="nil"/>
              <w:bottom w:val="nil"/>
            </w:tcBorders>
            <w:textDirection w:val="btLr"/>
          </w:tcPr>
          <w:p w:rsidR="00BC59A1" w:rsidRPr="00F810C6" w:rsidRDefault="00BC59A1" w:rsidP="00BC59A1">
            <w:pPr>
              <w:ind w:left="113" w:right="113"/>
              <w:jc w:val="right"/>
              <w:rPr>
                <w:rFonts w:asciiTheme="minorHAnsi" w:hAnsiTheme="minorHAnsi" w:cstheme="minorBidi"/>
                <w:sz w:val="14"/>
                <w:szCs w:val="14"/>
              </w:rPr>
            </w:pPr>
          </w:p>
        </w:tc>
        <w:tc>
          <w:tcPr>
            <w:tcW w:w="324" w:type="dxa"/>
            <w:tcBorders>
              <w:top w:val="nil"/>
              <w:bottom w:val="nil"/>
            </w:tcBorders>
            <w:textDirection w:val="btLr"/>
          </w:tcPr>
          <w:p w:rsidR="00BC59A1" w:rsidRDefault="00295E9C" w:rsidP="00BC59A1">
            <w:pPr>
              <w:ind w:left="113" w:right="113"/>
              <w:jc w:val="center"/>
              <w:rPr>
                <w:sz w:val="14"/>
                <w:szCs w:val="14"/>
              </w:rPr>
            </w:pPr>
            <w:r>
              <w:rPr>
                <w:sz w:val="14"/>
                <w:szCs w:val="14"/>
              </w:rPr>
              <w:t>Model 7</w:t>
            </w:r>
          </w:p>
        </w:tc>
        <w:tc>
          <w:tcPr>
            <w:tcW w:w="450" w:type="dxa"/>
            <w:tcBorders>
              <w:top w:val="nil"/>
              <w:bottom w:val="nil"/>
            </w:tcBorders>
            <w:noWrap/>
            <w:textDirection w:val="btLr"/>
          </w:tcPr>
          <w:p w:rsidR="00BC59A1" w:rsidRPr="00F810C6" w:rsidRDefault="00BC59A1" w:rsidP="00BC59A1">
            <w:pPr>
              <w:ind w:left="113" w:right="113"/>
              <w:jc w:val="center"/>
              <w:rPr>
                <w:sz w:val="14"/>
                <w:szCs w:val="14"/>
              </w:rPr>
            </w:pPr>
            <w:r>
              <w:rPr>
                <w:sz w:val="14"/>
                <w:szCs w:val="14"/>
              </w:rPr>
              <w:t>Physical Integrity</w:t>
            </w:r>
          </w:p>
        </w:tc>
        <w:tc>
          <w:tcPr>
            <w:tcW w:w="590" w:type="dxa"/>
            <w:tcBorders>
              <w:top w:val="nil"/>
              <w:bottom w:val="nil"/>
              <w:right w:val="nil"/>
            </w:tcBorders>
            <w:shd w:val="clear" w:color="auto" w:fill="FFFFFF" w:themeFill="background1"/>
            <w:textDirection w:val="btLr"/>
          </w:tcPr>
          <w:p w:rsidR="00BC59A1" w:rsidRPr="008266D4" w:rsidRDefault="00BC59A1" w:rsidP="00BC59A1">
            <w:pPr>
              <w:ind w:left="113" w:right="113"/>
              <w:jc w:val="right"/>
              <w:rPr>
                <w:sz w:val="12"/>
                <w:szCs w:val="12"/>
              </w:rPr>
            </w:pPr>
            <w:r>
              <w:rPr>
                <w:sz w:val="12"/>
                <w:szCs w:val="12"/>
              </w:rPr>
              <w:t>-.60</w:t>
            </w:r>
          </w:p>
          <w:p w:rsidR="00BC59A1" w:rsidRPr="008266D4" w:rsidRDefault="00BC59A1" w:rsidP="00BC59A1">
            <w:pPr>
              <w:ind w:left="113" w:right="113"/>
              <w:jc w:val="right"/>
              <w:rPr>
                <w:sz w:val="12"/>
                <w:szCs w:val="12"/>
              </w:rPr>
            </w:pPr>
            <w:r>
              <w:rPr>
                <w:sz w:val="12"/>
                <w:szCs w:val="12"/>
              </w:rPr>
              <w:t>(.57</w:t>
            </w:r>
            <w:r w:rsidRPr="008266D4">
              <w:rPr>
                <w:sz w:val="12"/>
                <w:szCs w:val="12"/>
              </w:rPr>
              <w:t>)</w:t>
            </w:r>
          </w:p>
        </w:tc>
        <w:tc>
          <w:tcPr>
            <w:tcW w:w="528" w:type="dxa"/>
            <w:tcBorders>
              <w:top w:val="nil"/>
              <w:left w:val="nil"/>
              <w:bottom w:val="nil"/>
              <w:right w:val="nil"/>
            </w:tcBorders>
            <w:shd w:val="clear" w:color="auto" w:fill="E7E6E6" w:themeFill="background2"/>
            <w:noWrap/>
            <w:textDirection w:val="btLr"/>
          </w:tcPr>
          <w:p w:rsidR="00BC59A1" w:rsidRPr="008266D4" w:rsidRDefault="00BC59A1" w:rsidP="00BC59A1">
            <w:pPr>
              <w:ind w:left="113" w:right="113"/>
              <w:jc w:val="right"/>
              <w:rPr>
                <w:sz w:val="12"/>
                <w:szCs w:val="12"/>
              </w:rPr>
            </w:pPr>
            <w:r>
              <w:rPr>
                <w:sz w:val="12"/>
                <w:szCs w:val="12"/>
              </w:rPr>
              <w:t>-.64</w:t>
            </w:r>
          </w:p>
          <w:p w:rsidR="00BC59A1" w:rsidRPr="008266D4" w:rsidRDefault="00BC59A1" w:rsidP="00BC59A1">
            <w:pPr>
              <w:ind w:left="113" w:right="113"/>
              <w:jc w:val="right"/>
              <w:rPr>
                <w:sz w:val="12"/>
                <w:szCs w:val="12"/>
              </w:rPr>
            </w:pPr>
            <w:r>
              <w:rPr>
                <w:sz w:val="12"/>
                <w:szCs w:val="12"/>
              </w:rPr>
              <w:t>(.58</w:t>
            </w:r>
            <w:r w:rsidRPr="008266D4">
              <w:rPr>
                <w:sz w:val="12"/>
                <w:szCs w:val="12"/>
              </w:rPr>
              <w:t>)</w:t>
            </w:r>
          </w:p>
        </w:tc>
        <w:tc>
          <w:tcPr>
            <w:tcW w:w="862" w:type="dxa"/>
            <w:tcBorders>
              <w:top w:val="nil"/>
              <w:bottom w:val="nil"/>
            </w:tcBorders>
            <w:textDirection w:val="btLr"/>
          </w:tcPr>
          <w:p w:rsidR="00BC59A1" w:rsidRPr="008266D4" w:rsidRDefault="00BC59A1" w:rsidP="00BC59A1">
            <w:pPr>
              <w:ind w:left="113" w:right="113"/>
              <w:jc w:val="right"/>
              <w:rPr>
                <w:sz w:val="12"/>
                <w:szCs w:val="12"/>
              </w:rPr>
            </w:pPr>
            <w:r>
              <w:rPr>
                <w:sz w:val="12"/>
                <w:szCs w:val="12"/>
              </w:rPr>
              <w:t>.03</w:t>
            </w:r>
          </w:p>
          <w:p w:rsidR="00BC59A1" w:rsidRPr="008266D4" w:rsidRDefault="00BC59A1" w:rsidP="00BC59A1">
            <w:pPr>
              <w:ind w:left="113" w:right="113"/>
              <w:jc w:val="right"/>
              <w:rPr>
                <w:sz w:val="12"/>
                <w:szCs w:val="12"/>
              </w:rPr>
            </w:pPr>
            <w:r>
              <w:rPr>
                <w:sz w:val="12"/>
                <w:szCs w:val="12"/>
              </w:rPr>
              <w:t>.00</w:t>
            </w:r>
          </w:p>
          <w:p w:rsidR="00BC59A1" w:rsidRPr="008266D4" w:rsidRDefault="00BC59A1" w:rsidP="00BC59A1">
            <w:pPr>
              <w:ind w:left="113" w:right="113"/>
              <w:jc w:val="right"/>
              <w:rPr>
                <w:sz w:val="12"/>
                <w:szCs w:val="12"/>
              </w:rPr>
            </w:pPr>
            <w:r>
              <w:rPr>
                <w:sz w:val="12"/>
                <w:szCs w:val="12"/>
              </w:rPr>
              <w:t>.02</w:t>
            </w:r>
          </w:p>
          <w:p w:rsidR="00BC59A1" w:rsidRDefault="00BC59A1" w:rsidP="00BC59A1">
            <w:pPr>
              <w:ind w:left="113" w:right="113"/>
              <w:jc w:val="right"/>
              <w:rPr>
                <w:sz w:val="12"/>
                <w:szCs w:val="12"/>
              </w:rPr>
            </w:pPr>
            <w:r>
              <w:rPr>
                <w:sz w:val="12"/>
                <w:szCs w:val="12"/>
              </w:rPr>
              <w:t>325</w:t>
            </w:r>
          </w:p>
          <w:p w:rsidR="00BC59A1" w:rsidRPr="008266D4" w:rsidRDefault="00BC59A1" w:rsidP="00BC59A1">
            <w:pPr>
              <w:ind w:left="113" w:right="113"/>
              <w:jc w:val="right"/>
              <w:rPr>
                <w:sz w:val="12"/>
                <w:szCs w:val="12"/>
              </w:rPr>
            </w:pPr>
            <w:r>
              <w:rPr>
                <w:sz w:val="12"/>
                <w:szCs w:val="12"/>
              </w:rPr>
              <w:t>77</w:t>
            </w:r>
          </w:p>
        </w:tc>
        <w:tc>
          <w:tcPr>
            <w:tcW w:w="1658" w:type="dxa"/>
            <w:vMerge/>
            <w:tcBorders>
              <w:top w:val="nil"/>
              <w:bottom w:val="nil"/>
              <w:right w:val="nil"/>
            </w:tcBorders>
            <w:textDirection w:val="btLr"/>
          </w:tcPr>
          <w:p w:rsidR="00BC59A1" w:rsidRPr="00F810C6" w:rsidRDefault="00BC59A1" w:rsidP="00BC59A1">
            <w:pPr>
              <w:ind w:left="113" w:right="113"/>
              <w:rPr>
                <w:rFonts w:asciiTheme="minorHAnsi" w:hAnsiTheme="minorHAnsi" w:cstheme="minorBidi"/>
                <w:sz w:val="14"/>
                <w:szCs w:val="14"/>
              </w:rPr>
            </w:pPr>
          </w:p>
        </w:tc>
      </w:tr>
      <w:tr w:rsidR="00BC59A1" w:rsidRPr="00F810C6" w:rsidTr="00BC59A1">
        <w:trPr>
          <w:trHeight w:val="980"/>
        </w:trPr>
        <w:tc>
          <w:tcPr>
            <w:tcW w:w="306" w:type="dxa"/>
            <w:vMerge/>
            <w:tcBorders>
              <w:left w:val="nil"/>
              <w:bottom w:val="nil"/>
            </w:tcBorders>
            <w:textDirection w:val="btLr"/>
          </w:tcPr>
          <w:p w:rsidR="00BC59A1" w:rsidRPr="00F810C6" w:rsidRDefault="00BC59A1" w:rsidP="00BC59A1">
            <w:pPr>
              <w:ind w:left="113" w:right="113"/>
              <w:jc w:val="right"/>
              <w:rPr>
                <w:rFonts w:asciiTheme="minorHAnsi" w:hAnsiTheme="minorHAnsi" w:cstheme="minorBidi"/>
                <w:sz w:val="14"/>
                <w:szCs w:val="14"/>
              </w:rPr>
            </w:pPr>
          </w:p>
        </w:tc>
        <w:tc>
          <w:tcPr>
            <w:tcW w:w="324" w:type="dxa"/>
            <w:tcBorders>
              <w:top w:val="nil"/>
              <w:bottom w:val="nil"/>
            </w:tcBorders>
            <w:textDirection w:val="btLr"/>
          </w:tcPr>
          <w:p w:rsidR="00BC59A1" w:rsidRDefault="00295E9C" w:rsidP="00BC59A1">
            <w:pPr>
              <w:ind w:left="113" w:right="113"/>
              <w:jc w:val="center"/>
              <w:rPr>
                <w:sz w:val="14"/>
                <w:szCs w:val="14"/>
              </w:rPr>
            </w:pPr>
            <w:r>
              <w:rPr>
                <w:sz w:val="14"/>
                <w:szCs w:val="14"/>
              </w:rPr>
              <w:t>Model 6</w:t>
            </w:r>
          </w:p>
        </w:tc>
        <w:tc>
          <w:tcPr>
            <w:tcW w:w="450" w:type="dxa"/>
            <w:tcBorders>
              <w:top w:val="nil"/>
              <w:bottom w:val="nil"/>
            </w:tcBorders>
            <w:noWrap/>
            <w:textDirection w:val="btLr"/>
          </w:tcPr>
          <w:p w:rsidR="00BC59A1" w:rsidRPr="00F810C6" w:rsidRDefault="00BC59A1" w:rsidP="00BC59A1">
            <w:pPr>
              <w:ind w:left="113" w:right="113"/>
              <w:jc w:val="center"/>
              <w:rPr>
                <w:sz w:val="14"/>
                <w:szCs w:val="14"/>
              </w:rPr>
            </w:pPr>
            <w:r>
              <w:rPr>
                <w:sz w:val="14"/>
                <w:szCs w:val="14"/>
              </w:rPr>
              <w:t>Urban</w:t>
            </w:r>
          </w:p>
        </w:tc>
        <w:tc>
          <w:tcPr>
            <w:tcW w:w="590" w:type="dxa"/>
            <w:tcBorders>
              <w:top w:val="nil"/>
              <w:bottom w:val="nil"/>
              <w:right w:val="nil"/>
            </w:tcBorders>
            <w:shd w:val="clear" w:color="auto" w:fill="FFFFFF" w:themeFill="background1"/>
            <w:textDirection w:val="btLr"/>
          </w:tcPr>
          <w:p w:rsidR="00BC59A1" w:rsidRPr="008266D4" w:rsidRDefault="00BC59A1" w:rsidP="00BC59A1">
            <w:pPr>
              <w:ind w:left="113" w:right="113"/>
              <w:jc w:val="right"/>
              <w:rPr>
                <w:sz w:val="12"/>
                <w:szCs w:val="12"/>
              </w:rPr>
            </w:pPr>
            <w:r>
              <w:rPr>
                <w:sz w:val="12"/>
                <w:szCs w:val="12"/>
              </w:rPr>
              <w:t>-11.14</w:t>
            </w:r>
            <w:r w:rsidRPr="008266D4">
              <w:rPr>
                <w:sz w:val="12"/>
                <w:szCs w:val="12"/>
              </w:rPr>
              <w:t>*</w:t>
            </w:r>
          </w:p>
          <w:p w:rsidR="00BC59A1" w:rsidRPr="008266D4" w:rsidRDefault="00BC59A1" w:rsidP="00BC59A1">
            <w:pPr>
              <w:ind w:left="113" w:right="113"/>
              <w:jc w:val="right"/>
              <w:rPr>
                <w:sz w:val="12"/>
                <w:szCs w:val="12"/>
              </w:rPr>
            </w:pPr>
            <w:r>
              <w:rPr>
                <w:sz w:val="12"/>
                <w:szCs w:val="12"/>
              </w:rPr>
              <w:t>(4.87</w:t>
            </w:r>
            <w:r w:rsidRPr="008266D4">
              <w:rPr>
                <w:sz w:val="12"/>
                <w:szCs w:val="12"/>
              </w:rPr>
              <w:t>)</w:t>
            </w:r>
          </w:p>
        </w:tc>
        <w:tc>
          <w:tcPr>
            <w:tcW w:w="528" w:type="dxa"/>
            <w:tcBorders>
              <w:top w:val="nil"/>
              <w:left w:val="nil"/>
              <w:bottom w:val="nil"/>
              <w:right w:val="nil"/>
            </w:tcBorders>
            <w:shd w:val="clear" w:color="auto" w:fill="E7E6E6" w:themeFill="background2"/>
            <w:noWrap/>
            <w:textDirection w:val="btLr"/>
          </w:tcPr>
          <w:p w:rsidR="00BC59A1" w:rsidRPr="008266D4" w:rsidRDefault="00BC59A1" w:rsidP="00BC59A1">
            <w:pPr>
              <w:ind w:left="113" w:right="113"/>
              <w:jc w:val="right"/>
              <w:rPr>
                <w:sz w:val="12"/>
                <w:szCs w:val="12"/>
              </w:rPr>
            </w:pPr>
            <w:r>
              <w:rPr>
                <w:sz w:val="12"/>
                <w:szCs w:val="12"/>
              </w:rPr>
              <w:t>-23.71</w:t>
            </w:r>
            <w:r w:rsidRPr="008266D4">
              <w:rPr>
                <w:sz w:val="12"/>
                <w:szCs w:val="12"/>
              </w:rPr>
              <w:t>***</w:t>
            </w:r>
          </w:p>
          <w:p w:rsidR="00BC59A1" w:rsidRPr="008266D4" w:rsidRDefault="00BC59A1" w:rsidP="00BC59A1">
            <w:pPr>
              <w:ind w:left="113" w:right="113"/>
              <w:jc w:val="right"/>
              <w:rPr>
                <w:sz w:val="12"/>
                <w:szCs w:val="12"/>
              </w:rPr>
            </w:pPr>
            <w:r>
              <w:rPr>
                <w:sz w:val="12"/>
                <w:szCs w:val="12"/>
              </w:rPr>
              <w:t>(4.95</w:t>
            </w:r>
            <w:r w:rsidRPr="008266D4">
              <w:rPr>
                <w:sz w:val="12"/>
                <w:szCs w:val="12"/>
              </w:rPr>
              <w:t>)</w:t>
            </w:r>
          </w:p>
        </w:tc>
        <w:tc>
          <w:tcPr>
            <w:tcW w:w="862" w:type="dxa"/>
            <w:tcBorders>
              <w:top w:val="nil"/>
              <w:bottom w:val="nil"/>
            </w:tcBorders>
            <w:textDirection w:val="btLr"/>
          </w:tcPr>
          <w:p w:rsidR="00BC59A1" w:rsidRPr="008266D4" w:rsidRDefault="00BC59A1" w:rsidP="00BC59A1">
            <w:pPr>
              <w:ind w:left="113" w:right="113"/>
              <w:jc w:val="right"/>
              <w:rPr>
                <w:sz w:val="12"/>
                <w:szCs w:val="12"/>
              </w:rPr>
            </w:pPr>
            <w:r>
              <w:rPr>
                <w:sz w:val="12"/>
                <w:szCs w:val="12"/>
              </w:rPr>
              <w:t>.25</w:t>
            </w:r>
          </w:p>
          <w:p w:rsidR="00BC59A1" w:rsidRPr="008266D4" w:rsidRDefault="00BC59A1" w:rsidP="00BC59A1">
            <w:pPr>
              <w:ind w:left="113" w:right="113"/>
              <w:jc w:val="right"/>
              <w:rPr>
                <w:sz w:val="12"/>
                <w:szCs w:val="12"/>
              </w:rPr>
            </w:pPr>
            <w:r>
              <w:rPr>
                <w:sz w:val="12"/>
                <w:szCs w:val="12"/>
              </w:rPr>
              <w:t>.00</w:t>
            </w:r>
          </w:p>
          <w:p w:rsidR="00BC59A1" w:rsidRPr="008266D4" w:rsidRDefault="00BC59A1" w:rsidP="00BC59A1">
            <w:pPr>
              <w:ind w:left="113" w:right="113"/>
              <w:jc w:val="right"/>
              <w:rPr>
                <w:sz w:val="12"/>
                <w:szCs w:val="12"/>
              </w:rPr>
            </w:pPr>
            <w:r>
              <w:rPr>
                <w:sz w:val="12"/>
                <w:szCs w:val="12"/>
              </w:rPr>
              <w:t>.23</w:t>
            </w:r>
          </w:p>
          <w:p w:rsidR="00BC59A1" w:rsidRPr="008266D4" w:rsidRDefault="00BC59A1" w:rsidP="00BC59A1">
            <w:pPr>
              <w:ind w:left="113" w:right="113"/>
              <w:jc w:val="right"/>
              <w:rPr>
                <w:sz w:val="12"/>
                <w:szCs w:val="12"/>
              </w:rPr>
            </w:pPr>
            <w:r>
              <w:rPr>
                <w:sz w:val="12"/>
                <w:szCs w:val="12"/>
              </w:rPr>
              <w:t>325</w:t>
            </w:r>
          </w:p>
          <w:p w:rsidR="00BC59A1" w:rsidRPr="008266D4" w:rsidRDefault="00BC59A1" w:rsidP="00BC59A1">
            <w:pPr>
              <w:ind w:left="113" w:right="113"/>
              <w:jc w:val="right"/>
              <w:rPr>
                <w:sz w:val="12"/>
                <w:szCs w:val="12"/>
              </w:rPr>
            </w:pPr>
            <w:r>
              <w:rPr>
                <w:sz w:val="12"/>
                <w:szCs w:val="12"/>
              </w:rPr>
              <w:t>77</w:t>
            </w:r>
          </w:p>
        </w:tc>
        <w:tc>
          <w:tcPr>
            <w:tcW w:w="1658" w:type="dxa"/>
            <w:vMerge/>
            <w:tcBorders>
              <w:top w:val="nil"/>
              <w:bottom w:val="nil"/>
              <w:right w:val="nil"/>
            </w:tcBorders>
            <w:textDirection w:val="btLr"/>
          </w:tcPr>
          <w:p w:rsidR="00BC59A1" w:rsidRPr="00F810C6" w:rsidRDefault="00BC59A1" w:rsidP="00BC59A1">
            <w:pPr>
              <w:ind w:left="113" w:right="113"/>
              <w:rPr>
                <w:rFonts w:asciiTheme="minorHAnsi" w:hAnsiTheme="minorHAnsi" w:cstheme="minorBidi"/>
                <w:sz w:val="14"/>
                <w:szCs w:val="14"/>
              </w:rPr>
            </w:pPr>
          </w:p>
        </w:tc>
      </w:tr>
      <w:tr w:rsidR="00BC59A1" w:rsidRPr="00F810C6" w:rsidTr="00BC59A1">
        <w:trPr>
          <w:trHeight w:val="926"/>
        </w:trPr>
        <w:tc>
          <w:tcPr>
            <w:tcW w:w="306" w:type="dxa"/>
            <w:vMerge/>
            <w:tcBorders>
              <w:left w:val="nil"/>
              <w:bottom w:val="nil"/>
            </w:tcBorders>
            <w:textDirection w:val="btLr"/>
          </w:tcPr>
          <w:p w:rsidR="00BC59A1" w:rsidRPr="00F810C6" w:rsidRDefault="00BC59A1" w:rsidP="00BC59A1">
            <w:pPr>
              <w:ind w:left="113" w:right="113"/>
              <w:jc w:val="right"/>
              <w:rPr>
                <w:rFonts w:asciiTheme="minorHAnsi" w:hAnsiTheme="minorHAnsi" w:cstheme="minorBidi"/>
                <w:sz w:val="14"/>
                <w:szCs w:val="14"/>
              </w:rPr>
            </w:pPr>
          </w:p>
        </w:tc>
        <w:tc>
          <w:tcPr>
            <w:tcW w:w="324" w:type="dxa"/>
            <w:tcBorders>
              <w:top w:val="nil"/>
              <w:bottom w:val="nil"/>
            </w:tcBorders>
            <w:textDirection w:val="btLr"/>
          </w:tcPr>
          <w:p w:rsidR="00BC59A1" w:rsidRDefault="00295E9C" w:rsidP="00BC59A1">
            <w:pPr>
              <w:ind w:left="113" w:right="113"/>
              <w:jc w:val="center"/>
              <w:rPr>
                <w:sz w:val="14"/>
                <w:szCs w:val="14"/>
              </w:rPr>
            </w:pPr>
            <w:r>
              <w:rPr>
                <w:sz w:val="14"/>
                <w:szCs w:val="14"/>
              </w:rPr>
              <w:t>Model 5</w:t>
            </w:r>
          </w:p>
        </w:tc>
        <w:tc>
          <w:tcPr>
            <w:tcW w:w="450" w:type="dxa"/>
            <w:tcBorders>
              <w:top w:val="nil"/>
              <w:bottom w:val="nil"/>
            </w:tcBorders>
            <w:noWrap/>
            <w:textDirection w:val="btLr"/>
          </w:tcPr>
          <w:p w:rsidR="00BC59A1" w:rsidRPr="00F810C6" w:rsidRDefault="00BC59A1" w:rsidP="00BC59A1">
            <w:pPr>
              <w:ind w:left="113" w:right="113"/>
              <w:jc w:val="center"/>
              <w:rPr>
                <w:sz w:val="14"/>
                <w:szCs w:val="14"/>
              </w:rPr>
            </w:pPr>
            <w:r>
              <w:rPr>
                <w:sz w:val="14"/>
                <w:szCs w:val="14"/>
              </w:rPr>
              <w:t>Age Cohort</w:t>
            </w:r>
          </w:p>
        </w:tc>
        <w:tc>
          <w:tcPr>
            <w:tcW w:w="590" w:type="dxa"/>
            <w:tcBorders>
              <w:top w:val="nil"/>
              <w:bottom w:val="nil"/>
              <w:right w:val="nil"/>
            </w:tcBorders>
            <w:shd w:val="clear" w:color="auto" w:fill="FFFFFF" w:themeFill="background1"/>
            <w:textDirection w:val="btLr"/>
          </w:tcPr>
          <w:p w:rsidR="00BC59A1" w:rsidRPr="008266D4" w:rsidRDefault="00BC59A1" w:rsidP="00BC59A1">
            <w:pPr>
              <w:ind w:left="113" w:right="113"/>
              <w:jc w:val="right"/>
              <w:rPr>
                <w:sz w:val="12"/>
                <w:szCs w:val="12"/>
              </w:rPr>
            </w:pPr>
            <w:r>
              <w:rPr>
                <w:sz w:val="12"/>
                <w:szCs w:val="12"/>
              </w:rPr>
              <w:t>-2.81</w:t>
            </w:r>
            <w:r w:rsidRPr="008266D4">
              <w:rPr>
                <w:sz w:val="12"/>
                <w:szCs w:val="12"/>
              </w:rPr>
              <w:t>*</w:t>
            </w:r>
          </w:p>
          <w:p w:rsidR="00BC59A1" w:rsidRPr="008266D4" w:rsidRDefault="00BC59A1" w:rsidP="00BC59A1">
            <w:pPr>
              <w:ind w:left="113" w:right="113"/>
              <w:jc w:val="right"/>
              <w:rPr>
                <w:sz w:val="12"/>
                <w:szCs w:val="12"/>
              </w:rPr>
            </w:pPr>
            <w:r>
              <w:rPr>
                <w:sz w:val="12"/>
                <w:szCs w:val="12"/>
              </w:rPr>
              <w:t>(1.15</w:t>
            </w:r>
            <w:r w:rsidRPr="008266D4">
              <w:rPr>
                <w:sz w:val="12"/>
                <w:szCs w:val="12"/>
              </w:rPr>
              <w:t>)</w:t>
            </w:r>
          </w:p>
        </w:tc>
        <w:tc>
          <w:tcPr>
            <w:tcW w:w="528" w:type="dxa"/>
            <w:tcBorders>
              <w:top w:val="nil"/>
              <w:left w:val="nil"/>
              <w:bottom w:val="nil"/>
              <w:right w:val="nil"/>
            </w:tcBorders>
            <w:shd w:val="clear" w:color="auto" w:fill="E7E6E6" w:themeFill="background2"/>
            <w:noWrap/>
            <w:textDirection w:val="btLr"/>
          </w:tcPr>
          <w:p w:rsidR="00BC59A1" w:rsidRPr="008266D4" w:rsidRDefault="00BC59A1" w:rsidP="00BC59A1">
            <w:pPr>
              <w:ind w:left="113" w:right="113"/>
              <w:jc w:val="right"/>
              <w:rPr>
                <w:sz w:val="12"/>
                <w:szCs w:val="12"/>
              </w:rPr>
            </w:pPr>
            <w:r>
              <w:rPr>
                <w:sz w:val="12"/>
                <w:szCs w:val="12"/>
              </w:rPr>
              <w:t>-3.28</w:t>
            </w:r>
            <w:r w:rsidRPr="008266D4">
              <w:rPr>
                <w:sz w:val="12"/>
                <w:szCs w:val="12"/>
              </w:rPr>
              <w:t>***</w:t>
            </w:r>
          </w:p>
          <w:p w:rsidR="00BC59A1" w:rsidRPr="008266D4" w:rsidRDefault="00BC59A1" w:rsidP="00BC59A1">
            <w:pPr>
              <w:ind w:left="113" w:right="113"/>
              <w:jc w:val="right"/>
              <w:rPr>
                <w:sz w:val="12"/>
                <w:szCs w:val="12"/>
              </w:rPr>
            </w:pPr>
            <w:r>
              <w:rPr>
                <w:sz w:val="12"/>
                <w:szCs w:val="12"/>
              </w:rPr>
              <w:t>(1.17</w:t>
            </w:r>
            <w:r w:rsidRPr="008266D4">
              <w:rPr>
                <w:sz w:val="12"/>
                <w:szCs w:val="12"/>
              </w:rPr>
              <w:t>)</w:t>
            </w:r>
          </w:p>
        </w:tc>
        <w:tc>
          <w:tcPr>
            <w:tcW w:w="862" w:type="dxa"/>
            <w:tcBorders>
              <w:top w:val="nil"/>
              <w:bottom w:val="nil"/>
            </w:tcBorders>
            <w:textDirection w:val="btLr"/>
          </w:tcPr>
          <w:p w:rsidR="00BC59A1" w:rsidRPr="008266D4" w:rsidRDefault="00BC59A1" w:rsidP="00BC59A1">
            <w:pPr>
              <w:ind w:left="113" w:right="113"/>
              <w:jc w:val="right"/>
              <w:rPr>
                <w:sz w:val="12"/>
                <w:szCs w:val="12"/>
              </w:rPr>
            </w:pPr>
            <w:r>
              <w:rPr>
                <w:sz w:val="12"/>
                <w:szCs w:val="12"/>
              </w:rPr>
              <w:t>.16</w:t>
            </w:r>
          </w:p>
          <w:p w:rsidR="00BC59A1" w:rsidRPr="008266D4" w:rsidRDefault="00BC59A1" w:rsidP="00BC59A1">
            <w:pPr>
              <w:ind w:left="113" w:right="113"/>
              <w:jc w:val="right"/>
              <w:rPr>
                <w:sz w:val="12"/>
                <w:szCs w:val="12"/>
              </w:rPr>
            </w:pPr>
            <w:r>
              <w:rPr>
                <w:sz w:val="12"/>
                <w:szCs w:val="12"/>
              </w:rPr>
              <w:t>.00</w:t>
            </w:r>
          </w:p>
          <w:p w:rsidR="00BC59A1" w:rsidRPr="008266D4" w:rsidRDefault="00BC59A1" w:rsidP="00BC59A1">
            <w:pPr>
              <w:ind w:left="113" w:right="113"/>
              <w:jc w:val="right"/>
              <w:rPr>
                <w:sz w:val="12"/>
                <w:szCs w:val="12"/>
              </w:rPr>
            </w:pPr>
            <w:r>
              <w:rPr>
                <w:sz w:val="12"/>
                <w:szCs w:val="12"/>
              </w:rPr>
              <w:t>.28</w:t>
            </w:r>
          </w:p>
          <w:p w:rsidR="00BC59A1" w:rsidRPr="008266D4" w:rsidRDefault="00BC59A1" w:rsidP="00BC59A1">
            <w:pPr>
              <w:ind w:left="113" w:right="113"/>
              <w:jc w:val="right"/>
              <w:rPr>
                <w:sz w:val="12"/>
                <w:szCs w:val="12"/>
              </w:rPr>
            </w:pPr>
            <w:r>
              <w:rPr>
                <w:sz w:val="12"/>
                <w:szCs w:val="12"/>
              </w:rPr>
              <w:t>325</w:t>
            </w:r>
          </w:p>
          <w:p w:rsidR="00BC59A1" w:rsidRPr="008266D4" w:rsidRDefault="00BC59A1" w:rsidP="00BC59A1">
            <w:pPr>
              <w:ind w:left="113" w:right="113"/>
              <w:jc w:val="right"/>
              <w:rPr>
                <w:sz w:val="12"/>
                <w:szCs w:val="12"/>
              </w:rPr>
            </w:pPr>
            <w:r>
              <w:rPr>
                <w:sz w:val="12"/>
                <w:szCs w:val="12"/>
              </w:rPr>
              <w:t>77</w:t>
            </w:r>
          </w:p>
        </w:tc>
        <w:tc>
          <w:tcPr>
            <w:tcW w:w="1658" w:type="dxa"/>
            <w:vMerge/>
            <w:tcBorders>
              <w:top w:val="nil"/>
              <w:bottom w:val="nil"/>
              <w:right w:val="nil"/>
            </w:tcBorders>
            <w:textDirection w:val="btLr"/>
          </w:tcPr>
          <w:p w:rsidR="00BC59A1" w:rsidRPr="00F810C6" w:rsidRDefault="00BC59A1" w:rsidP="00BC59A1">
            <w:pPr>
              <w:ind w:left="113" w:right="113"/>
              <w:rPr>
                <w:rFonts w:asciiTheme="minorHAnsi" w:hAnsiTheme="minorHAnsi" w:cstheme="minorBidi"/>
                <w:sz w:val="14"/>
                <w:szCs w:val="14"/>
              </w:rPr>
            </w:pPr>
          </w:p>
        </w:tc>
      </w:tr>
      <w:tr w:rsidR="00BC59A1" w:rsidRPr="00F810C6" w:rsidTr="00BC59A1">
        <w:trPr>
          <w:trHeight w:val="944"/>
        </w:trPr>
        <w:tc>
          <w:tcPr>
            <w:tcW w:w="306" w:type="dxa"/>
            <w:vMerge/>
            <w:tcBorders>
              <w:left w:val="nil"/>
              <w:bottom w:val="nil"/>
            </w:tcBorders>
            <w:textDirection w:val="btLr"/>
          </w:tcPr>
          <w:p w:rsidR="00BC59A1" w:rsidRPr="00F810C6" w:rsidRDefault="00BC59A1" w:rsidP="00BC59A1">
            <w:pPr>
              <w:ind w:left="113" w:right="113"/>
              <w:jc w:val="right"/>
              <w:rPr>
                <w:rFonts w:asciiTheme="minorHAnsi" w:hAnsiTheme="minorHAnsi" w:cstheme="minorBidi"/>
                <w:sz w:val="14"/>
                <w:szCs w:val="14"/>
              </w:rPr>
            </w:pPr>
          </w:p>
        </w:tc>
        <w:tc>
          <w:tcPr>
            <w:tcW w:w="324" w:type="dxa"/>
            <w:tcBorders>
              <w:top w:val="nil"/>
              <w:bottom w:val="nil"/>
            </w:tcBorders>
            <w:textDirection w:val="btLr"/>
          </w:tcPr>
          <w:p w:rsidR="00BC59A1" w:rsidRDefault="00295E9C" w:rsidP="00BC59A1">
            <w:pPr>
              <w:ind w:left="113" w:right="113"/>
              <w:jc w:val="center"/>
              <w:rPr>
                <w:sz w:val="14"/>
                <w:szCs w:val="14"/>
              </w:rPr>
            </w:pPr>
            <w:r>
              <w:rPr>
                <w:sz w:val="14"/>
                <w:szCs w:val="14"/>
              </w:rPr>
              <w:t>Model 4</w:t>
            </w:r>
          </w:p>
        </w:tc>
        <w:tc>
          <w:tcPr>
            <w:tcW w:w="450" w:type="dxa"/>
            <w:tcBorders>
              <w:top w:val="nil"/>
              <w:bottom w:val="nil"/>
            </w:tcBorders>
            <w:noWrap/>
            <w:textDirection w:val="btLr"/>
          </w:tcPr>
          <w:p w:rsidR="00BC59A1" w:rsidRPr="00F810C6" w:rsidRDefault="00BC59A1" w:rsidP="00BC59A1">
            <w:pPr>
              <w:ind w:left="113" w:right="113"/>
              <w:jc w:val="center"/>
              <w:rPr>
                <w:sz w:val="14"/>
                <w:szCs w:val="14"/>
              </w:rPr>
            </w:pPr>
            <w:r>
              <w:rPr>
                <w:sz w:val="14"/>
                <w:szCs w:val="14"/>
              </w:rPr>
              <w:t>Democracy</w:t>
            </w:r>
          </w:p>
        </w:tc>
        <w:tc>
          <w:tcPr>
            <w:tcW w:w="590" w:type="dxa"/>
            <w:tcBorders>
              <w:top w:val="nil"/>
              <w:bottom w:val="nil"/>
              <w:right w:val="nil"/>
            </w:tcBorders>
            <w:shd w:val="clear" w:color="auto" w:fill="FFFFFF" w:themeFill="background1"/>
            <w:textDirection w:val="btLr"/>
          </w:tcPr>
          <w:p w:rsidR="00BC59A1" w:rsidRPr="008266D4" w:rsidRDefault="00BC59A1" w:rsidP="00BC59A1">
            <w:pPr>
              <w:ind w:left="113" w:right="113"/>
              <w:jc w:val="right"/>
              <w:rPr>
                <w:sz w:val="12"/>
                <w:szCs w:val="12"/>
              </w:rPr>
            </w:pPr>
            <w:r>
              <w:rPr>
                <w:sz w:val="12"/>
                <w:szCs w:val="12"/>
              </w:rPr>
              <w:t>-.90</w:t>
            </w:r>
            <w:r w:rsidRPr="008266D4">
              <w:rPr>
                <w:sz w:val="12"/>
                <w:szCs w:val="12"/>
              </w:rPr>
              <w:t>*</w:t>
            </w:r>
          </w:p>
          <w:p w:rsidR="00BC59A1" w:rsidRPr="008266D4" w:rsidRDefault="00BC59A1" w:rsidP="00BC59A1">
            <w:pPr>
              <w:ind w:left="113" w:right="113"/>
              <w:jc w:val="right"/>
              <w:rPr>
                <w:sz w:val="12"/>
                <w:szCs w:val="12"/>
              </w:rPr>
            </w:pPr>
            <w:r>
              <w:rPr>
                <w:sz w:val="12"/>
                <w:szCs w:val="12"/>
              </w:rPr>
              <w:t>(.39</w:t>
            </w:r>
            <w:r w:rsidRPr="008266D4">
              <w:rPr>
                <w:sz w:val="12"/>
                <w:szCs w:val="12"/>
              </w:rPr>
              <w:t>)</w:t>
            </w:r>
          </w:p>
        </w:tc>
        <w:tc>
          <w:tcPr>
            <w:tcW w:w="528" w:type="dxa"/>
            <w:tcBorders>
              <w:top w:val="nil"/>
              <w:left w:val="nil"/>
              <w:bottom w:val="nil"/>
              <w:right w:val="nil"/>
            </w:tcBorders>
            <w:shd w:val="clear" w:color="auto" w:fill="E7E6E6" w:themeFill="background2"/>
            <w:noWrap/>
            <w:textDirection w:val="btLr"/>
          </w:tcPr>
          <w:p w:rsidR="00BC59A1" w:rsidRPr="008266D4" w:rsidRDefault="00BC59A1" w:rsidP="00BC59A1">
            <w:pPr>
              <w:ind w:left="113" w:right="113"/>
              <w:jc w:val="right"/>
              <w:rPr>
                <w:sz w:val="12"/>
                <w:szCs w:val="12"/>
              </w:rPr>
            </w:pPr>
            <w:r>
              <w:rPr>
                <w:sz w:val="12"/>
                <w:szCs w:val="12"/>
              </w:rPr>
              <w:t>-1.19</w:t>
            </w:r>
            <w:r w:rsidRPr="008266D4">
              <w:rPr>
                <w:sz w:val="12"/>
                <w:szCs w:val="12"/>
              </w:rPr>
              <w:t>**</w:t>
            </w:r>
          </w:p>
          <w:p w:rsidR="00BC59A1" w:rsidRPr="008266D4" w:rsidRDefault="00BC59A1" w:rsidP="00BC59A1">
            <w:pPr>
              <w:ind w:left="113" w:right="113"/>
              <w:jc w:val="right"/>
              <w:rPr>
                <w:sz w:val="12"/>
                <w:szCs w:val="12"/>
              </w:rPr>
            </w:pPr>
            <w:r>
              <w:rPr>
                <w:sz w:val="12"/>
                <w:szCs w:val="12"/>
              </w:rPr>
              <w:t>(.39</w:t>
            </w:r>
            <w:r w:rsidRPr="008266D4">
              <w:rPr>
                <w:sz w:val="12"/>
                <w:szCs w:val="12"/>
              </w:rPr>
              <w:t>)</w:t>
            </w:r>
          </w:p>
        </w:tc>
        <w:tc>
          <w:tcPr>
            <w:tcW w:w="862" w:type="dxa"/>
            <w:tcBorders>
              <w:top w:val="nil"/>
              <w:bottom w:val="nil"/>
            </w:tcBorders>
            <w:textDirection w:val="btLr"/>
          </w:tcPr>
          <w:p w:rsidR="00BC59A1" w:rsidRPr="008266D4" w:rsidRDefault="00BC59A1" w:rsidP="00BC59A1">
            <w:pPr>
              <w:ind w:left="113" w:right="113"/>
              <w:jc w:val="right"/>
              <w:rPr>
                <w:sz w:val="12"/>
                <w:szCs w:val="12"/>
              </w:rPr>
            </w:pPr>
            <w:r>
              <w:rPr>
                <w:sz w:val="12"/>
                <w:szCs w:val="12"/>
              </w:rPr>
              <w:t>.19</w:t>
            </w:r>
          </w:p>
          <w:p w:rsidR="00BC59A1" w:rsidRPr="008266D4" w:rsidRDefault="00BC59A1" w:rsidP="00BC59A1">
            <w:pPr>
              <w:ind w:left="113" w:right="113"/>
              <w:jc w:val="right"/>
              <w:rPr>
                <w:sz w:val="12"/>
                <w:szCs w:val="12"/>
              </w:rPr>
            </w:pPr>
            <w:r>
              <w:rPr>
                <w:sz w:val="12"/>
                <w:szCs w:val="12"/>
              </w:rPr>
              <w:t>.00</w:t>
            </w:r>
          </w:p>
          <w:p w:rsidR="00BC59A1" w:rsidRPr="008266D4" w:rsidRDefault="00BC59A1" w:rsidP="00BC59A1">
            <w:pPr>
              <w:ind w:left="113" w:right="113"/>
              <w:jc w:val="right"/>
              <w:rPr>
                <w:sz w:val="12"/>
                <w:szCs w:val="12"/>
              </w:rPr>
            </w:pPr>
            <w:r>
              <w:rPr>
                <w:sz w:val="12"/>
                <w:szCs w:val="12"/>
              </w:rPr>
              <w:t>.11</w:t>
            </w:r>
          </w:p>
          <w:p w:rsidR="00BC59A1" w:rsidRDefault="00BC59A1" w:rsidP="00BC59A1">
            <w:pPr>
              <w:ind w:left="113" w:right="113"/>
              <w:jc w:val="right"/>
              <w:rPr>
                <w:sz w:val="12"/>
                <w:szCs w:val="12"/>
              </w:rPr>
            </w:pPr>
            <w:r>
              <w:rPr>
                <w:sz w:val="12"/>
                <w:szCs w:val="12"/>
              </w:rPr>
              <w:t>325</w:t>
            </w:r>
          </w:p>
          <w:p w:rsidR="00BC59A1" w:rsidRPr="008266D4" w:rsidRDefault="00BC59A1" w:rsidP="00BC59A1">
            <w:pPr>
              <w:ind w:left="113" w:right="113"/>
              <w:jc w:val="right"/>
              <w:rPr>
                <w:sz w:val="12"/>
                <w:szCs w:val="12"/>
              </w:rPr>
            </w:pPr>
            <w:r>
              <w:rPr>
                <w:sz w:val="12"/>
                <w:szCs w:val="12"/>
              </w:rPr>
              <w:t>77</w:t>
            </w:r>
          </w:p>
        </w:tc>
        <w:tc>
          <w:tcPr>
            <w:tcW w:w="1658" w:type="dxa"/>
            <w:vMerge/>
            <w:tcBorders>
              <w:top w:val="nil"/>
              <w:bottom w:val="nil"/>
              <w:right w:val="nil"/>
            </w:tcBorders>
            <w:textDirection w:val="btLr"/>
          </w:tcPr>
          <w:p w:rsidR="00BC59A1" w:rsidRPr="00F810C6" w:rsidRDefault="00BC59A1" w:rsidP="00BC59A1">
            <w:pPr>
              <w:ind w:left="113" w:right="113"/>
              <w:rPr>
                <w:rFonts w:asciiTheme="minorHAnsi" w:hAnsiTheme="minorHAnsi" w:cstheme="minorBidi"/>
                <w:sz w:val="14"/>
                <w:szCs w:val="14"/>
              </w:rPr>
            </w:pPr>
          </w:p>
        </w:tc>
      </w:tr>
      <w:tr w:rsidR="00BC59A1" w:rsidRPr="00F810C6" w:rsidTr="00BC59A1">
        <w:trPr>
          <w:trHeight w:val="917"/>
        </w:trPr>
        <w:tc>
          <w:tcPr>
            <w:tcW w:w="306" w:type="dxa"/>
            <w:vMerge/>
            <w:tcBorders>
              <w:left w:val="nil"/>
              <w:bottom w:val="nil"/>
            </w:tcBorders>
            <w:textDirection w:val="btLr"/>
          </w:tcPr>
          <w:p w:rsidR="00BC59A1" w:rsidRPr="00F810C6" w:rsidRDefault="00BC59A1" w:rsidP="00BC59A1">
            <w:pPr>
              <w:ind w:left="113" w:right="113"/>
              <w:jc w:val="right"/>
              <w:rPr>
                <w:rFonts w:asciiTheme="minorHAnsi" w:hAnsiTheme="minorHAnsi" w:cstheme="minorBidi"/>
                <w:sz w:val="14"/>
                <w:szCs w:val="14"/>
              </w:rPr>
            </w:pPr>
          </w:p>
        </w:tc>
        <w:tc>
          <w:tcPr>
            <w:tcW w:w="324" w:type="dxa"/>
            <w:tcBorders>
              <w:top w:val="nil"/>
              <w:bottom w:val="nil"/>
            </w:tcBorders>
            <w:textDirection w:val="btLr"/>
          </w:tcPr>
          <w:p w:rsidR="00BC59A1" w:rsidRDefault="00295E9C" w:rsidP="00BC59A1">
            <w:pPr>
              <w:ind w:left="113" w:right="113"/>
              <w:jc w:val="center"/>
              <w:rPr>
                <w:sz w:val="14"/>
                <w:szCs w:val="14"/>
              </w:rPr>
            </w:pPr>
            <w:r>
              <w:rPr>
                <w:sz w:val="14"/>
                <w:szCs w:val="14"/>
              </w:rPr>
              <w:t>Model 3</w:t>
            </w:r>
          </w:p>
        </w:tc>
        <w:tc>
          <w:tcPr>
            <w:tcW w:w="450" w:type="dxa"/>
            <w:tcBorders>
              <w:top w:val="nil"/>
              <w:bottom w:val="nil"/>
            </w:tcBorders>
            <w:noWrap/>
            <w:textDirection w:val="btLr"/>
          </w:tcPr>
          <w:p w:rsidR="00BC59A1" w:rsidRPr="008F097E" w:rsidRDefault="00BC59A1" w:rsidP="00BC59A1">
            <w:pPr>
              <w:ind w:left="113" w:right="113"/>
              <w:jc w:val="center"/>
              <w:rPr>
                <w:sz w:val="14"/>
                <w:szCs w:val="14"/>
                <w:vertAlign w:val="superscript"/>
              </w:rPr>
            </w:pPr>
            <w:r>
              <w:rPr>
                <w:sz w:val="14"/>
                <w:szCs w:val="14"/>
              </w:rPr>
              <w:t>Wealth</w:t>
            </w:r>
            <w:r>
              <w:rPr>
                <w:sz w:val="14"/>
                <w:szCs w:val="14"/>
                <w:vertAlign w:val="superscript"/>
              </w:rPr>
              <w:t>a</w:t>
            </w:r>
          </w:p>
        </w:tc>
        <w:tc>
          <w:tcPr>
            <w:tcW w:w="590" w:type="dxa"/>
            <w:tcBorders>
              <w:top w:val="nil"/>
              <w:bottom w:val="nil"/>
              <w:right w:val="nil"/>
            </w:tcBorders>
            <w:shd w:val="clear" w:color="auto" w:fill="FFFFFF" w:themeFill="background1"/>
            <w:textDirection w:val="btLr"/>
          </w:tcPr>
          <w:p w:rsidR="00BC59A1" w:rsidRPr="008266D4" w:rsidRDefault="00BC59A1" w:rsidP="00BC59A1">
            <w:pPr>
              <w:ind w:left="113" w:right="113"/>
              <w:jc w:val="right"/>
              <w:rPr>
                <w:sz w:val="12"/>
                <w:szCs w:val="12"/>
              </w:rPr>
            </w:pPr>
            <w:r>
              <w:rPr>
                <w:sz w:val="12"/>
                <w:szCs w:val="12"/>
              </w:rPr>
              <w:t>-.81</w:t>
            </w:r>
            <w:r w:rsidRPr="008266D4">
              <w:rPr>
                <w:sz w:val="12"/>
                <w:szCs w:val="12"/>
              </w:rPr>
              <w:t>***</w:t>
            </w:r>
          </w:p>
          <w:p w:rsidR="00BC59A1" w:rsidRPr="008266D4" w:rsidRDefault="00BC59A1" w:rsidP="00BC59A1">
            <w:pPr>
              <w:ind w:left="113" w:right="113"/>
              <w:jc w:val="right"/>
              <w:rPr>
                <w:sz w:val="12"/>
                <w:szCs w:val="12"/>
              </w:rPr>
            </w:pPr>
            <w:r>
              <w:rPr>
                <w:sz w:val="12"/>
                <w:szCs w:val="12"/>
              </w:rPr>
              <w:t>(.21</w:t>
            </w:r>
            <w:r w:rsidRPr="008266D4">
              <w:rPr>
                <w:sz w:val="12"/>
                <w:szCs w:val="12"/>
              </w:rPr>
              <w:t>)</w:t>
            </w:r>
          </w:p>
        </w:tc>
        <w:tc>
          <w:tcPr>
            <w:tcW w:w="528" w:type="dxa"/>
            <w:tcBorders>
              <w:top w:val="nil"/>
              <w:left w:val="nil"/>
              <w:bottom w:val="nil"/>
              <w:right w:val="nil"/>
            </w:tcBorders>
            <w:shd w:val="clear" w:color="auto" w:fill="E7E6E6" w:themeFill="background2"/>
            <w:noWrap/>
            <w:textDirection w:val="btLr"/>
          </w:tcPr>
          <w:p w:rsidR="00BC59A1" w:rsidRDefault="00BC59A1" w:rsidP="00BC59A1">
            <w:pPr>
              <w:ind w:left="113" w:right="113"/>
              <w:jc w:val="right"/>
              <w:rPr>
                <w:sz w:val="12"/>
                <w:szCs w:val="12"/>
              </w:rPr>
            </w:pPr>
            <w:r>
              <w:rPr>
                <w:sz w:val="12"/>
                <w:szCs w:val="12"/>
              </w:rPr>
              <w:t xml:space="preserve">-1.60*** </w:t>
            </w:r>
          </w:p>
          <w:p w:rsidR="00BC59A1" w:rsidRPr="008266D4" w:rsidRDefault="00BC59A1" w:rsidP="00BC59A1">
            <w:pPr>
              <w:ind w:left="113" w:right="113"/>
              <w:jc w:val="right"/>
              <w:rPr>
                <w:sz w:val="12"/>
                <w:szCs w:val="12"/>
              </w:rPr>
            </w:pPr>
            <w:r>
              <w:rPr>
                <w:sz w:val="12"/>
                <w:szCs w:val="12"/>
              </w:rPr>
              <w:t>(.21</w:t>
            </w:r>
            <w:r w:rsidRPr="008266D4">
              <w:rPr>
                <w:sz w:val="12"/>
                <w:szCs w:val="12"/>
              </w:rPr>
              <w:t>)</w:t>
            </w:r>
          </w:p>
        </w:tc>
        <w:tc>
          <w:tcPr>
            <w:tcW w:w="862" w:type="dxa"/>
            <w:tcBorders>
              <w:top w:val="nil"/>
              <w:bottom w:val="nil"/>
            </w:tcBorders>
            <w:textDirection w:val="btLr"/>
          </w:tcPr>
          <w:p w:rsidR="00BC59A1" w:rsidRPr="008266D4" w:rsidRDefault="00BC59A1" w:rsidP="00BC59A1">
            <w:pPr>
              <w:ind w:left="113" w:right="113"/>
              <w:jc w:val="right"/>
              <w:rPr>
                <w:sz w:val="12"/>
                <w:szCs w:val="12"/>
              </w:rPr>
            </w:pPr>
            <w:r>
              <w:rPr>
                <w:sz w:val="12"/>
                <w:szCs w:val="12"/>
              </w:rPr>
              <w:t>.44</w:t>
            </w:r>
          </w:p>
          <w:p w:rsidR="00BC59A1" w:rsidRPr="008266D4" w:rsidRDefault="00BC59A1" w:rsidP="00BC59A1">
            <w:pPr>
              <w:ind w:left="113" w:right="113"/>
              <w:jc w:val="right"/>
              <w:rPr>
                <w:sz w:val="12"/>
                <w:szCs w:val="12"/>
              </w:rPr>
            </w:pPr>
            <w:r>
              <w:rPr>
                <w:sz w:val="12"/>
                <w:szCs w:val="12"/>
              </w:rPr>
              <w:t>.00</w:t>
            </w:r>
          </w:p>
          <w:p w:rsidR="00BC59A1" w:rsidRPr="008266D4" w:rsidRDefault="00BC59A1" w:rsidP="00BC59A1">
            <w:pPr>
              <w:ind w:left="113" w:right="113"/>
              <w:jc w:val="right"/>
              <w:rPr>
                <w:sz w:val="12"/>
                <w:szCs w:val="12"/>
              </w:rPr>
            </w:pPr>
            <w:r>
              <w:rPr>
                <w:sz w:val="12"/>
                <w:szCs w:val="12"/>
              </w:rPr>
              <w:t>.43</w:t>
            </w:r>
          </w:p>
          <w:p w:rsidR="00BC59A1" w:rsidRDefault="00BC59A1" w:rsidP="00BC59A1">
            <w:pPr>
              <w:ind w:left="113" w:right="113"/>
              <w:jc w:val="right"/>
              <w:rPr>
                <w:sz w:val="12"/>
                <w:szCs w:val="12"/>
              </w:rPr>
            </w:pPr>
            <w:r>
              <w:rPr>
                <w:sz w:val="12"/>
                <w:szCs w:val="12"/>
              </w:rPr>
              <w:t>325</w:t>
            </w:r>
          </w:p>
          <w:p w:rsidR="00BC59A1" w:rsidRPr="008266D4" w:rsidRDefault="00BC59A1" w:rsidP="00BC59A1">
            <w:pPr>
              <w:ind w:left="113" w:right="113"/>
              <w:jc w:val="right"/>
              <w:rPr>
                <w:sz w:val="12"/>
                <w:szCs w:val="12"/>
              </w:rPr>
            </w:pPr>
            <w:r>
              <w:rPr>
                <w:sz w:val="12"/>
                <w:szCs w:val="12"/>
              </w:rPr>
              <w:t>77</w:t>
            </w:r>
          </w:p>
        </w:tc>
        <w:tc>
          <w:tcPr>
            <w:tcW w:w="1658" w:type="dxa"/>
            <w:vMerge/>
            <w:tcBorders>
              <w:top w:val="nil"/>
              <w:bottom w:val="nil"/>
              <w:right w:val="nil"/>
            </w:tcBorders>
            <w:textDirection w:val="btLr"/>
          </w:tcPr>
          <w:p w:rsidR="00BC59A1" w:rsidRPr="00F810C6" w:rsidRDefault="00BC59A1" w:rsidP="00BC59A1">
            <w:pPr>
              <w:ind w:left="113" w:right="113"/>
              <w:rPr>
                <w:rFonts w:asciiTheme="minorHAnsi" w:hAnsiTheme="minorHAnsi" w:cstheme="minorBidi"/>
                <w:sz w:val="14"/>
                <w:szCs w:val="14"/>
              </w:rPr>
            </w:pPr>
          </w:p>
        </w:tc>
      </w:tr>
      <w:tr w:rsidR="00BC59A1" w:rsidRPr="00F810C6" w:rsidTr="00295E9C">
        <w:trPr>
          <w:trHeight w:val="863"/>
        </w:trPr>
        <w:tc>
          <w:tcPr>
            <w:tcW w:w="306" w:type="dxa"/>
            <w:vMerge/>
            <w:tcBorders>
              <w:left w:val="nil"/>
              <w:bottom w:val="nil"/>
            </w:tcBorders>
            <w:textDirection w:val="btLr"/>
          </w:tcPr>
          <w:p w:rsidR="00BC59A1" w:rsidRPr="00F810C6" w:rsidRDefault="00BC59A1" w:rsidP="00BC59A1">
            <w:pPr>
              <w:ind w:left="113" w:right="113"/>
              <w:jc w:val="right"/>
              <w:rPr>
                <w:rFonts w:asciiTheme="minorHAnsi" w:hAnsiTheme="minorHAnsi" w:cstheme="minorBidi"/>
                <w:sz w:val="14"/>
                <w:szCs w:val="14"/>
              </w:rPr>
            </w:pPr>
          </w:p>
        </w:tc>
        <w:tc>
          <w:tcPr>
            <w:tcW w:w="324" w:type="dxa"/>
            <w:tcBorders>
              <w:top w:val="nil"/>
              <w:bottom w:val="nil"/>
            </w:tcBorders>
            <w:textDirection w:val="btLr"/>
          </w:tcPr>
          <w:p w:rsidR="00BC59A1" w:rsidRDefault="00295E9C" w:rsidP="00BC59A1">
            <w:pPr>
              <w:ind w:left="113" w:right="113"/>
              <w:jc w:val="center"/>
              <w:rPr>
                <w:sz w:val="14"/>
                <w:szCs w:val="14"/>
              </w:rPr>
            </w:pPr>
            <w:r>
              <w:rPr>
                <w:sz w:val="14"/>
                <w:szCs w:val="14"/>
              </w:rPr>
              <w:t>Model 2</w:t>
            </w:r>
          </w:p>
        </w:tc>
        <w:tc>
          <w:tcPr>
            <w:tcW w:w="450" w:type="dxa"/>
            <w:tcBorders>
              <w:top w:val="nil"/>
              <w:bottom w:val="nil"/>
            </w:tcBorders>
            <w:noWrap/>
            <w:textDirection w:val="btLr"/>
          </w:tcPr>
          <w:p w:rsidR="00BC59A1" w:rsidRPr="008F097E" w:rsidRDefault="00BC59A1" w:rsidP="00BC59A1">
            <w:pPr>
              <w:ind w:left="113" w:right="113"/>
              <w:jc w:val="center"/>
              <w:rPr>
                <w:sz w:val="14"/>
                <w:szCs w:val="14"/>
                <w:vertAlign w:val="superscript"/>
              </w:rPr>
            </w:pPr>
            <w:r>
              <w:rPr>
                <w:sz w:val="14"/>
                <w:szCs w:val="14"/>
              </w:rPr>
              <w:t>Inequality</w:t>
            </w:r>
            <w:r>
              <w:rPr>
                <w:sz w:val="14"/>
                <w:szCs w:val="14"/>
                <w:vertAlign w:val="superscript"/>
              </w:rPr>
              <w:t>a</w:t>
            </w:r>
          </w:p>
        </w:tc>
        <w:tc>
          <w:tcPr>
            <w:tcW w:w="590" w:type="dxa"/>
            <w:tcBorders>
              <w:top w:val="nil"/>
              <w:bottom w:val="nil"/>
              <w:right w:val="nil"/>
            </w:tcBorders>
            <w:shd w:val="clear" w:color="auto" w:fill="FFFFFF" w:themeFill="background1"/>
            <w:textDirection w:val="btLr"/>
          </w:tcPr>
          <w:p w:rsidR="00BC59A1" w:rsidRPr="008266D4" w:rsidRDefault="00BC59A1" w:rsidP="00BC59A1">
            <w:pPr>
              <w:ind w:left="113" w:right="113"/>
              <w:jc w:val="right"/>
              <w:rPr>
                <w:sz w:val="12"/>
                <w:szCs w:val="12"/>
              </w:rPr>
            </w:pPr>
            <w:r>
              <w:rPr>
                <w:sz w:val="12"/>
                <w:szCs w:val="12"/>
              </w:rPr>
              <w:t>4.34</w:t>
            </w:r>
          </w:p>
          <w:p w:rsidR="00BC59A1" w:rsidRPr="008266D4" w:rsidRDefault="00BC59A1" w:rsidP="00BC59A1">
            <w:pPr>
              <w:ind w:left="113" w:right="113"/>
              <w:jc w:val="right"/>
              <w:rPr>
                <w:sz w:val="12"/>
                <w:szCs w:val="12"/>
              </w:rPr>
            </w:pPr>
            <w:r>
              <w:rPr>
                <w:sz w:val="12"/>
                <w:szCs w:val="12"/>
              </w:rPr>
              <w:t>(2.83</w:t>
            </w:r>
            <w:r w:rsidRPr="008266D4">
              <w:rPr>
                <w:sz w:val="12"/>
                <w:szCs w:val="12"/>
              </w:rPr>
              <w:t>)</w:t>
            </w:r>
          </w:p>
        </w:tc>
        <w:tc>
          <w:tcPr>
            <w:tcW w:w="528" w:type="dxa"/>
            <w:tcBorders>
              <w:top w:val="nil"/>
              <w:left w:val="nil"/>
              <w:bottom w:val="nil"/>
              <w:right w:val="nil"/>
            </w:tcBorders>
            <w:shd w:val="clear" w:color="auto" w:fill="E7E6E6" w:themeFill="background2"/>
            <w:noWrap/>
            <w:textDirection w:val="btLr"/>
          </w:tcPr>
          <w:p w:rsidR="00BC59A1" w:rsidRPr="008266D4" w:rsidRDefault="00BC59A1" w:rsidP="00BC59A1">
            <w:pPr>
              <w:ind w:left="113" w:right="113"/>
              <w:jc w:val="right"/>
              <w:rPr>
                <w:sz w:val="12"/>
                <w:szCs w:val="12"/>
              </w:rPr>
            </w:pPr>
            <w:r>
              <w:rPr>
                <w:sz w:val="12"/>
                <w:szCs w:val="12"/>
              </w:rPr>
              <w:t>7.14</w:t>
            </w:r>
            <w:r w:rsidRPr="008266D4">
              <w:rPr>
                <w:sz w:val="12"/>
                <w:szCs w:val="12"/>
              </w:rPr>
              <w:t>*</w:t>
            </w:r>
          </w:p>
          <w:p w:rsidR="00BC59A1" w:rsidRPr="008266D4" w:rsidRDefault="00BC59A1" w:rsidP="00BC59A1">
            <w:pPr>
              <w:ind w:left="113" w:right="113"/>
              <w:jc w:val="right"/>
              <w:rPr>
                <w:sz w:val="12"/>
                <w:szCs w:val="12"/>
              </w:rPr>
            </w:pPr>
            <w:r>
              <w:rPr>
                <w:sz w:val="12"/>
                <w:szCs w:val="12"/>
              </w:rPr>
              <w:t>(1.60</w:t>
            </w:r>
            <w:r w:rsidRPr="008266D4">
              <w:rPr>
                <w:sz w:val="12"/>
                <w:szCs w:val="12"/>
              </w:rPr>
              <w:t>)</w:t>
            </w:r>
          </w:p>
        </w:tc>
        <w:tc>
          <w:tcPr>
            <w:tcW w:w="862" w:type="dxa"/>
            <w:tcBorders>
              <w:top w:val="nil"/>
              <w:bottom w:val="nil"/>
            </w:tcBorders>
            <w:textDirection w:val="btLr"/>
          </w:tcPr>
          <w:p w:rsidR="00BC59A1" w:rsidRPr="008266D4" w:rsidRDefault="00BC59A1" w:rsidP="00BC59A1">
            <w:pPr>
              <w:ind w:left="113" w:right="113"/>
              <w:jc w:val="right"/>
              <w:rPr>
                <w:sz w:val="12"/>
                <w:szCs w:val="12"/>
              </w:rPr>
            </w:pPr>
            <w:r>
              <w:rPr>
                <w:sz w:val="12"/>
                <w:szCs w:val="12"/>
              </w:rPr>
              <w:t>.05</w:t>
            </w:r>
          </w:p>
          <w:p w:rsidR="00BC59A1" w:rsidRPr="008266D4" w:rsidRDefault="00BC59A1" w:rsidP="00BC59A1">
            <w:pPr>
              <w:ind w:left="113" w:right="113"/>
              <w:jc w:val="right"/>
              <w:rPr>
                <w:sz w:val="12"/>
                <w:szCs w:val="12"/>
              </w:rPr>
            </w:pPr>
            <w:r>
              <w:rPr>
                <w:sz w:val="12"/>
                <w:szCs w:val="12"/>
              </w:rPr>
              <w:t>.00</w:t>
            </w:r>
          </w:p>
          <w:p w:rsidR="00BC59A1" w:rsidRPr="008266D4" w:rsidRDefault="00BC59A1" w:rsidP="00BC59A1">
            <w:pPr>
              <w:ind w:left="113" w:right="113"/>
              <w:jc w:val="right"/>
              <w:rPr>
                <w:sz w:val="12"/>
                <w:szCs w:val="12"/>
              </w:rPr>
            </w:pPr>
            <w:r>
              <w:rPr>
                <w:sz w:val="12"/>
                <w:szCs w:val="12"/>
              </w:rPr>
              <w:t>.08</w:t>
            </w:r>
          </w:p>
          <w:p w:rsidR="00BC59A1" w:rsidRDefault="00BC59A1" w:rsidP="00BC59A1">
            <w:pPr>
              <w:ind w:left="113" w:right="113"/>
              <w:jc w:val="right"/>
              <w:rPr>
                <w:sz w:val="12"/>
                <w:szCs w:val="12"/>
              </w:rPr>
            </w:pPr>
            <w:r>
              <w:rPr>
                <w:sz w:val="12"/>
                <w:szCs w:val="12"/>
              </w:rPr>
              <w:t>325</w:t>
            </w:r>
          </w:p>
          <w:p w:rsidR="00BC59A1" w:rsidRPr="008266D4" w:rsidRDefault="00BC59A1" w:rsidP="00BC59A1">
            <w:pPr>
              <w:ind w:left="113" w:right="113"/>
              <w:jc w:val="right"/>
              <w:rPr>
                <w:sz w:val="12"/>
                <w:szCs w:val="12"/>
              </w:rPr>
            </w:pPr>
            <w:r>
              <w:rPr>
                <w:sz w:val="12"/>
                <w:szCs w:val="12"/>
              </w:rPr>
              <w:t>77</w:t>
            </w:r>
          </w:p>
          <w:p w:rsidR="00BC59A1" w:rsidRPr="008266D4" w:rsidRDefault="00BC59A1" w:rsidP="00BC59A1">
            <w:pPr>
              <w:ind w:left="113" w:right="113"/>
              <w:jc w:val="right"/>
              <w:rPr>
                <w:sz w:val="12"/>
                <w:szCs w:val="12"/>
              </w:rPr>
            </w:pPr>
          </w:p>
        </w:tc>
        <w:tc>
          <w:tcPr>
            <w:tcW w:w="1658" w:type="dxa"/>
            <w:vMerge/>
            <w:tcBorders>
              <w:top w:val="nil"/>
              <w:bottom w:val="nil"/>
              <w:right w:val="nil"/>
            </w:tcBorders>
            <w:textDirection w:val="btLr"/>
          </w:tcPr>
          <w:p w:rsidR="00BC59A1" w:rsidRPr="00F810C6" w:rsidRDefault="00BC59A1" w:rsidP="00BC59A1">
            <w:pPr>
              <w:ind w:left="113" w:right="113"/>
              <w:rPr>
                <w:rFonts w:asciiTheme="minorHAnsi" w:hAnsiTheme="minorHAnsi" w:cstheme="minorBidi"/>
                <w:sz w:val="14"/>
                <w:szCs w:val="14"/>
              </w:rPr>
            </w:pPr>
          </w:p>
        </w:tc>
      </w:tr>
      <w:tr w:rsidR="00295E9C" w:rsidRPr="00F810C6" w:rsidTr="00295E9C">
        <w:trPr>
          <w:trHeight w:val="962"/>
        </w:trPr>
        <w:tc>
          <w:tcPr>
            <w:tcW w:w="306" w:type="dxa"/>
            <w:vMerge/>
            <w:tcBorders>
              <w:left w:val="nil"/>
              <w:bottom w:val="nil"/>
            </w:tcBorders>
            <w:textDirection w:val="btLr"/>
          </w:tcPr>
          <w:p w:rsidR="00295E9C" w:rsidRPr="00F810C6" w:rsidRDefault="00295E9C" w:rsidP="00BC59A1">
            <w:pPr>
              <w:ind w:left="113" w:right="113"/>
              <w:rPr>
                <w:rFonts w:asciiTheme="minorHAnsi" w:hAnsiTheme="minorHAnsi" w:cstheme="minorBidi"/>
                <w:sz w:val="14"/>
                <w:szCs w:val="14"/>
              </w:rPr>
            </w:pPr>
          </w:p>
        </w:tc>
        <w:tc>
          <w:tcPr>
            <w:tcW w:w="324" w:type="dxa"/>
            <w:tcBorders>
              <w:top w:val="nil"/>
            </w:tcBorders>
            <w:textDirection w:val="btLr"/>
          </w:tcPr>
          <w:p w:rsidR="00295E9C" w:rsidRDefault="00295E9C" w:rsidP="00BC59A1">
            <w:pPr>
              <w:ind w:left="113" w:right="113"/>
              <w:rPr>
                <w:sz w:val="14"/>
                <w:szCs w:val="14"/>
              </w:rPr>
            </w:pPr>
            <w:r>
              <w:rPr>
                <w:sz w:val="14"/>
                <w:szCs w:val="14"/>
              </w:rPr>
              <w:t>Model 1</w:t>
            </w:r>
          </w:p>
          <w:p w:rsidR="00295E9C" w:rsidRPr="00295E9C" w:rsidRDefault="00295E9C" w:rsidP="00BC59A1">
            <w:pPr>
              <w:ind w:left="113" w:right="113"/>
              <w:rPr>
                <w:sz w:val="14"/>
                <w:szCs w:val="14"/>
              </w:rPr>
            </w:pPr>
          </w:p>
        </w:tc>
        <w:tc>
          <w:tcPr>
            <w:tcW w:w="450" w:type="dxa"/>
            <w:tcBorders>
              <w:top w:val="nil"/>
              <w:right w:val="nil"/>
            </w:tcBorders>
            <w:noWrap/>
            <w:textDirection w:val="btLr"/>
          </w:tcPr>
          <w:p w:rsidR="00295E9C" w:rsidRPr="00295E9C" w:rsidRDefault="00295E9C" w:rsidP="00BC59A1">
            <w:pPr>
              <w:ind w:left="113" w:right="113"/>
              <w:rPr>
                <w:sz w:val="14"/>
                <w:szCs w:val="14"/>
                <w:vertAlign w:val="superscript"/>
              </w:rPr>
            </w:pPr>
            <w:r>
              <w:rPr>
                <w:sz w:val="14"/>
                <w:szCs w:val="14"/>
              </w:rPr>
              <w:t>Incarceration Rates</w:t>
            </w:r>
            <w:r>
              <w:rPr>
                <w:sz w:val="14"/>
                <w:szCs w:val="14"/>
                <w:vertAlign w:val="superscript"/>
              </w:rPr>
              <w:t>a</w:t>
            </w:r>
          </w:p>
        </w:tc>
        <w:tc>
          <w:tcPr>
            <w:tcW w:w="590" w:type="dxa"/>
            <w:tcBorders>
              <w:top w:val="nil"/>
              <w:right w:val="nil"/>
            </w:tcBorders>
            <w:shd w:val="clear" w:color="auto" w:fill="FFFFFF" w:themeFill="background1"/>
            <w:textDirection w:val="btLr"/>
          </w:tcPr>
          <w:p w:rsidR="00295E9C" w:rsidRPr="00295E9C" w:rsidRDefault="00295E9C" w:rsidP="00295E9C">
            <w:pPr>
              <w:ind w:left="113" w:right="113"/>
              <w:jc w:val="right"/>
              <w:rPr>
                <w:sz w:val="12"/>
                <w:szCs w:val="12"/>
              </w:rPr>
            </w:pPr>
            <w:r w:rsidRPr="00295E9C">
              <w:rPr>
                <w:sz w:val="12"/>
                <w:szCs w:val="12"/>
              </w:rPr>
              <w:t>.09</w:t>
            </w:r>
          </w:p>
          <w:p w:rsidR="00295E9C" w:rsidRPr="00295E9C" w:rsidRDefault="00295E9C" w:rsidP="00295E9C">
            <w:pPr>
              <w:ind w:left="113" w:right="113"/>
              <w:jc w:val="right"/>
              <w:rPr>
                <w:sz w:val="12"/>
                <w:szCs w:val="12"/>
              </w:rPr>
            </w:pPr>
            <w:r w:rsidRPr="00295E9C">
              <w:rPr>
                <w:sz w:val="12"/>
                <w:szCs w:val="12"/>
              </w:rPr>
              <w:t>(.19)</w:t>
            </w:r>
          </w:p>
        </w:tc>
        <w:tc>
          <w:tcPr>
            <w:tcW w:w="528" w:type="dxa"/>
            <w:tcBorders>
              <w:top w:val="nil"/>
              <w:left w:val="nil"/>
              <w:right w:val="nil"/>
            </w:tcBorders>
            <w:shd w:val="clear" w:color="auto" w:fill="E7E6E6" w:themeFill="background2"/>
            <w:noWrap/>
            <w:textDirection w:val="btLr"/>
          </w:tcPr>
          <w:p w:rsidR="00295E9C" w:rsidRPr="00295E9C" w:rsidRDefault="00295E9C" w:rsidP="00295E9C">
            <w:pPr>
              <w:ind w:left="113" w:right="113"/>
              <w:jc w:val="right"/>
              <w:rPr>
                <w:sz w:val="12"/>
                <w:szCs w:val="12"/>
              </w:rPr>
            </w:pPr>
            <w:r w:rsidRPr="00295E9C">
              <w:rPr>
                <w:sz w:val="12"/>
                <w:szCs w:val="12"/>
              </w:rPr>
              <w:t>.11</w:t>
            </w:r>
          </w:p>
          <w:p w:rsidR="00295E9C" w:rsidRPr="00295E9C" w:rsidRDefault="00295E9C" w:rsidP="00295E9C">
            <w:pPr>
              <w:ind w:left="113" w:right="113"/>
              <w:jc w:val="right"/>
              <w:rPr>
                <w:sz w:val="12"/>
                <w:szCs w:val="12"/>
              </w:rPr>
            </w:pPr>
            <w:r w:rsidRPr="00295E9C">
              <w:rPr>
                <w:sz w:val="12"/>
                <w:szCs w:val="12"/>
              </w:rPr>
              <w:t>(.19)</w:t>
            </w:r>
          </w:p>
        </w:tc>
        <w:tc>
          <w:tcPr>
            <w:tcW w:w="862" w:type="dxa"/>
            <w:tcBorders>
              <w:top w:val="nil"/>
            </w:tcBorders>
            <w:textDirection w:val="btLr"/>
          </w:tcPr>
          <w:p w:rsidR="00295E9C" w:rsidRDefault="00295E9C" w:rsidP="00295E9C">
            <w:pPr>
              <w:ind w:left="113" w:right="113"/>
              <w:jc w:val="right"/>
              <w:rPr>
                <w:sz w:val="12"/>
                <w:szCs w:val="12"/>
              </w:rPr>
            </w:pPr>
            <w:r>
              <w:rPr>
                <w:sz w:val="12"/>
                <w:szCs w:val="12"/>
              </w:rPr>
              <w:t>.01</w:t>
            </w:r>
          </w:p>
          <w:p w:rsidR="00295E9C" w:rsidRDefault="00295E9C" w:rsidP="00295E9C">
            <w:pPr>
              <w:ind w:left="113" w:right="113"/>
              <w:jc w:val="right"/>
              <w:rPr>
                <w:sz w:val="12"/>
                <w:szCs w:val="12"/>
              </w:rPr>
            </w:pPr>
            <w:r>
              <w:rPr>
                <w:sz w:val="12"/>
                <w:szCs w:val="12"/>
              </w:rPr>
              <w:t>.00</w:t>
            </w:r>
          </w:p>
          <w:p w:rsidR="00295E9C" w:rsidRDefault="00295E9C" w:rsidP="00295E9C">
            <w:pPr>
              <w:ind w:left="113" w:right="113"/>
              <w:jc w:val="right"/>
              <w:rPr>
                <w:sz w:val="12"/>
                <w:szCs w:val="12"/>
              </w:rPr>
            </w:pPr>
            <w:r>
              <w:rPr>
                <w:sz w:val="12"/>
                <w:szCs w:val="12"/>
              </w:rPr>
              <w:t>.005</w:t>
            </w:r>
          </w:p>
          <w:p w:rsidR="00295E9C" w:rsidRDefault="00295E9C" w:rsidP="00295E9C">
            <w:pPr>
              <w:ind w:left="113" w:right="113"/>
              <w:jc w:val="right"/>
              <w:rPr>
                <w:sz w:val="12"/>
                <w:szCs w:val="12"/>
              </w:rPr>
            </w:pPr>
            <w:r>
              <w:rPr>
                <w:sz w:val="12"/>
                <w:szCs w:val="12"/>
              </w:rPr>
              <w:t>325</w:t>
            </w:r>
          </w:p>
          <w:p w:rsidR="00295E9C" w:rsidRPr="00295E9C" w:rsidRDefault="00295E9C" w:rsidP="00295E9C">
            <w:pPr>
              <w:ind w:left="113" w:right="113"/>
              <w:jc w:val="right"/>
              <w:rPr>
                <w:sz w:val="12"/>
                <w:szCs w:val="12"/>
              </w:rPr>
            </w:pPr>
            <w:r>
              <w:rPr>
                <w:sz w:val="12"/>
                <w:szCs w:val="12"/>
              </w:rPr>
              <w:t>77</w:t>
            </w:r>
          </w:p>
        </w:tc>
        <w:tc>
          <w:tcPr>
            <w:tcW w:w="1658" w:type="dxa"/>
            <w:vMerge/>
            <w:tcBorders>
              <w:top w:val="nil"/>
              <w:bottom w:val="nil"/>
              <w:right w:val="nil"/>
            </w:tcBorders>
            <w:textDirection w:val="btLr"/>
          </w:tcPr>
          <w:p w:rsidR="00295E9C" w:rsidRPr="00F810C6" w:rsidRDefault="00295E9C" w:rsidP="00BC59A1">
            <w:pPr>
              <w:ind w:left="113" w:right="113"/>
              <w:rPr>
                <w:rFonts w:asciiTheme="minorHAnsi" w:hAnsiTheme="minorHAnsi" w:cstheme="minorBidi"/>
                <w:sz w:val="14"/>
                <w:szCs w:val="14"/>
              </w:rPr>
            </w:pPr>
          </w:p>
        </w:tc>
      </w:tr>
      <w:tr w:rsidR="00BC59A1" w:rsidRPr="00F810C6" w:rsidTr="00BC59A1">
        <w:trPr>
          <w:trHeight w:val="1493"/>
        </w:trPr>
        <w:tc>
          <w:tcPr>
            <w:tcW w:w="306" w:type="dxa"/>
            <w:vMerge/>
            <w:tcBorders>
              <w:left w:val="nil"/>
              <w:bottom w:val="nil"/>
            </w:tcBorders>
            <w:textDirection w:val="btLr"/>
          </w:tcPr>
          <w:p w:rsidR="00BC59A1" w:rsidRPr="00F810C6" w:rsidRDefault="00BC59A1" w:rsidP="00BC59A1">
            <w:pPr>
              <w:ind w:left="113" w:right="113"/>
              <w:rPr>
                <w:rFonts w:asciiTheme="minorHAnsi" w:hAnsiTheme="minorHAnsi" w:cstheme="minorBidi"/>
                <w:sz w:val="14"/>
                <w:szCs w:val="14"/>
              </w:rPr>
            </w:pPr>
          </w:p>
        </w:tc>
        <w:tc>
          <w:tcPr>
            <w:tcW w:w="324" w:type="dxa"/>
            <w:textDirection w:val="btLr"/>
          </w:tcPr>
          <w:p w:rsidR="00BC59A1" w:rsidRPr="00F810C6" w:rsidRDefault="00BC59A1" w:rsidP="00BC59A1">
            <w:pPr>
              <w:ind w:left="113" w:right="113"/>
              <w:rPr>
                <w:rFonts w:asciiTheme="minorHAnsi" w:hAnsiTheme="minorHAnsi" w:cstheme="minorBidi"/>
                <w:sz w:val="14"/>
                <w:szCs w:val="14"/>
              </w:rPr>
            </w:pPr>
          </w:p>
        </w:tc>
        <w:tc>
          <w:tcPr>
            <w:tcW w:w="450" w:type="dxa"/>
            <w:tcBorders>
              <w:right w:val="nil"/>
            </w:tcBorders>
            <w:noWrap/>
            <w:textDirection w:val="btLr"/>
          </w:tcPr>
          <w:p w:rsidR="00BC59A1" w:rsidRPr="00F810C6" w:rsidRDefault="00BC59A1" w:rsidP="00BC59A1">
            <w:pPr>
              <w:ind w:left="113" w:right="113"/>
              <w:rPr>
                <w:rFonts w:asciiTheme="minorHAnsi" w:hAnsiTheme="minorHAnsi" w:cstheme="minorBidi"/>
                <w:sz w:val="14"/>
                <w:szCs w:val="14"/>
              </w:rPr>
            </w:pPr>
          </w:p>
        </w:tc>
        <w:tc>
          <w:tcPr>
            <w:tcW w:w="590" w:type="dxa"/>
            <w:tcBorders>
              <w:right w:val="nil"/>
            </w:tcBorders>
            <w:shd w:val="clear" w:color="auto" w:fill="FFFFFF" w:themeFill="background1"/>
            <w:textDirection w:val="btLr"/>
          </w:tcPr>
          <w:p w:rsidR="00BC59A1" w:rsidRPr="00A110A1" w:rsidRDefault="00BC59A1" w:rsidP="00BC59A1">
            <w:pPr>
              <w:ind w:left="113" w:right="113"/>
              <w:rPr>
                <w:sz w:val="14"/>
                <w:szCs w:val="14"/>
                <w:vertAlign w:val="superscript"/>
              </w:rPr>
            </w:pPr>
            <w:r>
              <w:rPr>
                <w:sz w:val="14"/>
                <w:szCs w:val="14"/>
              </w:rPr>
              <w:t>Semiperiphery</w:t>
            </w:r>
          </w:p>
        </w:tc>
        <w:tc>
          <w:tcPr>
            <w:tcW w:w="528" w:type="dxa"/>
            <w:tcBorders>
              <w:left w:val="nil"/>
              <w:right w:val="nil"/>
            </w:tcBorders>
            <w:shd w:val="clear" w:color="auto" w:fill="E7E6E6" w:themeFill="background2"/>
            <w:noWrap/>
            <w:textDirection w:val="btLr"/>
          </w:tcPr>
          <w:p w:rsidR="00BC59A1" w:rsidRPr="00F810C6" w:rsidRDefault="00BC59A1" w:rsidP="00BC59A1">
            <w:pPr>
              <w:ind w:left="113" w:right="113"/>
              <w:rPr>
                <w:sz w:val="14"/>
                <w:szCs w:val="14"/>
              </w:rPr>
            </w:pPr>
            <w:r>
              <w:rPr>
                <w:sz w:val="14"/>
                <w:szCs w:val="14"/>
              </w:rPr>
              <w:t>Periphery</w:t>
            </w:r>
          </w:p>
        </w:tc>
        <w:tc>
          <w:tcPr>
            <w:tcW w:w="862" w:type="dxa"/>
            <w:tcBorders>
              <w:top w:val="single" w:sz="4" w:space="0" w:color="auto"/>
            </w:tcBorders>
            <w:textDirection w:val="btLr"/>
          </w:tcPr>
          <w:p w:rsidR="00BC59A1" w:rsidRPr="00563480" w:rsidRDefault="00BC59A1" w:rsidP="00BC59A1">
            <w:pPr>
              <w:ind w:left="113" w:right="113"/>
              <w:rPr>
                <w:sz w:val="12"/>
                <w:szCs w:val="12"/>
              </w:rPr>
            </w:pPr>
            <w:r w:rsidRPr="00563480">
              <w:rPr>
                <w:i/>
                <w:sz w:val="12"/>
                <w:szCs w:val="12"/>
              </w:rPr>
              <w:t>R</w:t>
            </w:r>
            <w:r w:rsidRPr="00563480">
              <w:rPr>
                <w:sz w:val="12"/>
                <w:szCs w:val="12"/>
                <w:vertAlign w:val="superscript"/>
              </w:rPr>
              <w:t>2</w:t>
            </w:r>
            <w:r w:rsidRPr="00563480">
              <w:rPr>
                <w:sz w:val="12"/>
                <w:szCs w:val="12"/>
              </w:rPr>
              <w:t xml:space="preserve"> Overall</w:t>
            </w:r>
          </w:p>
          <w:p w:rsidR="00BC59A1" w:rsidRPr="00563480" w:rsidRDefault="00BC59A1" w:rsidP="00BC59A1">
            <w:pPr>
              <w:ind w:left="113" w:right="113"/>
              <w:rPr>
                <w:sz w:val="12"/>
                <w:szCs w:val="12"/>
              </w:rPr>
            </w:pPr>
            <w:r w:rsidRPr="00525FCF">
              <w:rPr>
                <w:i/>
                <w:noProof/>
                <w:sz w:val="12"/>
                <w:szCs w:val="12"/>
              </w:rPr>
              <w:t>R</w:t>
            </w:r>
            <w:r w:rsidR="00525FCF" w:rsidRPr="00525FCF">
              <w:rPr>
                <w:i/>
                <w:noProof/>
                <w:sz w:val="12"/>
                <w:szCs w:val="12"/>
                <w:vertAlign w:val="superscript"/>
              </w:rPr>
              <w:t>2</w:t>
            </w:r>
            <w:r w:rsidRPr="00563480">
              <w:rPr>
                <w:i/>
                <w:sz w:val="12"/>
                <w:szCs w:val="12"/>
                <w:vertAlign w:val="superscript"/>
              </w:rPr>
              <w:t xml:space="preserve"> </w:t>
            </w:r>
            <w:r w:rsidRPr="00563480">
              <w:rPr>
                <w:sz w:val="12"/>
                <w:szCs w:val="12"/>
              </w:rPr>
              <w:t xml:space="preserve"> Within</w:t>
            </w:r>
          </w:p>
          <w:p w:rsidR="00BC59A1" w:rsidRPr="00563480" w:rsidRDefault="00BC59A1" w:rsidP="00BC59A1">
            <w:pPr>
              <w:ind w:left="113" w:right="113"/>
              <w:rPr>
                <w:sz w:val="12"/>
                <w:szCs w:val="12"/>
              </w:rPr>
            </w:pPr>
            <w:r w:rsidRPr="00525FCF">
              <w:rPr>
                <w:i/>
                <w:noProof/>
                <w:sz w:val="12"/>
                <w:szCs w:val="12"/>
              </w:rPr>
              <w:t>R</w:t>
            </w:r>
            <w:r w:rsidR="00525FCF" w:rsidRPr="00525FCF">
              <w:rPr>
                <w:i/>
                <w:noProof/>
                <w:sz w:val="12"/>
                <w:szCs w:val="12"/>
                <w:vertAlign w:val="superscript"/>
              </w:rPr>
              <w:t>2</w:t>
            </w:r>
            <w:r w:rsidRPr="00563480">
              <w:rPr>
                <w:sz w:val="12"/>
                <w:szCs w:val="12"/>
              </w:rPr>
              <w:t xml:space="preserve"> Between</w:t>
            </w:r>
          </w:p>
          <w:p w:rsidR="00BC59A1" w:rsidRPr="00563480" w:rsidRDefault="00BC59A1" w:rsidP="00BC59A1">
            <w:pPr>
              <w:ind w:left="113" w:right="113"/>
              <w:rPr>
                <w:sz w:val="12"/>
                <w:szCs w:val="12"/>
              </w:rPr>
            </w:pPr>
            <w:r w:rsidRPr="00563480">
              <w:rPr>
                <w:sz w:val="12"/>
                <w:szCs w:val="12"/>
              </w:rPr>
              <w:t>N observations</w:t>
            </w:r>
          </w:p>
          <w:p w:rsidR="00BC59A1" w:rsidRPr="006425A0" w:rsidRDefault="00BC59A1" w:rsidP="00BC59A1">
            <w:pPr>
              <w:ind w:left="113" w:right="113"/>
              <w:rPr>
                <w:sz w:val="14"/>
                <w:szCs w:val="14"/>
              </w:rPr>
            </w:pPr>
            <w:r w:rsidRPr="00563480">
              <w:rPr>
                <w:sz w:val="12"/>
                <w:szCs w:val="12"/>
              </w:rPr>
              <w:t>N groups</w:t>
            </w:r>
          </w:p>
        </w:tc>
        <w:tc>
          <w:tcPr>
            <w:tcW w:w="1658" w:type="dxa"/>
            <w:vMerge/>
            <w:tcBorders>
              <w:top w:val="nil"/>
              <w:bottom w:val="nil"/>
              <w:right w:val="nil"/>
            </w:tcBorders>
            <w:textDirection w:val="btLr"/>
          </w:tcPr>
          <w:p w:rsidR="00BC59A1" w:rsidRPr="00F810C6" w:rsidRDefault="00BC59A1" w:rsidP="00BC59A1">
            <w:pPr>
              <w:ind w:left="113" w:right="113"/>
              <w:rPr>
                <w:rFonts w:asciiTheme="minorHAnsi" w:hAnsiTheme="minorHAnsi" w:cstheme="minorBidi"/>
                <w:sz w:val="14"/>
                <w:szCs w:val="14"/>
              </w:rPr>
            </w:pPr>
          </w:p>
        </w:tc>
      </w:tr>
    </w:tbl>
    <w:p w:rsidR="00372E97" w:rsidRDefault="00372E97" w:rsidP="00372E97">
      <w:pPr>
        <w:spacing w:line="480" w:lineRule="auto"/>
        <w:contextualSpacing/>
      </w:pPr>
    </w:p>
    <w:p w:rsidR="00BC59A1" w:rsidRDefault="00BC59A1">
      <w:r>
        <w:br w:type="page"/>
      </w:r>
    </w:p>
    <w:p w:rsidR="009632BA" w:rsidRDefault="00A47A45" w:rsidP="00BB5750">
      <w:pPr>
        <w:spacing w:line="480" w:lineRule="auto"/>
        <w:contextualSpacing/>
      </w:pPr>
      <w:r>
        <w:lastRenderedPageBreak/>
        <w:t>CHAPTER 5</w:t>
      </w:r>
      <w:r w:rsidR="008D6BD4">
        <w:t>.</w:t>
      </w:r>
      <w:r w:rsidR="003E4401">
        <w:t xml:space="preserve"> </w:t>
      </w:r>
      <w:r w:rsidR="00CA505A">
        <w:t>INEQUALITY AND INCARCERATION</w:t>
      </w:r>
    </w:p>
    <w:p w:rsidR="007F2FCC" w:rsidRDefault="007F2FCC" w:rsidP="00BB5750">
      <w:pPr>
        <w:spacing w:line="480" w:lineRule="auto"/>
        <w:contextualSpacing/>
      </w:pPr>
      <w:r>
        <w:t xml:space="preserve">Inequality has long been a subject of interest to researchers. </w:t>
      </w:r>
      <w:r w:rsidRPr="00053073">
        <w:t>Kuznets (1955)</w:t>
      </w:r>
      <w:r>
        <w:t xml:space="preserve"> found </w:t>
      </w:r>
      <w:r w:rsidRPr="006C03F7">
        <w:rPr>
          <w:noProof/>
        </w:rPr>
        <w:t>inequality</w:t>
      </w:r>
      <w:r>
        <w:t xml:space="preserve"> in the distribution of income within nations increased in developing </w:t>
      </w:r>
      <w:r w:rsidRPr="00A2057D">
        <w:rPr>
          <w:noProof/>
          <w:u w:color="8CD4BC"/>
        </w:rPr>
        <w:t>economies</w:t>
      </w:r>
      <w:r>
        <w:t xml:space="preserve"> as those economies transitioned from agricultural to industrial bases, with concomitant increases in urban populations. </w:t>
      </w:r>
      <w:r>
        <w:rPr>
          <w:noProof/>
        </w:rPr>
        <w:t>I</w:t>
      </w:r>
      <w:r w:rsidRPr="00426AF0">
        <w:rPr>
          <w:noProof/>
        </w:rPr>
        <w:t>nequality inc</w:t>
      </w:r>
      <w:r>
        <w:rPr>
          <w:noProof/>
        </w:rPr>
        <w:t>reases within countries as</w:t>
      </w:r>
      <w:r w:rsidRPr="00426AF0">
        <w:rPr>
          <w:noProof/>
        </w:rPr>
        <w:t xml:space="preserve"> economies </w:t>
      </w:r>
      <w:r w:rsidRPr="00A40D9F">
        <w:rPr>
          <w:noProof/>
        </w:rPr>
        <w:t>grow</w:t>
      </w:r>
      <w:r w:rsidRPr="00426AF0">
        <w:rPr>
          <w:noProof/>
        </w:rPr>
        <w:t xml:space="preserve"> but </w:t>
      </w:r>
      <w:r w:rsidRPr="00E13EC7">
        <w:rPr>
          <w:noProof/>
        </w:rPr>
        <w:t>decreases</w:t>
      </w:r>
      <w:r w:rsidRPr="00426AF0">
        <w:rPr>
          <w:noProof/>
        </w:rPr>
        <w:t xml:space="preserve"> as those economies </w:t>
      </w:r>
      <w:r>
        <w:rPr>
          <w:noProof/>
        </w:rPr>
        <w:t xml:space="preserve">reach certain levels of growth, demonstrating a curvilinear relationship. </w:t>
      </w:r>
      <w:r w:rsidRPr="00426AF0">
        <w:rPr>
          <w:noProof/>
        </w:rPr>
        <w:t xml:space="preserve">His investigation of </w:t>
      </w:r>
      <w:r w:rsidRPr="00525FCF">
        <w:rPr>
          <w:noProof/>
        </w:rPr>
        <w:t>inequality</w:t>
      </w:r>
      <w:r w:rsidRPr="00426AF0">
        <w:rPr>
          <w:noProof/>
        </w:rPr>
        <w:t xml:space="preserve"> </w:t>
      </w:r>
      <w:r w:rsidR="00E13EC7">
        <w:rPr>
          <w:noProof/>
        </w:rPr>
        <w:t>involves only</w:t>
      </w:r>
      <w:r w:rsidRPr="00426AF0">
        <w:rPr>
          <w:noProof/>
        </w:rPr>
        <w:t xml:space="preserve"> three nations, the United States, England, and Germany</w:t>
      </w:r>
      <w:r>
        <w:rPr>
          <w:noProof/>
        </w:rPr>
        <w:t>.</w:t>
      </w:r>
      <w:r>
        <w:t xml:space="preserve"> From this early research on inequality, others have sought to use </w:t>
      </w:r>
      <w:r w:rsidRPr="00525FCF">
        <w:rPr>
          <w:noProof/>
        </w:rPr>
        <w:t>inequality</w:t>
      </w:r>
      <w:r>
        <w:t xml:space="preserve"> as an explanatory variable for differences in a variety of social outcomes. </w:t>
      </w:r>
    </w:p>
    <w:p w:rsidR="007F2FCC" w:rsidRDefault="007F2FCC" w:rsidP="00226B08">
      <w:pPr>
        <w:spacing w:line="480" w:lineRule="auto"/>
        <w:contextualSpacing/>
      </w:pPr>
      <w:r>
        <w:tab/>
        <w:t xml:space="preserve">Quinney (1969) posited that </w:t>
      </w:r>
      <w:r w:rsidR="00E13EC7">
        <w:t>social, political, and economic forces impact the social reality of crime</w:t>
      </w:r>
      <w:r>
        <w:t xml:space="preserve">. Those in the dominant class </w:t>
      </w:r>
      <w:r w:rsidRPr="00525FCF">
        <w:rPr>
          <w:noProof/>
        </w:rPr>
        <w:t>impact</w:t>
      </w:r>
      <w:r>
        <w:t xml:space="preserve"> the definitions of crime and impose those </w:t>
      </w:r>
      <w:r w:rsidRPr="00525FCF">
        <w:rPr>
          <w:noProof/>
        </w:rPr>
        <w:t>definitions</w:t>
      </w:r>
      <w:r>
        <w:t xml:space="preserve"> on the powerless. Laws </w:t>
      </w:r>
      <w:r w:rsidRPr="00525FCF">
        <w:rPr>
          <w:noProof/>
        </w:rPr>
        <w:t>are enacted</w:t>
      </w:r>
      <w:r>
        <w:t xml:space="preserve"> as a way to “control the undesirable, the criminal and the ‘nuisance’” (Chambliss 1964:76). </w:t>
      </w:r>
      <w:r w:rsidRPr="00525FCF">
        <w:rPr>
          <w:noProof/>
        </w:rPr>
        <w:t>Some within societies represent a potential threat to</w:t>
      </w:r>
      <w:r>
        <w:t xml:space="preserve"> the dominant class and may be subject to incarceration as a method of social control. As noted by Spi</w:t>
      </w:r>
      <w:r w:rsidR="00563480">
        <w:t>tzer (1975a</w:t>
      </w:r>
      <w:r>
        <w:t xml:space="preserve">): “Punishment is </w:t>
      </w:r>
      <w:r w:rsidRPr="00525FCF">
        <w:rPr>
          <w:noProof/>
        </w:rPr>
        <w:t>an instrumental</w:t>
      </w:r>
      <w:r>
        <w:t xml:space="preserve"> mechanism for preserving the structure of social life” (p. 632).  </w:t>
      </w:r>
      <w:r>
        <w:tab/>
      </w:r>
    </w:p>
    <w:p w:rsidR="007F2FCC" w:rsidRDefault="0067345B" w:rsidP="00BB5750">
      <w:pPr>
        <w:spacing w:line="480" w:lineRule="auto"/>
        <w:ind w:firstLine="720"/>
        <w:contextualSpacing/>
      </w:pPr>
      <w:r w:rsidRPr="00525FCF">
        <w:rPr>
          <w:noProof/>
        </w:rPr>
        <w:t>In p</w:t>
      </w:r>
      <w:r w:rsidR="00516631" w:rsidRPr="00525FCF">
        <w:rPr>
          <w:noProof/>
        </w:rPr>
        <w:t>r</w:t>
      </w:r>
      <w:r w:rsidRPr="00525FCF">
        <w:rPr>
          <w:noProof/>
        </w:rPr>
        <w:t xml:space="preserve">ior </w:t>
      </w:r>
      <w:r w:rsidR="00516631" w:rsidRPr="00525FCF">
        <w:rPr>
          <w:noProof/>
        </w:rPr>
        <w:t>research</w:t>
      </w:r>
      <w:r w:rsidRPr="00525FCF">
        <w:rPr>
          <w:noProof/>
        </w:rPr>
        <w:t xml:space="preserve"> some scholars</w:t>
      </w:r>
      <w:r w:rsidR="00516631" w:rsidRPr="00525FCF">
        <w:rPr>
          <w:noProof/>
        </w:rPr>
        <w:t xml:space="preserve"> </w:t>
      </w:r>
      <w:r w:rsidR="007F2FCC" w:rsidRPr="00525FCF">
        <w:rPr>
          <w:noProof/>
        </w:rPr>
        <w:t>find a positive correlation between inequality and incarceration rates</w:t>
      </w:r>
      <w:r w:rsidR="006B7444" w:rsidRPr="00525FCF">
        <w:rPr>
          <w:noProof/>
        </w:rPr>
        <w:t xml:space="preserve"> (Killias 1986; Wilkins and Pease 1987; Krus and Hoehl 1994; Wilkinson and Pickett 2007; Lappi-Seppälä 2008; Van Kesteren 2009; DeMichele 2010; Lappi-Seppälä 2010; Miller 2011; Healy et al. 2013)</w:t>
      </w:r>
      <w:r w:rsidR="007F2FCC" w:rsidRPr="00525FCF">
        <w:rPr>
          <w:noProof/>
        </w:rPr>
        <w:t xml:space="preserve">, while others do not (Neapolitan </w:t>
      </w:r>
      <w:r w:rsidR="006B7444" w:rsidRPr="00525FCF">
        <w:rPr>
          <w:noProof/>
        </w:rPr>
        <w:t>2001; Jacobs and</w:t>
      </w:r>
      <w:r w:rsidR="007F2FCC" w:rsidRPr="00525FCF">
        <w:rPr>
          <w:noProof/>
        </w:rPr>
        <w:t xml:space="preserve"> Kleban 2003; Ruddell 2005).</w:t>
      </w:r>
      <w:r w:rsidR="007F2FCC">
        <w:t xml:space="preserve"> </w:t>
      </w:r>
      <w:r w:rsidR="007F2FCC" w:rsidRPr="00525FCF">
        <w:rPr>
          <w:noProof/>
        </w:rPr>
        <w:t>I enhance and expand this research using panel d</w:t>
      </w:r>
      <w:r w:rsidR="006B7444" w:rsidRPr="00525FCF">
        <w:rPr>
          <w:noProof/>
        </w:rPr>
        <w:t>ata spanning 20 years, from 1993</w:t>
      </w:r>
      <w:r w:rsidR="007F2FCC" w:rsidRPr="00525FCF">
        <w:rPr>
          <w:noProof/>
        </w:rPr>
        <w:t xml:space="preserve"> to 2013, with incarceration </w:t>
      </w:r>
      <w:r w:rsidR="007F2FCC" w:rsidRPr="00525FCF">
        <w:rPr>
          <w:noProof/>
        </w:rPr>
        <w:lastRenderedPageBreak/>
        <w:t xml:space="preserve">rates from Walmsley’s ten editions of the </w:t>
      </w:r>
      <w:r w:rsidR="007F2FCC" w:rsidRPr="00525FCF">
        <w:rPr>
          <w:i/>
          <w:noProof/>
        </w:rPr>
        <w:t>World Prison Population List</w:t>
      </w:r>
      <w:r w:rsidR="007F2FCC" w:rsidRPr="00525FCF">
        <w:rPr>
          <w:noProof/>
        </w:rPr>
        <w:t>, Gini indices from the “Standardizing the World Income Inequality Database 4.0” (SWIID 4.0) by Frederick Solt (2009), and others as noted in the data and methods section.</w:t>
      </w:r>
      <w:r w:rsidR="007F2FCC">
        <w:t xml:space="preserve"> The earliest incarceration</w:t>
      </w:r>
      <w:r w:rsidR="006B7444">
        <w:t xml:space="preserve"> rates from Walmsley are in 1993</w:t>
      </w:r>
      <w:r w:rsidR="007F2FCC">
        <w:t xml:space="preserve">, and the </w:t>
      </w:r>
      <w:r w:rsidR="007F2FCC" w:rsidRPr="00525FCF">
        <w:rPr>
          <w:noProof/>
        </w:rPr>
        <w:t>earliest</w:t>
      </w:r>
      <w:r w:rsidR="007F2FCC">
        <w:t xml:space="preserve"> Gini indices I use are from 1990, which allows me to </w:t>
      </w:r>
      <w:r w:rsidR="007F2FCC" w:rsidRPr="00525FCF">
        <w:rPr>
          <w:noProof/>
        </w:rPr>
        <w:t>lag</w:t>
      </w:r>
      <w:r w:rsidR="007F2FCC">
        <w:t xml:space="preserve"> my independent variables up to four years. </w:t>
      </w:r>
      <w:r w:rsidR="003F3808" w:rsidRPr="00516631">
        <w:rPr>
          <w:noProof/>
        </w:rPr>
        <w:t>I</w:t>
      </w:r>
      <w:r w:rsidR="003F3808">
        <w:t xml:space="preserve"> use Stata/IC 12.1 for Windows</w:t>
      </w:r>
      <w:r w:rsidR="003F3808" w:rsidRPr="00E23D19">
        <w:rPr>
          <w:noProof/>
        </w:rPr>
        <w:t xml:space="preserve"> </w:t>
      </w:r>
      <w:r w:rsidR="003F3808">
        <w:rPr>
          <w:noProof/>
        </w:rPr>
        <w:t xml:space="preserve">for each of </w:t>
      </w:r>
      <w:r w:rsidR="003F3808" w:rsidRPr="00516631">
        <w:rPr>
          <w:noProof/>
        </w:rPr>
        <w:t>m</w:t>
      </w:r>
      <w:r w:rsidR="007F2FCC" w:rsidRPr="00516631">
        <w:rPr>
          <w:noProof/>
        </w:rPr>
        <w:t>y</w:t>
      </w:r>
      <w:r w:rsidR="007F2FCC">
        <w:t xml:space="preserve"> </w:t>
      </w:r>
      <w:r w:rsidR="007F2FCC" w:rsidRPr="00516631">
        <w:rPr>
          <w:noProof/>
        </w:rPr>
        <w:t>analyses</w:t>
      </w:r>
      <w:r w:rsidR="003F3808">
        <w:t>.</w:t>
      </w:r>
      <w:r w:rsidR="007F2FCC">
        <w:t xml:space="preserve"> For panel data, Stata allows </w:t>
      </w:r>
      <w:r w:rsidR="007F2FCC" w:rsidRPr="00516631">
        <w:rPr>
          <w:noProof/>
        </w:rPr>
        <w:t>me</w:t>
      </w:r>
      <w:r w:rsidR="007F2FCC">
        <w:t xml:space="preserve"> to run fixed- and random-effects models on the data, with a correction for autocorrelation. </w:t>
      </w:r>
    </w:p>
    <w:p w:rsidR="00566527" w:rsidRDefault="007F2FCC" w:rsidP="00566527">
      <w:pPr>
        <w:spacing w:line="480" w:lineRule="auto"/>
        <w:ind w:firstLine="720"/>
        <w:contextualSpacing/>
      </w:pPr>
      <w:r w:rsidRPr="00566527">
        <w:t xml:space="preserve">In </w:t>
      </w:r>
      <w:r w:rsidRPr="00516631">
        <w:rPr>
          <w:noProof/>
        </w:rPr>
        <w:t>my</w:t>
      </w:r>
      <w:r w:rsidR="00566527" w:rsidRPr="00566527">
        <w:t xml:space="preserve"> full </w:t>
      </w:r>
      <w:r w:rsidR="00566527" w:rsidRPr="00525FCF">
        <w:rPr>
          <w:noProof/>
        </w:rPr>
        <w:t>model</w:t>
      </w:r>
      <w:r w:rsidR="00566527" w:rsidRPr="00566527">
        <w:t xml:space="preserve"> </w:t>
      </w:r>
      <w:r w:rsidR="00AB2F17">
        <w:t xml:space="preserve">there are </w:t>
      </w:r>
      <w:r w:rsidR="00D11D0D">
        <w:t>248 observations for 6</w:t>
      </w:r>
      <w:r w:rsidR="00566527" w:rsidRPr="00566527">
        <w:t>5</w:t>
      </w:r>
      <w:r w:rsidR="00BB07B1">
        <w:t xml:space="preserve"> countries</w:t>
      </w:r>
      <w:r>
        <w:t xml:space="preserve">. </w:t>
      </w:r>
      <w:r w:rsidR="00566527" w:rsidRPr="00516631">
        <w:rPr>
          <w:noProof/>
        </w:rPr>
        <w:t>I</w:t>
      </w:r>
      <w:r w:rsidR="00566527">
        <w:t xml:space="preserve"> conduct all of the </w:t>
      </w:r>
      <w:r w:rsidR="00566527" w:rsidRPr="00516631">
        <w:rPr>
          <w:noProof/>
        </w:rPr>
        <w:t>analyses</w:t>
      </w:r>
      <w:r w:rsidR="00566527">
        <w:t xml:space="preserve"> reported in the following table with that subset </w:t>
      </w:r>
      <w:r w:rsidR="00EC60DE">
        <w:t xml:space="preserve">of </w:t>
      </w:r>
      <w:r w:rsidR="00EC60DE" w:rsidRPr="00516631">
        <w:rPr>
          <w:noProof/>
        </w:rPr>
        <w:t>my</w:t>
      </w:r>
      <w:r w:rsidR="00EC60DE">
        <w:t xml:space="preserve"> data</w:t>
      </w:r>
      <w:r w:rsidR="00566527">
        <w:t xml:space="preserve"> </w:t>
      </w:r>
      <w:r w:rsidR="00566527" w:rsidRPr="00D11D0D">
        <w:rPr>
          <w:noProof/>
        </w:rPr>
        <w:t>to</w:t>
      </w:r>
      <w:r w:rsidR="00566527">
        <w:t xml:space="preserve"> maintain consistency in the reported outcomes. When </w:t>
      </w:r>
      <w:r w:rsidR="00566527" w:rsidRPr="00516631">
        <w:rPr>
          <w:noProof/>
        </w:rPr>
        <w:t>I</w:t>
      </w:r>
      <w:r w:rsidR="00566527">
        <w:t xml:space="preserve"> run the fixed-effect regression incarceration rates on inequality in Model 1, it results in a positive and significant coefficient (</w:t>
      </w:r>
      <w:r w:rsidR="00566527">
        <w:rPr>
          <w:i/>
        </w:rPr>
        <w:t>t</w:t>
      </w:r>
      <w:r w:rsidR="00D11D0D">
        <w:t xml:space="preserve"> = 13.18</w:t>
      </w:r>
      <w:r w:rsidR="00566527">
        <w:t xml:space="preserve">, </w:t>
      </w:r>
      <w:r w:rsidR="00566527">
        <w:rPr>
          <w:i/>
        </w:rPr>
        <w:t xml:space="preserve">p </w:t>
      </w:r>
      <w:r w:rsidR="00566527">
        <w:t>&lt; .001).</w:t>
      </w:r>
      <w:r w:rsidR="00057B53">
        <w:t xml:space="preserve"> According to the analysis, inequality accounts for approximately 49</w:t>
      </w:r>
      <w:r w:rsidR="00404DE3">
        <w:t xml:space="preserve"> percent</w:t>
      </w:r>
      <w:r w:rsidR="00057B53">
        <w:t xml:space="preserve"> of the variation in incarceration rates within countries. </w:t>
      </w:r>
      <w:r w:rsidR="00057B53">
        <w:rPr>
          <w:i/>
        </w:rPr>
        <w:t xml:space="preserve"> </w:t>
      </w:r>
      <w:r w:rsidR="004272CC" w:rsidRPr="00057B53">
        <w:t>For</w:t>
      </w:r>
      <w:r w:rsidR="004272CC">
        <w:t xml:space="preserve"> each unit increase in </w:t>
      </w:r>
      <w:r w:rsidR="004272CC" w:rsidRPr="00516631">
        <w:rPr>
          <w:noProof/>
        </w:rPr>
        <w:t>my</w:t>
      </w:r>
      <w:r w:rsidR="004272CC">
        <w:t xml:space="preserve"> </w:t>
      </w:r>
      <w:r w:rsidR="004272CC" w:rsidRPr="00525FCF">
        <w:rPr>
          <w:noProof/>
        </w:rPr>
        <w:t>inequality</w:t>
      </w:r>
      <w:r w:rsidR="004272CC">
        <w:t xml:space="preserve"> measure, there is a percentage increase in incarceration rates. </w:t>
      </w:r>
      <w:r w:rsidR="00566527">
        <w:t xml:space="preserve">However, when </w:t>
      </w:r>
      <w:r w:rsidR="00566527" w:rsidRPr="00516631">
        <w:rPr>
          <w:noProof/>
        </w:rPr>
        <w:t>I</w:t>
      </w:r>
      <w:r w:rsidR="00566527">
        <w:t xml:space="preserve"> control for GDPPC in Model 2, </w:t>
      </w:r>
      <w:r w:rsidR="00566527" w:rsidRPr="00D11D0D">
        <w:rPr>
          <w:noProof/>
        </w:rPr>
        <w:t>inequality</w:t>
      </w:r>
      <w:r w:rsidR="00566527">
        <w:t xml:space="preserve"> produces a positive coefficient that is no longer significant</w:t>
      </w:r>
      <w:r w:rsidR="00057B53">
        <w:t xml:space="preserve">, yet the </w:t>
      </w:r>
      <w:r w:rsidR="00404DE3">
        <w:t>model explains approximately 75 percent</w:t>
      </w:r>
      <w:r w:rsidR="00057B53">
        <w:t xml:space="preserve"> of the variation in incarceration rates with countries</w:t>
      </w:r>
      <w:r w:rsidR="00566527">
        <w:t xml:space="preserve">. </w:t>
      </w:r>
      <w:r w:rsidR="00566527" w:rsidRPr="00516631">
        <w:rPr>
          <w:noProof/>
        </w:rPr>
        <w:t>This indicates</w:t>
      </w:r>
      <w:r w:rsidR="00516631">
        <w:t xml:space="preserve"> </w:t>
      </w:r>
      <w:r w:rsidR="00566527">
        <w:t xml:space="preserve">the influence of </w:t>
      </w:r>
      <w:r w:rsidR="00566527" w:rsidRPr="00D11D0D">
        <w:rPr>
          <w:noProof/>
        </w:rPr>
        <w:t>inequality</w:t>
      </w:r>
      <w:r w:rsidR="00566527">
        <w:t xml:space="preserve"> on incarceration rates is not significant when </w:t>
      </w:r>
      <w:r w:rsidR="004272CC">
        <w:t xml:space="preserve">the wealth of </w:t>
      </w:r>
      <w:r w:rsidR="00566527">
        <w:t xml:space="preserve">countries is held constant. </w:t>
      </w:r>
      <w:r w:rsidR="004272CC" w:rsidRPr="00525FCF">
        <w:rPr>
          <w:noProof/>
        </w:rPr>
        <w:t>As GDPPC is logged, the resul</w:t>
      </w:r>
      <w:r w:rsidR="00516631" w:rsidRPr="00525FCF">
        <w:rPr>
          <w:noProof/>
        </w:rPr>
        <w:t>tant coefficient indicates</w:t>
      </w:r>
      <w:r w:rsidR="00516631">
        <w:t xml:space="preserve"> </w:t>
      </w:r>
      <w:r w:rsidR="004272CC">
        <w:t xml:space="preserve">percentage increases in GDPPC produce </w:t>
      </w:r>
      <w:r w:rsidR="004272CC" w:rsidRPr="00D11D0D">
        <w:rPr>
          <w:noProof/>
        </w:rPr>
        <w:t>percentage</w:t>
      </w:r>
      <w:r w:rsidR="004272CC">
        <w:t xml:space="preserve"> increases in incarceration rates. </w:t>
      </w:r>
      <w:r w:rsidR="00516631">
        <w:t xml:space="preserve">And </w:t>
      </w:r>
      <w:r w:rsidR="00566527">
        <w:t>as countries’ wealth increases, so do their incarceration rates (</w:t>
      </w:r>
      <w:r w:rsidR="00566527">
        <w:rPr>
          <w:i/>
        </w:rPr>
        <w:t xml:space="preserve">t </w:t>
      </w:r>
      <w:r w:rsidR="00D11D0D">
        <w:t>= 13.77</w:t>
      </w:r>
      <w:r w:rsidR="00566527">
        <w:t xml:space="preserve">, </w:t>
      </w:r>
      <w:r w:rsidR="00566527">
        <w:rPr>
          <w:i/>
        </w:rPr>
        <w:t>p</w:t>
      </w:r>
      <w:r w:rsidR="00566527">
        <w:t xml:space="preserve"> &lt; .001). In Model 3, </w:t>
      </w:r>
      <w:r w:rsidR="00566527" w:rsidRPr="00516631">
        <w:rPr>
          <w:noProof/>
        </w:rPr>
        <w:t>I</w:t>
      </w:r>
      <w:r w:rsidR="00566527">
        <w:t xml:space="preserve"> examine the influence of inequality on incarceration rates, this time controlling for </w:t>
      </w:r>
      <w:r w:rsidR="00566527" w:rsidRPr="00516631">
        <w:rPr>
          <w:noProof/>
        </w:rPr>
        <w:t>my</w:t>
      </w:r>
      <w:r w:rsidR="00566527">
        <w:t xml:space="preserve"> democracy measure. In this </w:t>
      </w:r>
      <w:r w:rsidR="00566527" w:rsidRPr="00D11D0D">
        <w:rPr>
          <w:noProof/>
        </w:rPr>
        <w:t>analysis</w:t>
      </w:r>
      <w:r w:rsidR="00566527">
        <w:t xml:space="preserve"> both measures produce positive </w:t>
      </w:r>
      <w:r w:rsidR="00566527">
        <w:lastRenderedPageBreak/>
        <w:t>and significant coefficients, although the coefficient for inequality is less than in the first model (</w:t>
      </w:r>
      <w:r w:rsidR="00566527">
        <w:rPr>
          <w:i/>
        </w:rPr>
        <w:t>t</w:t>
      </w:r>
      <w:r w:rsidR="00D11D0D">
        <w:t xml:space="preserve"> = 6.79</w:t>
      </w:r>
      <w:r w:rsidR="00566527">
        <w:t xml:space="preserve">, </w:t>
      </w:r>
      <w:r w:rsidR="00566527">
        <w:rPr>
          <w:i/>
        </w:rPr>
        <w:t>p</w:t>
      </w:r>
      <w:r w:rsidR="00566527">
        <w:t xml:space="preserve"> &lt; .001). </w:t>
      </w:r>
      <w:r w:rsidR="00566527" w:rsidRPr="00525FCF">
        <w:rPr>
          <w:noProof/>
        </w:rPr>
        <w:t>The positive and significant results for democracy (</w:t>
      </w:r>
      <w:r w:rsidR="00566527" w:rsidRPr="00525FCF">
        <w:rPr>
          <w:i/>
          <w:noProof/>
        </w:rPr>
        <w:t>t</w:t>
      </w:r>
      <w:r w:rsidR="00D11D0D" w:rsidRPr="00525FCF">
        <w:rPr>
          <w:noProof/>
        </w:rPr>
        <w:t xml:space="preserve"> = 7.24</w:t>
      </w:r>
      <w:r w:rsidR="00566527" w:rsidRPr="00525FCF">
        <w:rPr>
          <w:noProof/>
        </w:rPr>
        <w:t xml:space="preserve">, </w:t>
      </w:r>
      <w:r w:rsidR="00566527" w:rsidRPr="00525FCF">
        <w:rPr>
          <w:i/>
          <w:noProof/>
        </w:rPr>
        <w:t>p</w:t>
      </w:r>
      <w:r w:rsidR="00516631" w:rsidRPr="00525FCF">
        <w:rPr>
          <w:noProof/>
        </w:rPr>
        <w:t xml:space="preserve"> &lt; .05) indicate </w:t>
      </w:r>
      <w:r w:rsidR="00566527" w:rsidRPr="00525FCF">
        <w:rPr>
          <w:noProof/>
        </w:rPr>
        <w:t>in countries with greater civil liberties and political rights, incarceration rates are higher.</w:t>
      </w:r>
      <w:r w:rsidR="00566527">
        <w:t xml:space="preserve"> </w:t>
      </w:r>
      <w:r w:rsidR="00566527" w:rsidRPr="00516631">
        <w:rPr>
          <w:noProof/>
        </w:rPr>
        <w:t>Noting Jacobs and Kleban’s (2003) findings that decentralized federalist democracies tend to subject local officials to greater pressure from the electorate for greater incarceration, my finding appears to be in line with their conclusions, although my democracy measure does not differentiate types of democracies.</w:t>
      </w:r>
      <w:r w:rsidR="00566527">
        <w:t xml:space="preserve"> </w:t>
      </w:r>
    </w:p>
    <w:p w:rsidR="00566527" w:rsidRDefault="00566527" w:rsidP="00566527">
      <w:pPr>
        <w:spacing w:line="480" w:lineRule="auto"/>
        <w:ind w:firstLine="720"/>
        <w:contextualSpacing/>
      </w:pPr>
      <w:r>
        <w:t>Model 4 controls for the percentage of the popul</w:t>
      </w:r>
      <w:r w:rsidR="00D11D0D">
        <w:t xml:space="preserve">ation between ages 15-64. Inequality produces a negative </w:t>
      </w:r>
      <w:r w:rsidR="00D11D0D" w:rsidRPr="00525FCF">
        <w:rPr>
          <w:noProof/>
        </w:rPr>
        <w:t>coefficient,</w:t>
      </w:r>
      <w:r w:rsidR="00D11D0D">
        <w:t xml:space="preserve"> but </w:t>
      </w:r>
      <w:r>
        <w:t>is no longer significant. The age cohort variable produces a positive and significant coefficient (</w:t>
      </w:r>
      <w:r>
        <w:rPr>
          <w:i/>
        </w:rPr>
        <w:t>t</w:t>
      </w:r>
      <w:r w:rsidR="00D11D0D">
        <w:t xml:space="preserve"> = 15.73</w:t>
      </w:r>
      <w:r>
        <w:t xml:space="preserve">, </w:t>
      </w:r>
      <w:r>
        <w:rPr>
          <w:i/>
        </w:rPr>
        <w:t>p</w:t>
      </w:r>
      <w:r>
        <w:t xml:space="preserve"> &lt; .001). As the population </w:t>
      </w:r>
      <w:r w:rsidRPr="00525FCF">
        <w:rPr>
          <w:noProof/>
        </w:rPr>
        <w:t>between</w:t>
      </w:r>
      <w:r w:rsidR="00B50716">
        <w:t xml:space="preserve"> 15 and </w:t>
      </w:r>
      <w:r>
        <w:t xml:space="preserve">64 increases, incarceration rates increase, which may reflect the fact that a larger portion of the population is eligible for incarceration. When </w:t>
      </w:r>
      <w:r w:rsidRPr="00516631">
        <w:rPr>
          <w:noProof/>
        </w:rPr>
        <w:t>I</w:t>
      </w:r>
      <w:r>
        <w:t xml:space="preserve"> introduce a control for percent of the population living in urban areas, ineq</w:t>
      </w:r>
      <w:r w:rsidR="00D11D0D">
        <w:t>uality is positive, but not</w:t>
      </w:r>
      <w:r>
        <w:t xml:space="preserve"> significant (</w:t>
      </w:r>
      <w:r>
        <w:rPr>
          <w:i/>
        </w:rPr>
        <w:t>t</w:t>
      </w:r>
      <w:r w:rsidR="00D11D0D">
        <w:t xml:space="preserve"> </w:t>
      </w:r>
      <w:r w:rsidR="00D11D0D" w:rsidRPr="00D11D0D">
        <w:rPr>
          <w:noProof/>
        </w:rPr>
        <w:t>= 1.1</w:t>
      </w:r>
      <w:r w:rsidR="00D11D0D">
        <w:rPr>
          <w:noProof/>
        </w:rPr>
        <w:t>9</w:t>
      </w:r>
      <w:r>
        <w:t xml:space="preserve">) in Model 5. </w:t>
      </w:r>
      <w:r w:rsidRPr="00525FCF">
        <w:rPr>
          <w:noProof/>
        </w:rPr>
        <w:t>Urban</w:t>
      </w:r>
      <w:r>
        <w:t xml:space="preserve"> population also produces </w:t>
      </w:r>
      <w:r w:rsidRPr="00D11D0D">
        <w:rPr>
          <w:noProof/>
        </w:rPr>
        <w:t xml:space="preserve">a </w:t>
      </w:r>
      <w:r w:rsidR="00D11D0D" w:rsidRPr="00D11D0D">
        <w:rPr>
          <w:noProof/>
        </w:rPr>
        <w:t>p</w:t>
      </w:r>
      <w:r w:rsidRPr="00D11D0D">
        <w:rPr>
          <w:noProof/>
        </w:rPr>
        <w:t>ositive</w:t>
      </w:r>
      <w:r>
        <w:t xml:space="preserve"> and significant coefficient (</w:t>
      </w:r>
      <w:r>
        <w:rPr>
          <w:i/>
        </w:rPr>
        <w:t>t</w:t>
      </w:r>
      <w:r w:rsidR="008609F9">
        <w:t xml:space="preserve"> = 14.90</w:t>
      </w:r>
      <w:r>
        <w:t xml:space="preserve">, </w:t>
      </w:r>
      <w:r>
        <w:rPr>
          <w:i/>
        </w:rPr>
        <w:t>p</w:t>
      </w:r>
      <w:r w:rsidR="00516631">
        <w:t xml:space="preserve"> &lt; .001), indicating </w:t>
      </w:r>
      <w:r>
        <w:t xml:space="preserve">countries with greater percentages of their populations residing in urban areas also have higher incarceration rates. </w:t>
      </w:r>
    </w:p>
    <w:p w:rsidR="00D11D0D" w:rsidRDefault="00566527" w:rsidP="00566527">
      <w:pPr>
        <w:spacing w:line="480" w:lineRule="auto"/>
        <w:ind w:firstLine="720"/>
        <w:contextualSpacing/>
      </w:pPr>
      <w:r>
        <w:t>Controlling for countries’ respect for physical integrity rights in Model 6 results in a positive and significant coefficient for inequality (</w:t>
      </w:r>
      <w:r>
        <w:rPr>
          <w:i/>
        </w:rPr>
        <w:t>t</w:t>
      </w:r>
      <w:r w:rsidR="00D11D0D">
        <w:t xml:space="preserve"> = 13.20</w:t>
      </w:r>
      <w:r>
        <w:t xml:space="preserve">, </w:t>
      </w:r>
      <w:r>
        <w:rPr>
          <w:i/>
        </w:rPr>
        <w:t>p</w:t>
      </w:r>
      <w:r w:rsidR="00D11D0D">
        <w:t xml:space="preserve"> &lt; .001) and a positive and significant coefficient for physical integrity rights (</w:t>
      </w:r>
      <w:r w:rsidR="00D11D0D">
        <w:rPr>
          <w:i/>
        </w:rPr>
        <w:t xml:space="preserve">t </w:t>
      </w:r>
      <w:r w:rsidR="00D11D0D">
        <w:t xml:space="preserve">= 3.29, </w:t>
      </w:r>
      <w:r w:rsidR="00D11D0D">
        <w:rPr>
          <w:i/>
        </w:rPr>
        <w:t xml:space="preserve">p </w:t>
      </w:r>
      <w:r w:rsidR="00D11D0D">
        <w:t>&lt; .001)</w:t>
      </w:r>
      <w:r>
        <w:t xml:space="preserve">. </w:t>
      </w:r>
      <w:r w:rsidR="00D11D0D">
        <w:t xml:space="preserve">Countries exercising respect for physical integrity rights are more apt to use incarceration than extrajudicial means. </w:t>
      </w:r>
    </w:p>
    <w:p w:rsidR="00566527" w:rsidRPr="00BB07B1" w:rsidRDefault="00566527" w:rsidP="00566527">
      <w:pPr>
        <w:spacing w:line="480" w:lineRule="auto"/>
        <w:ind w:firstLine="720"/>
        <w:contextualSpacing/>
        <w:rPr>
          <w:noProof/>
        </w:rPr>
      </w:pPr>
      <w:r w:rsidRPr="00525FCF">
        <w:rPr>
          <w:noProof/>
        </w:rPr>
        <w:lastRenderedPageBreak/>
        <w:t>Although Jacobs and Kleban (2003) note an inverse relationship between education and level of punitiveness found b</w:t>
      </w:r>
      <w:r w:rsidR="00EC60DE" w:rsidRPr="00525FCF">
        <w:rPr>
          <w:noProof/>
        </w:rPr>
        <w:t>y</w:t>
      </w:r>
      <w:r w:rsidRPr="00525FCF">
        <w:rPr>
          <w:noProof/>
        </w:rPr>
        <w:t xml:space="preserve"> others (p. 728), I find in Model 7 a positive and significant relationship between percentage of the population aged 15 years and older who have completed secondary education and incarceration (</w:t>
      </w:r>
      <w:r w:rsidRPr="00525FCF">
        <w:rPr>
          <w:i/>
          <w:noProof/>
        </w:rPr>
        <w:t>t</w:t>
      </w:r>
      <w:r w:rsidR="00D11D0D" w:rsidRPr="00525FCF">
        <w:rPr>
          <w:noProof/>
        </w:rPr>
        <w:t xml:space="preserve"> = 5.80</w:t>
      </w:r>
      <w:r w:rsidRPr="00525FCF">
        <w:rPr>
          <w:noProof/>
        </w:rPr>
        <w:t xml:space="preserve">, </w:t>
      </w:r>
      <w:r w:rsidRPr="00525FCF">
        <w:rPr>
          <w:i/>
          <w:noProof/>
        </w:rPr>
        <w:t>p</w:t>
      </w:r>
      <w:r w:rsidRPr="00525FCF">
        <w:rPr>
          <w:noProof/>
        </w:rPr>
        <w:t xml:space="preserve"> &lt; .001).</w:t>
      </w:r>
      <w:r>
        <w:t xml:space="preserve"> Controlling for educational attainment still produces a positive and significant coefficient for inequality (</w:t>
      </w:r>
      <w:r>
        <w:rPr>
          <w:i/>
        </w:rPr>
        <w:t>t</w:t>
      </w:r>
      <w:r w:rsidR="00D11D0D">
        <w:t xml:space="preserve"> = 8.09</w:t>
      </w:r>
      <w:r>
        <w:t xml:space="preserve">, </w:t>
      </w:r>
      <w:r>
        <w:rPr>
          <w:i/>
        </w:rPr>
        <w:t>p</w:t>
      </w:r>
      <w:r>
        <w:t xml:space="preserve"> &lt; .001). </w:t>
      </w:r>
      <w:r>
        <w:rPr>
          <w:noProof/>
        </w:rPr>
        <w:t xml:space="preserve"> Controlling for homicide rates produces a positive and significant coefficient for inequality (</w:t>
      </w:r>
      <w:r>
        <w:rPr>
          <w:i/>
          <w:noProof/>
        </w:rPr>
        <w:t>t</w:t>
      </w:r>
      <w:r w:rsidR="00D11D0D">
        <w:rPr>
          <w:noProof/>
        </w:rPr>
        <w:t xml:space="preserve"> = 12.87</w:t>
      </w:r>
      <w:r>
        <w:rPr>
          <w:noProof/>
        </w:rPr>
        <w:t xml:space="preserve">, </w:t>
      </w:r>
      <w:r>
        <w:rPr>
          <w:i/>
          <w:noProof/>
        </w:rPr>
        <w:t>p</w:t>
      </w:r>
      <w:r>
        <w:rPr>
          <w:noProof/>
        </w:rPr>
        <w:t xml:space="preserve"> &lt; .001)</w:t>
      </w:r>
      <w:r w:rsidR="00D11D0D">
        <w:rPr>
          <w:noProof/>
        </w:rPr>
        <w:t xml:space="preserve">. However, </w:t>
      </w:r>
      <w:r>
        <w:rPr>
          <w:noProof/>
        </w:rPr>
        <w:t>for homicide rates (</w:t>
      </w:r>
      <w:r>
        <w:rPr>
          <w:i/>
          <w:noProof/>
        </w:rPr>
        <w:t>t</w:t>
      </w:r>
      <w:r w:rsidR="00D11D0D">
        <w:rPr>
          <w:noProof/>
        </w:rPr>
        <w:t xml:space="preserve"> = 1.69</w:t>
      </w:r>
      <w:r>
        <w:rPr>
          <w:noProof/>
        </w:rPr>
        <w:t xml:space="preserve">, </w:t>
      </w:r>
      <w:r>
        <w:rPr>
          <w:i/>
          <w:noProof/>
        </w:rPr>
        <w:t>p</w:t>
      </w:r>
      <w:r w:rsidR="00D11D0D">
        <w:rPr>
          <w:noProof/>
        </w:rPr>
        <w:t xml:space="preserve"> &lt; .10</w:t>
      </w:r>
      <w:r>
        <w:rPr>
          <w:noProof/>
        </w:rPr>
        <w:t>)</w:t>
      </w:r>
      <w:r w:rsidR="00D11D0D">
        <w:rPr>
          <w:noProof/>
        </w:rPr>
        <w:t xml:space="preserve"> the coefficient merely approaches significance</w:t>
      </w:r>
      <w:r>
        <w:rPr>
          <w:noProof/>
        </w:rPr>
        <w:t xml:space="preserve"> in Model 8. </w:t>
      </w:r>
    </w:p>
    <w:p w:rsidR="00D11D0D" w:rsidRPr="00D11D0D" w:rsidRDefault="00D11D0D" w:rsidP="00566527">
      <w:pPr>
        <w:spacing w:line="480" w:lineRule="auto"/>
        <w:ind w:firstLine="720"/>
        <w:contextualSpacing/>
        <w:rPr>
          <w:noProof/>
        </w:rPr>
      </w:pPr>
      <w:r>
        <w:rPr>
          <w:noProof/>
        </w:rPr>
        <w:t>In Model 9</w:t>
      </w:r>
      <w:r w:rsidRPr="00BB07B1">
        <w:rPr>
          <w:noProof/>
        </w:rPr>
        <w:t>,</w:t>
      </w:r>
      <w:r>
        <w:rPr>
          <w:noProof/>
        </w:rPr>
        <w:t xml:space="preserve"> I control for the logged variable of drug offense rates. Again, income inequality produces a positive, significant result (</w:t>
      </w:r>
      <w:r>
        <w:rPr>
          <w:i/>
          <w:noProof/>
        </w:rPr>
        <w:t xml:space="preserve">t </w:t>
      </w:r>
      <w:r>
        <w:rPr>
          <w:noProof/>
        </w:rPr>
        <w:t xml:space="preserve">= 12.40, </w:t>
      </w:r>
      <w:r>
        <w:rPr>
          <w:i/>
          <w:noProof/>
        </w:rPr>
        <w:t>p</w:t>
      </w:r>
      <w:r>
        <w:rPr>
          <w:noProof/>
        </w:rPr>
        <w:t xml:space="preserve"> &lt; .001). Drug offense rates are also positive and significant (</w:t>
      </w:r>
      <w:r>
        <w:rPr>
          <w:i/>
          <w:noProof/>
        </w:rPr>
        <w:t>t</w:t>
      </w:r>
      <w:r>
        <w:rPr>
          <w:noProof/>
        </w:rPr>
        <w:t xml:space="preserve"> = 3.71, </w:t>
      </w:r>
      <w:r>
        <w:rPr>
          <w:i/>
          <w:noProof/>
        </w:rPr>
        <w:t>p</w:t>
      </w:r>
      <w:r>
        <w:rPr>
          <w:noProof/>
        </w:rPr>
        <w:t xml:space="preserve"> &lt; .001). </w:t>
      </w:r>
      <w:r w:rsidR="00BB07B1" w:rsidRPr="00516631">
        <w:rPr>
          <w:noProof/>
        </w:rPr>
        <w:t>Controlling for percent of the population that is male produces a negative, non-significant coefficient for inequality (</w:t>
      </w:r>
      <w:r w:rsidR="00BB07B1" w:rsidRPr="00516631">
        <w:rPr>
          <w:i/>
          <w:noProof/>
        </w:rPr>
        <w:t xml:space="preserve">t </w:t>
      </w:r>
      <w:r>
        <w:rPr>
          <w:noProof/>
        </w:rPr>
        <w:t>= -1.25</w:t>
      </w:r>
      <w:r w:rsidR="00BB07B1" w:rsidRPr="00516631">
        <w:rPr>
          <w:noProof/>
        </w:rPr>
        <w:t>), and a positive, significant coefficient for percent male (</w:t>
      </w:r>
      <w:r w:rsidR="00BB07B1" w:rsidRPr="00516631">
        <w:rPr>
          <w:i/>
          <w:noProof/>
        </w:rPr>
        <w:t xml:space="preserve">t </w:t>
      </w:r>
      <w:r>
        <w:rPr>
          <w:noProof/>
        </w:rPr>
        <w:t>= 15.16</w:t>
      </w:r>
      <w:r w:rsidR="00BB07B1" w:rsidRPr="00516631">
        <w:rPr>
          <w:noProof/>
        </w:rPr>
        <w:t xml:space="preserve">, </w:t>
      </w:r>
      <w:r w:rsidR="00BB07B1" w:rsidRPr="00516631">
        <w:rPr>
          <w:i/>
          <w:noProof/>
        </w:rPr>
        <w:t xml:space="preserve">p </w:t>
      </w:r>
      <w:r>
        <w:rPr>
          <w:noProof/>
        </w:rPr>
        <w:t>&lt; .001) in Model 10</w:t>
      </w:r>
      <w:r w:rsidR="00BB07B1" w:rsidRPr="00516631">
        <w:rPr>
          <w:noProof/>
        </w:rPr>
        <w:t>.</w:t>
      </w:r>
      <w:r w:rsidR="00BB07B1">
        <w:rPr>
          <w:noProof/>
        </w:rPr>
        <w:t xml:space="preserve"> As the percentage </w:t>
      </w:r>
      <w:r w:rsidR="00BB07B1" w:rsidRPr="00525FCF">
        <w:rPr>
          <w:noProof/>
        </w:rPr>
        <w:t>of males in the population increases, incarceration rates</w:t>
      </w:r>
      <w:r w:rsidR="00BB07B1">
        <w:rPr>
          <w:noProof/>
        </w:rPr>
        <w:t xml:space="preserve"> tend to increase</w:t>
      </w:r>
      <w:r>
        <w:rPr>
          <w:noProof/>
        </w:rPr>
        <w:t>.</w:t>
      </w:r>
    </w:p>
    <w:p w:rsidR="00566527" w:rsidRDefault="00566527" w:rsidP="00566527">
      <w:pPr>
        <w:spacing w:line="480" w:lineRule="auto"/>
        <w:ind w:firstLine="720"/>
        <w:contextualSpacing/>
        <w:rPr>
          <w:noProof/>
        </w:rPr>
      </w:pPr>
      <w:r w:rsidRPr="00516631">
        <w:rPr>
          <w:noProof/>
        </w:rPr>
        <w:t>I</w:t>
      </w:r>
      <w:r>
        <w:rPr>
          <w:noProof/>
        </w:rPr>
        <w:t xml:space="preserve"> introduce ethnic fractionalization, “the probability that two individuals selected at random from a country will be different </w:t>
      </w:r>
      <w:r w:rsidR="00516631">
        <w:rPr>
          <w:noProof/>
        </w:rPr>
        <w:t>ethnic groups” (Fearon 2003:208</w:t>
      </w:r>
      <w:r w:rsidR="00D11D0D">
        <w:rPr>
          <w:noProof/>
        </w:rPr>
        <w:t>),</w:t>
      </w:r>
      <w:r>
        <w:rPr>
          <w:noProof/>
        </w:rPr>
        <w:t xml:space="preserve"> as a control variable with inequality</w:t>
      </w:r>
      <w:r w:rsidR="00D11D0D">
        <w:rPr>
          <w:noProof/>
        </w:rPr>
        <w:t xml:space="preserve"> in Model 11</w:t>
      </w:r>
      <w:r>
        <w:rPr>
          <w:noProof/>
        </w:rPr>
        <w:t>. While inequality produces a positive and significant coefficient (</w:t>
      </w:r>
      <w:r>
        <w:rPr>
          <w:i/>
          <w:noProof/>
        </w:rPr>
        <w:t>t</w:t>
      </w:r>
      <w:r w:rsidR="00D11D0D">
        <w:rPr>
          <w:noProof/>
        </w:rPr>
        <w:t xml:space="preserve"> = 10.05</w:t>
      </w:r>
      <w:r>
        <w:rPr>
          <w:noProof/>
        </w:rPr>
        <w:t xml:space="preserve">, </w:t>
      </w:r>
      <w:r>
        <w:rPr>
          <w:i/>
          <w:noProof/>
        </w:rPr>
        <w:t>p</w:t>
      </w:r>
      <w:r>
        <w:rPr>
          <w:noProof/>
        </w:rPr>
        <w:t xml:space="preserve"> &lt; .001), ethnic fractionalization</w:t>
      </w:r>
      <w:r w:rsidR="00EC60DE">
        <w:rPr>
          <w:noProof/>
        </w:rPr>
        <w:t xml:space="preserve"> and its interaction with standardized time</w:t>
      </w:r>
      <w:r>
        <w:rPr>
          <w:noProof/>
        </w:rPr>
        <w:t xml:space="preserve"> (</w:t>
      </w:r>
      <w:r>
        <w:rPr>
          <w:i/>
          <w:noProof/>
        </w:rPr>
        <w:t>t</w:t>
      </w:r>
      <w:r w:rsidR="00D11D0D">
        <w:rPr>
          <w:noProof/>
        </w:rPr>
        <w:t xml:space="preserve"> = -.75</w:t>
      </w:r>
      <w:r>
        <w:rPr>
          <w:noProof/>
        </w:rPr>
        <w:t>) does not. In other words, the influence of</w:t>
      </w:r>
      <w:r w:rsidR="00EC60DE">
        <w:rPr>
          <w:noProof/>
        </w:rPr>
        <w:t xml:space="preserve"> ethnic fractionalization, at the middle of the </w:t>
      </w:r>
      <w:r w:rsidR="00EC60DE" w:rsidRPr="00525FCF">
        <w:rPr>
          <w:noProof/>
        </w:rPr>
        <w:t>time period</w:t>
      </w:r>
      <w:r w:rsidR="00EC60DE">
        <w:rPr>
          <w:noProof/>
        </w:rPr>
        <w:t xml:space="preserve">, </w:t>
      </w:r>
      <w:r>
        <w:rPr>
          <w:noProof/>
        </w:rPr>
        <w:t xml:space="preserve">on incarceration rates appears to be </w:t>
      </w:r>
      <w:r>
        <w:rPr>
          <w:noProof/>
        </w:rPr>
        <w:lastRenderedPageBreak/>
        <w:t>minimal. Unne</w:t>
      </w:r>
      <w:r w:rsidR="00516631">
        <w:rPr>
          <w:noProof/>
        </w:rPr>
        <w:t xml:space="preserve">ver and Cullen (2010) note </w:t>
      </w:r>
      <w:r>
        <w:rPr>
          <w:noProof/>
        </w:rPr>
        <w:t>ethnic intolerance, while not necessarily indicated in my variable, was a significant predictor of</w:t>
      </w:r>
      <w:r w:rsidR="00EC60DE">
        <w:rPr>
          <w:noProof/>
        </w:rPr>
        <w:t xml:space="preserve"> support for the </w:t>
      </w:r>
      <w:r w:rsidR="00EC60DE" w:rsidRPr="00525FCF">
        <w:rPr>
          <w:noProof/>
        </w:rPr>
        <w:t>death penalty</w:t>
      </w:r>
      <w:r w:rsidR="00EC60DE">
        <w:rPr>
          <w:noProof/>
        </w:rPr>
        <w:t xml:space="preserve">. </w:t>
      </w:r>
    </w:p>
    <w:p w:rsidR="00EC60DE" w:rsidRDefault="00D11D0D" w:rsidP="00566527">
      <w:pPr>
        <w:spacing w:line="480" w:lineRule="auto"/>
        <w:ind w:firstLine="720"/>
        <w:contextualSpacing/>
        <w:rPr>
          <w:noProof/>
        </w:rPr>
      </w:pPr>
      <w:r>
        <w:rPr>
          <w:noProof/>
        </w:rPr>
        <w:t>In Model 12</w:t>
      </w:r>
      <w:r w:rsidR="00566527">
        <w:rPr>
          <w:noProof/>
        </w:rPr>
        <w:t xml:space="preserve">, </w:t>
      </w:r>
      <w:r w:rsidR="00566527" w:rsidRPr="00516631">
        <w:rPr>
          <w:noProof/>
        </w:rPr>
        <w:t>I</w:t>
      </w:r>
      <w:r w:rsidR="00566527">
        <w:rPr>
          <w:noProof/>
        </w:rPr>
        <w:t xml:space="preserve"> use all of </w:t>
      </w:r>
      <w:r w:rsidR="00566527" w:rsidRPr="00516631">
        <w:rPr>
          <w:noProof/>
        </w:rPr>
        <w:t>my</w:t>
      </w:r>
      <w:r w:rsidR="00566527">
        <w:rPr>
          <w:noProof/>
        </w:rPr>
        <w:t xml:space="preserve"> variables as controls for inequality in the fixed-effect model. In this model</w:t>
      </w:r>
      <w:r>
        <w:rPr>
          <w:noProof/>
        </w:rPr>
        <w:t>, inequality produces a negative</w:t>
      </w:r>
      <w:r w:rsidR="00566527">
        <w:rPr>
          <w:noProof/>
        </w:rPr>
        <w:t>, but non-significant coefficient (</w:t>
      </w:r>
      <w:r w:rsidR="00566527">
        <w:rPr>
          <w:i/>
          <w:noProof/>
        </w:rPr>
        <w:t>t</w:t>
      </w:r>
      <w:r>
        <w:rPr>
          <w:noProof/>
        </w:rPr>
        <w:t xml:space="preserve"> = -1.50</w:t>
      </w:r>
      <w:r w:rsidR="00566527">
        <w:rPr>
          <w:noProof/>
        </w:rPr>
        <w:t xml:space="preserve">). </w:t>
      </w:r>
      <w:r>
        <w:rPr>
          <w:noProof/>
        </w:rPr>
        <w:t xml:space="preserve">Variables </w:t>
      </w:r>
      <w:r w:rsidRPr="00525FCF">
        <w:rPr>
          <w:noProof/>
        </w:rPr>
        <w:t>producing positive and significant results include: percentage of</w:t>
      </w:r>
      <w:r>
        <w:rPr>
          <w:noProof/>
        </w:rPr>
        <w:t xml:space="preserve"> the population between age 15-64 (</w:t>
      </w:r>
      <w:r>
        <w:rPr>
          <w:i/>
          <w:noProof/>
        </w:rPr>
        <w:t>t</w:t>
      </w:r>
      <w:r>
        <w:rPr>
          <w:noProof/>
        </w:rPr>
        <w:t xml:space="preserve"> = 4.18, </w:t>
      </w:r>
      <w:r>
        <w:rPr>
          <w:i/>
          <w:noProof/>
        </w:rPr>
        <w:t>p</w:t>
      </w:r>
      <w:r>
        <w:rPr>
          <w:noProof/>
        </w:rPr>
        <w:t xml:space="preserve"> &lt; .001), percent of the population residing in urban areas (</w:t>
      </w:r>
      <w:r>
        <w:rPr>
          <w:i/>
          <w:noProof/>
        </w:rPr>
        <w:t xml:space="preserve">t </w:t>
      </w:r>
      <w:r>
        <w:rPr>
          <w:noProof/>
        </w:rPr>
        <w:t xml:space="preserve">= 3.82, </w:t>
      </w:r>
      <w:r>
        <w:rPr>
          <w:i/>
          <w:noProof/>
        </w:rPr>
        <w:t>p</w:t>
      </w:r>
      <w:r>
        <w:rPr>
          <w:noProof/>
        </w:rPr>
        <w:t xml:space="preserve"> &lt; .001), and drug offense rates (</w:t>
      </w:r>
      <w:r>
        <w:rPr>
          <w:i/>
          <w:noProof/>
        </w:rPr>
        <w:t>t</w:t>
      </w:r>
      <w:r>
        <w:rPr>
          <w:noProof/>
        </w:rPr>
        <w:t xml:space="preserve"> = 2.67, </w:t>
      </w:r>
      <w:r>
        <w:rPr>
          <w:i/>
          <w:noProof/>
        </w:rPr>
        <w:t xml:space="preserve">p </w:t>
      </w:r>
      <w:r>
        <w:rPr>
          <w:noProof/>
        </w:rPr>
        <w:t>&lt; .01). Country wealth produces a negative and significant coefficient (</w:t>
      </w:r>
      <w:r>
        <w:rPr>
          <w:i/>
          <w:noProof/>
        </w:rPr>
        <w:t>t</w:t>
      </w:r>
      <w:r>
        <w:rPr>
          <w:noProof/>
        </w:rPr>
        <w:t xml:space="preserve"> = -4.57, </w:t>
      </w:r>
      <w:r>
        <w:rPr>
          <w:i/>
          <w:noProof/>
        </w:rPr>
        <w:t>p</w:t>
      </w:r>
      <w:r>
        <w:rPr>
          <w:noProof/>
        </w:rPr>
        <w:t xml:space="preserve"> &lt; .001). </w:t>
      </w:r>
      <w:r w:rsidR="00057B53">
        <w:rPr>
          <w:noProof/>
        </w:rPr>
        <w:t>The variables in Model 12 explain over 86</w:t>
      </w:r>
      <w:r w:rsidR="00404DE3">
        <w:rPr>
          <w:noProof/>
        </w:rPr>
        <w:t xml:space="preserve"> percent</w:t>
      </w:r>
      <w:r w:rsidR="00057B53">
        <w:rPr>
          <w:noProof/>
        </w:rPr>
        <w:t xml:space="preserve"> of the variation in incarceration rates within countries. </w:t>
      </w:r>
      <w:r w:rsidR="00566527">
        <w:rPr>
          <w:noProof/>
        </w:rPr>
        <w:t>Finally, in Model 1</w:t>
      </w:r>
      <w:r w:rsidR="00057B53">
        <w:rPr>
          <w:noProof/>
        </w:rPr>
        <w:t>3</w:t>
      </w:r>
      <w:r w:rsidR="00566527">
        <w:rPr>
          <w:noProof/>
        </w:rPr>
        <w:t xml:space="preserve"> </w:t>
      </w:r>
      <w:r w:rsidR="00566527" w:rsidRPr="00516631">
        <w:rPr>
          <w:noProof/>
        </w:rPr>
        <w:t>I</w:t>
      </w:r>
      <w:r w:rsidR="00566527">
        <w:rPr>
          <w:noProof/>
        </w:rPr>
        <w:t xml:space="preserve"> introduce a regional dummy control with West as </w:t>
      </w:r>
      <w:r w:rsidR="00566527" w:rsidRPr="00516631">
        <w:rPr>
          <w:noProof/>
        </w:rPr>
        <w:t>my</w:t>
      </w:r>
      <w:r w:rsidR="00566527">
        <w:rPr>
          <w:noProof/>
        </w:rPr>
        <w:t xml:space="preserve"> </w:t>
      </w:r>
      <w:r w:rsidR="00566527" w:rsidRPr="00525FCF">
        <w:rPr>
          <w:noProof/>
        </w:rPr>
        <w:t>referrent</w:t>
      </w:r>
      <w:r w:rsidR="00566527">
        <w:rPr>
          <w:noProof/>
        </w:rPr>
        <w:t xml:space="preserve"> category. The results are similar to those listed in Model 1</w:t>
      </w:r>
      <w:r w:rsidR="00057B53">
        <w:rPr>
          <w:noProof/>
        </w:rPr>
        <w:t>2</w:t>
      </w:r>
      <w:r w:rsidR="00566527">
        <w:rPr>
          <w:noProof/>
        </w:rPr>
        <w:t xml:space="preserve">, with a </w:t>
      </w:r>
      <w:r w:rsidR="00BB04E8">
        <w:rPr>
          <w:noProof/>
        </w:rPr>
        <w:t xml:space="preserve">slight </w:t>
      </w:r>
      <w:r w:rsidR="00566527">
        <w:rPr>
          <w:noProof/>
        </w:rPr>
        <w:t>reduction in</w:t>
      </w:r>
      <w:r w:rsidR="00BB04E8">
        <w:rPr>
          <w:noProof/>
        </w:rPr>
        <w:t xml:space="preserve"> </w:t>
      </w:r>
      <w:r w:rsidR="00B50716">
        <w:rPr>
          <w:noProof/>
        </w:rPr>
        <w:t xml:space="preserve">the </w:t>
      </w:r>
      <w:r w:rsidR="00BB04E8" w:rsidRPr="00E13EC7">
        <w:rPr>
          <w:i/>
          <w:noProof/>
        </w:rPr>
        <w:t>t</w:t>
      </w:r>
      <w:r w:rsidR="00BB04E8" w:rsidRPr="00E13EC7">
        <w:rPr>
          <w:noProof/>
        </w:rPr>
        <w:t>-score</w:t>
      </w:r>
      <w:r>
        <w:rPr>
          <w:noProof/>
        </w:rPr>
        <w:t xml:space="preserve"> for drug offense</w:t>
      </w:r>
      <w:r w:rsidR="00566527">
        <w:rPr>
          <w:noProof/>
        </w:rPr>
        <w:t xml:space="preserve"> rate</w:t>
      </w:r>
      <w:r w:rsidR="00B50716">
        <w:rPr>
          <w:noProof/>
        </w:rPr>
        <w:t>s</w:t>
      </w:r>
      <w:r w:rsidR="00566527">
        <w:rPr>
          <w:noProof/>
        </w:rPr>
        <w:t xml:space="preserve"> (</w:t>
      </w:r>
      <w:r w:rsidR="00566527">
        <w:rPr>
          <w:i/>
          <w:noProof/>
        </w:rPr>
        <w:t>t</w:t>
      </w:r>
      <w:r>
        <w:rPr>
          <w:noProof/>
        </w:rPr>
        <w:t xml:space="preserve"> = 1</w:t>
      </w:r>
      <w:r w:rsidR="00D01E9B">
        <w:rPr>
          <w:noProof/>
        </w:rPr>
        <w:t>.</w:t>
      </w:r>
      <w:r>
        <w:rPr>
          <w:noProof/>
        </w:rPr>
        <w:t>79</w:t>
      </w:r>
      <w:r w:rsidR="00566527">
        <w:rPr>
          <w:noProof/>
        </w:rPr>
        <w:t xml:space="preserve">, </w:t>
      </w:r>
      <w:r w:rsidR="00566527">
        <w:rPr>
          <w:i/>
          <w:noProof/>
        </w:rPr>
        <w:t>p</w:t>
      </w:r>
      <w:r w:rsidR="00566527">
        <w:rPr>
          <w:noProof/>
        </w:rPr>
        <w:t xml:space="preserve"> &lt;</w:t>
      </w:r>
      <w:r w:rsidR="00B50716">
        <w:rPr>
          <w:noProof/>
        </w:rPr>
        <w:t xml:space="preserve"> .10</w:t>
      </w:r>
      <w:r w:rsidR="00566527">
        <w:rPr>
          <w:noProof/>
        </w:rPr>
        <w:t>). For the regional variabl</w:t>
      </w:r>
      <w:r w:rsidR="00BB04E8">
        <w:rPr>
          <w:noProof/>
        </w:rPr>
        <w:t>es,</w:t>
      </w:r>
      <w:r>
        <w:rPr>
          <w:noProof/>
        </w:rPr>
        <w:t xml:space="preserve"> none </w:t>
      </w:r>
      <w:r w:rsidRPr="00525FCF">
        <w:rPr>
          <w:noProof/>
        </w:rPr>
        <w:t>produce</w:t>
      </w:r>
      <w:r>
        <w:rPr>
          <w:noProof/>
        </w:rPr>
        <w:t xml:space="preserve"> significant results.</w:t>
      </w:r>
      <w:r w:rsidR="00295E9C">
        <w:rPr>
          <w:noProof/>
        </w:rPr>
        <w:t xml:space="preserve"> </w:t>
      </w:r>
      <w:r w:rsidR="00057B53">
        <w:rPr>
          <w:noProof/>
        </w:rPr>
        <w:t>However, the explanatory value of the model explains over 88</w:t>
      </w:r>
      <w:r w:rsidR="00404DE3">
        <w:rPr>
          <w:noProof/>
        </w:rPr>
        <w:t xml:space="preserve"> percent</w:t>
      </w:r>
      <w:r w:rsidR="00057B53">
        <w:rPr>
          <w:noProof/>
        </w:rPr>
        <w:t xml:space="preserve"> of the variation in incarceration rates. </w:t>
      </w:r>
      <w:r w:rsidR="00295E9C">
        <w:rPr>
          <w:noProof/>
        </w:rPr>
        <w:t>See Table 13</w:t>
      </w:r>
      <w:r w:rsidR="00566527">
        <w:rPr>
          <w:noProof/>
        </w:rPr>
        <w:t xml:space="preserve"> below. </w:t>
      </w:r>
    </w:p>
    <w:p w:rsidR="00D11D0D" w:rsidRDefault="00D11D0D" w:rsidP="00BB07B1">
      <w:pPr>
        <w:spacing w:before="240" w:line="480" w:lineRule="auto"/>
        <w:ind w:firstLine="720"/>
        <w:contextualSpacing/>
        <w:rPr>
          <w:noProof/>
        </w:rPr>
      </w:pPr>
    </w:p>
    <w:p w:rsidR="00D11D0D" w:rsidRDefault="00D11D0D" w:rsidP="00BB07B1">
      <w:pPr>
        <w:spacing w:before="240" w:line="480" w:lineRule="auto"/>
        <w:ind w:firstLine="720"/>
        <w:contextualSpacing/>
        <w:rPr>
          <w:noProof/>
        </w:rPr>
      </w:pPr>
    </w:p>
    <w:p w:rsidR="00D11D0D" w:rsidRDefault="00D11D0D" w:rsidP="00BB07B1">
      <w:pPr>
        <w:spacing w:before="240" w:line="480" w:lineRule="auto"/>
        <w:ind w:firstLine="720"/>
        <w:contextualSpacing/>
        <w:rPr>
          <w:noProof/>
        </w:rPr>
      </w:pPr>
    </w:p>
    <w:p w:rsidR="00D11D0D" w:rsidRDefault="00D11D0D" w:rsidP="00BB07B1">
      <w:pPr>
        <w:spacing w:before="240" w:line="480" w:lineRule="auto"/>
        <w:ind w:firstLine="720"/>
        <w:contextualSpacing/>
        <w:rPr>
          <w:noProof/>
        </w:rPr>
      </w:pPr>
    </w:p>
    <w:p w:rsidR="00D11D0D" w:rsidRDefault="00D11D0D" w:rsidP="00BB07B1">
      <w:pPr>
        <w:spacing w:before="240" w:line="480" w:lineRule="auto"/>
        <w:ind w:firstLine="720"/>
        <w:contextualSpacing/>
        <w:rPr>
          <w:noProof/>
        </w:rPr>
      </w:pPr>
    </w:p>
    <w:p w:rsidR="00D11D0D" w:rsidRDefault="00D11D0D" w:rsidP="00BB07B1">
      <w:pPr>
        <w:spacing w:before="240" w:line="480" w:lineRule="auto"/>
        <w:ind w:firstLine="720"/>
        <w:contextualSpacing/>
        <w:rPr>
          <w:noProof/>
        </w:rPr>
      </w:pPr>
    </w:p>
    <w:p w:rsidR="00D11D0D" w:rsidRDefault="00D11D0D" w:rsidP="00BB07B1">
      <w:pPr>
        <w:spacing w:before="240" w:line="480" w:lineRule="auto"/>
        <w:ind w:firstLine="720"/>
        <w:contextualSpacing/>
        <w:rPr>
          <w:noProof/>
        </w:rPr>
      </w:pPr>
    </w:p>
    <w:p w:rsidR="00D11D0D" w:rsidRDefault="00D11D0D" w:rsidP="00BB07B1">
      <w:pPr>
        <w:spacing w:before="240" w:line="480" w:lineRule="auto"/>
        <w:ind w:firstLine="720"/>
        <w:contextualSpacing/>
        <w:rPr>
          <w:noProof/>
        </w:rPr>
      </w:pPr>
    </w:p>
    <w:tbl>
      <w:tblPr>
        <w:tblStyle w:val="TableGrid5"/>
        <w:tblW w:w="8740" w:type="dxa"/>
        <w:tblInd w:w="-270" w:type="dxa"/>
        <w:tblLayout w:type="fixed"/>
        <w:tblLook w:val="02A0" w:firstRow="1" w:lastRow="0" w:firstColumn="1" w:lastColumn="0" w:noHBand="1" w:noVBand="0"/>
      </w:tblPr>
      <w:tblGrid>
        <w:gridCol w:w="270"/>
        <w:gridCol w:w="269"/>
        <w:gridCol w:w="269"/>
        <w:gridCol w:w="406"/>
        <w:gridCol w:w="407"/>
        <w:gridCol w:w="407"/>
        <w:gridCol w:w="407"/>
        <w:gridCol w:w="407"/>
        <w:gridCol w:w="406"/>
        <w:gridCol w:w="407"/>
        <w:gridCol w:w="407"/>
        <w:gridCol w:w="407"/>
        <w:gridCol w:w="407"/>
        <w:gridCol w:w="407"/>
        <w:gridCol w:w="406"/>
        <w:gridCol w:w="407"/>
        <w:gridCol w:w="407"/>
        <w:gridCol w:w="407"/>
        <w:gridCol w:w="407"/>
        <w:gridCol w:w="406"/>
        <w:gridCol w:w="5"/>
        <w:gridCol w:w="553"/>
        <w:gridCol w:w="244"/>
        <w:gridCol w:w="215"/>
      </w:tblGrid>
      <w:tr w:rsidR="00D11D0D" w:rsidTr="00A63DE0">
        <w:trPr>
          <w:trHeight w:val="990"/>
        </w:trPr>
        <w:tc>
          <w:tcPr>
            <w:tcW w:w="269" w:type="dxa"/>
            <w:vMerge w:val="restart"/>
            <w:tcBorders>
              <w:top w:val="nil"/>
              <w:left w:val="nil"/>
              <w:bottom w:val="nil"/>
              <w:right w:val="nil"/>
            </w:tcBorders>
            <w:vAlign w:val="center"/>
          </w:tcPr>
          <w:p w:rsidR="00D11D0D" w:rsidRDefault="00D11D0D" w:rsidP="00697E66">
            <w:pPr>
              <w:rPr>
                <w:sz w:val="14"/>
                <w:szCs w:val="14"/>
              </w:rPr>
            </w:pPr>
          </w:p>
        </w:tc>
        <w:tc>
          <w:tcPr>
            <w:tcW w:w="269" w:type="dxa"/>
            <w:vMerge w:val="restart"/>
            <w:tcBorders>
              <w:top w:val="nil"/>
              <w:left w:val="nil"/>
              <w:bottom w:val="nil"/>
              <w:right w:val="single" w:sz="4" w:space="0" w:color="auto"/>
            </w:tcBorders>
            <w:textDirection w:val="btLr"/>
          </w:tcPr>
          <w:p w:rsidR="00D11D0D" w:rsidRPr="00BB07B1" w:rsidRDefault="00D11D0D" w:rsidP="00697E66">
            <w:pPr>
              <w:ind w:left="113" w:right="113"/>
              <w:rPr>
                <w:sz w:val="16"/>
                <w:szCs w:val="16"/>
              </w:rPr>
            </w:pPr>
            <w:r>
              <w:rPr>
                <w:sz w:val="16"/>
                <w:szCs w:val="16"/>
              </w:rPr>
              <w:t xml:space="preserve">Table 13. FE Regression of Incarceration Rates on the Listed Variables. </w:t>
            </w:r>
          </w:p>
        </w:tc>
        <w:tc>
          <w:tcPr>
            <w:tcW w:w="269" w:type="dxa"/>
            <w:tcBorders>
              <w:top w:val="single" w:sz="4" w:space="0" w:color="auto"/>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10</w:t>
            </w:r>
          </w:p>
        </w:tc>
        <w:tc>
          <w:tcPr>
            <w:tcW w:w="406" w:type="dxa"/>
            <w:tcBorders>
              <w:top w:val="single" w:sz="4" w:space="0" w:color="auto"/>
              <w:left w:val="single" w:sz="4" w:space="0" w:color="auto"/>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single" w:sz="4" w:space="0" w:color="auto"/>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noWrap/>
            <w:textDirection w:val="btLr"/>
          </w:tcPr>
          <w:p w:rsidR="00D11D0D" w:rsidRPr="00412AD2" w:rsidRDefault="00D11D0D" w:rsidP="00697E66">
            <w:pPr>
              <w:ind w:left="113" w:right="113"/>
              <w:jc w:val="right"/>
              <w:rPr>
                <w:sz w:val="12"/>
                <w:szCs w:val="12"/>
              </w:rPr>
            </w:pPr>
          </w:p>
        </w:tc>
        <w:tc>
          <w:tcPr>
            <w:tcW w:w="406" w:type="dxa"/>
            <w:tcBorders>
              <w:top w:val="single" w:sz="4" w:space="0" w:color="auto"/>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textDirection w:val="btLr"/>
          </w:tcPr>
          <w:p w:rsidR="00D11D0D" w:rsidRPr="00412AD2" w:rsidRDefault="00D11D0D" w:rsidP="00697E66">
            <w:pPr>
              <w:ind w:left="113" w:right="113"/>
              <w:jc w:val="right"/>
              <w:rPr>
                <w:sz w:val="12"/>
                <w:szCs w:val="12"/>
              </w:rPr>
            </w:pPr>
            <w:r>
              <w:rPr>
                <w:sz w:val="12"/>
                <w:szCs w:val="12"/>
              </w:rPr>
              <w:t>.11</w:t>
            </w:r>
            <w:r w:rsidRPr="00412AD2">
              <w:rPr>
                <w:sz w:val="12"/>
                <w:szCs w:val="12"/>
              </w:rPr>
              <w:t>***</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single" w:sz="4" w:space="0" w:color="auto"/>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single" w:sz="4" w:space="0" w:color="auto"/>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single" w:sz="4" w:space="0" w:color="auto"/>
              <w:left w:val="single" w:sz="4" w:space="0" w:color="auto"/>
              <w:bottom w:val="nil"/>
              <w:right w:val="single" w:sz="4" w:space="0" w:color="auto"/>
            </w:tcBorders>
            <w:textDirection w:val="btLr"/>
          </w:tcPr>
          <w:p w:rsidR="00D11D0D" w:rsidRPr="00412AD2" w:rsidRDefault="00D11D0D" w:rsidP="00697E66">
            <w:pPr>
              <w:ind w:left="113" w:right="113"/>
              <w:jc w:val="right"/>
              <w:rPr>
                <w:sz w:val="12"/>
                <w:szCs w:val="12"/>
              </w:rPr>
            </w:pPr>
            <w:r>
              <w:rPr>
                <w:sz w:val="12"/>
                <w:szCs w:val="12"/>
              </w:rPr>
              <w:t>.29</w:t>
            </w:r>
          </w:p>
          <w:p w:rsidR="00D11D0D" w:rsidRPr="00412AD2" w:rsidRDefault="00D11D0D" w:rsidP="00697E66">
            <w:pPr>
              <w:ind w:left="113" w:right="113"/>
              <w:jc w:val="right"/>
              <w:rPr>
                <w:sz w:val="12"/>
                <w:szCs w:val="12"/>
              </w:rPr>
            </w:pPr>
            <w:r>
              <w:rPr>
                <w:sz w:val="12"/>
                <w:szCs w:val="12"/>
              </w:rPr>
              <w:t>.77</w:t>
            </w:r>
          </w:p>
          <w:p w:rsidR="00D11D0D" w:rsidRPr="00412AD2" w:rsidRDefault="00D11D0D" w:rsidP="00697E66">
            <w:pPr>
              <w:ind w:left="113" w:right="113"/>
              <w:jc w:val="right"/>
              <w:rPr>
                <w:sz w:val="12"/>
                <w:szCs w:val="12"/>
              </w:rPr>
            </w:pPr>
            <w:r>
              <w:rPr>
                <w:sz w:val="12"/>
                <w:szCs w:val="12"/>
              </w:rPr>
              <w:t>.30</w:t>
            </w:r>
          </w:p>
          <w:p w:rsidR="00D11D0D" w:rsidRPr="00412AD2" w:rsidRDefault="00D11D0D" w:rsidP="00697E66">
            <w:pPr>
              <w:ind w:left="113" w:right="113"/>
              <w:jc w:val="right"/>
              <w:rPr>
                <w:sz w:val="12"/>
                <w:szCs w:val="12"/>
              </w:rPr>
            </w:pPr>
          </w:p>
        </w:tc>
        <w:tc>
          <w:tcPr>
            <w:tcW w:w="460" w:type="dxa"/>
            <w:gridSpan w:val="2"/>
            <w:vMerge w:val="restart"/>
            <w:tcBorders>
              <w:top w:val="nil"/>
              <w:left w:val="single" w:sz="4" w:space="0" w:color="auto"/>
              <w:bottom w:val="nil"/>
              <w:right w:val="nil"/>
            </w:tcBorders>
            <w:textDirection w:val="btLr"/>
            <w:hideMark/>
          </w:tcPr>
          <w:p w:rsidR="00D11D0D" w:rsidRDefault="00D11D0D" w:rsidP="00697E66">
            <w:pPr>
              <w:ind w:left="113" w:right="113"/>
              <w:rPr>
                <w:sz w:val="14"/>
                <w:szCs w:val="14"/>
              </w:rPr>
            </w:pPr>
            <w:r>
              <w:rPr>
                <w:sz w:val="14"/>
                <w:szCs w:val="14"/>
              </w:rPr>
              <w:t>Note: a = variable logged; b = * time (standardized);  +p&lt;.10; *p&lt;.05; **p&lt;.01; ***p&lt;.001. N=248 for each model.</w:t>
            </w:r>
          </w:p>
        </w:tc>
      </w:tr>
      <w:tr w:rsidR="00D11D0D" w:rsidTr="00A63DE0">
        <w:trPr>
          <w:trHeight w:val="962"/>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9</w:t>
            </w:r>
          </w:p>
        </w:tc>
        <w:tc>
          <w:tcPr>
            <w:tcW w:w="406" w:type="dxa"/>
            <w:tcBorders>
              <w:top w:val="nil"/>
              <w:left w:val="single" w:sz="4" w:space="0" w:color="auto"/>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.09</w:t>
            </w:r>
            <w:r w:rsidRPr="00412AD2">
              <w:rPr>
                <w:sz w:val="12"/>
                <w:szCs w:val="12"/>
              </w:rPr>
              <w:t>***</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6" w:type="dxa"/>
            <w:tcBorders>
              <w:top w:val="nil"/>
              <w:left w:val="nil"/>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.11</w:t>
            </w:r>
            <w:r w:rsidRPr="00412AD2">
              <w:rPr>
                <w:sz w:val="12"/>
                <w:szCs w:val="12"/>
              </w:rPr>
              <w:t>**</w:t>
            </w:r>
            <w:r>
              <w:rPr>
                <w:sz w:val="12"/>
                <w:szCs w:val="12"/>
              </w:rPr>
              <w:t>*</w:t>
            </w:r>
          </w:p>
          <w:p w:rsidR="00D11D0D" w:rsidRPr="00412AD2" w:rsidRDefault="00D11D0D" w:rsidP="00697E66">
            <w:pPr>
              <w:ind w:left="113" w:right="113"/>
              <w:jc w:val="right"/>
              <w:rPr>
                <w:sz w:val="12"/>
                <w:szCs w:val="12"/>
              </w:rPr>
            </w:pPr>
            <w:r>
              <w:rPr>
                <w:sz w:val="12"/>
                <w:szCs w:val="12"/>
              </w:rPr>
              <w:t>(.03</w:t>
            </w:r>
            <w:r w:rsidRPr="00412AD2">
              <w:rPr>
                <w:sz w:val="12"/>
                <w:szCs w:val="12"/>
              </w:rPr>
              <w:t>)</w:t>
            </w:r>
          </w:p>
        </w:tc>
        <w:tc>
          <w:tcPr>
            <w:tcW w:w="407"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nil"/>
              <w:left w:val="single" w:sz="4" w:space="0" w:color="auto"/>
              <w:bottom w:val="nil"/>
              <w:right w:val="single" w:sz="4" w:space="0" w:color="auto"/>
            </w:tcBorders>
            <w:textDirection w:val="btLr"/>
            <w:hideMark/>
          </w:tcPr>
          <w:p w:rsidR="00D11D0D" w:rsidRPr="00412AD2" w:rsidRDefault="00D11D0D" w:rsidP="00697E66">
            <w:pPr>
              <w:ind w:left="113" w:right="113"/>
              <w:jc w:val="right"/>
              <w:rPr>
                <w:sz w:val="12"/>
                <w:szCs w:val="12"/>
              </w:rPr>
            </w:pPr>
            <w:r>
              <w:rPr>
                <w:sz w:val="12"/>
                <w:szCs w:val="12"/>
              </w:rPr>
              <w:t>.07</w:t>
            </w:r>
          </w:p>
          <w:p w:rsidR="00D11D0D" w:rsidRDefault="00D11D0D" w:rsidP="00697E66">
            <w:pPr>
              <w:ind w:left="113" w:right="113"/>
              <w:jc w:val="right"/>
              <w:rPr>
                <w:sz w:val="12"/>
                <w:szCs w:val="12"/>
              </w:rPr>
            </w:pPr>
            <w:r>
              <w:rPr>
                <w:sz w:val="12"/>
                <w:szCs w:val="12"/>
              </w:rPr>
              <w:t>.54</w:t>
            </w:r>
          </w:p>
          <w:p w:rsidR="00D11D0D" w:rsidRPr="00412AD2" w:rsidRDefault="00D11D0D" w:rsidP="00697E66">
            <w:pPr>
              <w:ind w:left="113" w:right="113"/>
              <w:jc w:val="right"/>
              <w:rPr>
                <w:sz w:val="12"/>
                <w:szCs w:val="12"/>
              </w:rPr>
            </w:pPr>
            <w:r>
              <w:rPr>
                <w:sz w:val="12"/>
                <w:szCs w:val="12"/>
              </w:rPr>
              <w:t>.07</w:t>
            </w:r>
          </w:p>
          <w:p w:rsidR="00D11D0D" w:rsidRPr="00412AD2" w:rsidRDefault="00D11D0D" w:rsidP="00697E66">
            <w:pPr>
              <w:ind w:left="113" w:right="113"/>
              <w:jc w:val="right"/>
              <w:rPr>
                <w:sz w:val="12"/>
                <w:szCs w:val="12"/>
              </w:rPr>
            </w:pP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trHeight w:val="1070"/>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8</w:t>
            </w:r>
          </w:p>
        </w:tc>
        <w:tc>
          <w:tcPr>
            <w:tcW w:w="406" w:type="dxa"/>
            <w:tcBorders>
              <w:top w:val="nil"/>
              <w:left w:val="single" w:sz="4" w:space="0" w:color="auto"/>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 xml:space="preserve">   .09</w:t>
            </w:r>
            <w:r w:rsidRPr="00412AD2">
              <w:rPr>
                <w:sz w:val="12"/>
                <w:szCs w:val="12"/>
              </w:rPr>
              <w:t>***</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r>
              <w:rPr>
                <w:sz w:val="12"/>
                <w:szCs w:val="12"/>
              </w:rPr>
              <w:t>.14+</w:t>
            </w:r>
          </w:p>
          <w:p w:rsidR="00D11D0D" w:rsidRPr="00412AD2" w:rsidRDefault="00D11D0D" w:rsidP="00697E66">
            <w:pPr>
              <w:ind w:left="113" w:right="113"/>
              <w:jc w:val="right"/>
              <w:rPr>
                <w:sz w:val="12"/>
                <w:szCs w:val="12"/>
              </w:rPr>
            </w:pPr>
            <w:r>
              <w:rPr>
                <w:sz w:val="12"/>
                <w:szCs w:val="12"/>
              </w:rPr>
              <w:t>(.09</w:t>
            </w:r>
            <w:r w:rsidRPr="00412AD2">
              <w:rPr>
                <w:sz w:val="12"/>
                <w:szCs w:val="12"/>
              </w:rPr>
              <w:t>)</w:t>
            </w:r>
          </w:p>
        </w:tc>
        <w:tc>
          <w:tcPr>
            <w:tcW w:w="406"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nil"/>
              <w:left w:val="single" w:sz="4" w:space="0" w:color="auto"/>
              <w:bottom w:val="nil"/>
              <w:right w:val="single" w:sz="4" w:space="0" w:color="auto"/>
            </w:tcBorders>
            <w:textDirection w:val="btLr"/>
            <w:hideMark/>
          </w:tcPr>
          <w:p w:rsidR="00D11D0D" w:rsidRPr="00412AD2" w:rsidRDefault="00D11D0D" w:rsidP="00697E66">
            <w:pPr>
              <w:ind w:left="113" w:right="113"/>
              <w:jc w:val="right"/>
              <w:rPr>
                <w:sz w:val="12"/>
                <w:szCs w:val="12"/>
              </w:rPr>
            </w:pPr>
            <w:r>
              <w:rPr>
                <w:sz w:val="12"/>
                <w:szCs w:val="12"/>
              </w:rPr>
              <w:t>.07</w:t>
            </w:r>
          </w:p>
          <w:p w:rsidR="00D11D0D" w:rsidRPr="00412AD2" w:rsidRDefault="00D11D0D" w:rsidP="00697E66">
            <w:pPr>
              <w:ind w:left="113" w:right="113"/>
              <w:jc w:val="right"/>
              <w:rPr>
                <w:sz w:val="12"/>
                <w:szCs w:val="12"/>
              </w:rPr>
            </w:pPr>
            <w:r>
              <w:rPr>
                <w:sz w:val="12"/>
                <w:szCs w:val="12"/>
              </w:rPr>
              <w:t>.51</w:t>
            </w:r>
          </w:p>
          <w:p w:rsidR="00D11D0D" w:rsidRPr="00412AD2" w:rsidRDefault="00D11D0D" w:rsidP="00697E66">
            <w:pPr>
              <w:ind w:left="113" w:right="113"/>
              <w:jc w:val="right"/>
              <w:rPr>
                <w:sz w:val="12"/>
                <w:szCs w:val="12"/>
              </w:rPr>
            </w:pPr>
            <w:r>
              <w:rPr>
                <w:sz w:val="12"/>
                <w:szCs w:val="12"/>
              </w:rPr>
              <w:t>.08</w:t>
            </w:r>
          </w:p>
          <w:p w:rsidR="00D11D0D" w:rsidRPr="00412AD2" w:rsidRDefault="00D11D0D" w:rsidP="00697E66">
            <w:pPr>
              <w:ind w:left="113" w:right="113"/>
              <w:jc w:val="right"/>
              <w:rPr>
                <w:sz w:val="12"/>
                <w:szCs w:val="12"/>
              </w:rPr>
            </w:pP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trHeight w:val="962"/>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7</w:t>
            </w:r>
          </w:p>
        </w:tc>
        <w:tc>
          <w:tcPr>
            <w:tcW w:w="406" w:type="dxa"/>
            <w:tcBorders>
              <w:top w:val="nil"/>
              <w:left w:val="single" w:sz="4" w:space="0" w:color="auto"/>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.06</w:t>
            </w:r>
            <w:r w:rsidRPr="00412AD2">
              <w:rPr>
                <w:sz w:val="12"/>
                <w:szCs w:val="12"/>
              </w:rPr>
              <w:t>***</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.04</w:t>
            </w:r>
            <w:r w:rsidRPr="00412AD2">
              <w:rPr>
                <w:sz w:val="12"/>
                <w:szCs w:val="12"/>
              </w:rPr>
              <w:t>***</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6"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nil"/>
              <w:left w:val="single" w:sz="4" w:space="0" w:color="auto"/>
              <w:bottom w:val="nil"/>
              <w:right w:val="single" w:sz="4" w:space="0" w:color="auto"/>
            </w:tcBorders>
            <w:textDirection w:val="btLr"/>
            <w:hideMark/>
          </w:tcPr>
          <w:p w:rsidR="00D11D0D" w:rsidRPr="00412AD2" w:rsidRDefault="00D11D0D" w:rsidP="00697E66">
            <w:pPr>
              <w:ind w:left="113" w:right="113"/>
              <w:jc w:val="right"/>
              <w:rPr>
                <w:sz w:val="12"/>
                <w:szCs w:val="12"/>
              </w:rPr>
            </w:pPr>
            <w:r>
              <w:rPr>
                <w:sz w:val="12"/>
                <w:szCs w:val="12"/>
              </w:rPr>
              <w:t>.13</w:t>
            </w:r>
          </w:p>
          <w:p w:rsidR="00D11D0D" w:rsidRPr="00412AD2" w:rsidRDefault="00D11D0D" w:rsidP="00697E66">
            <w:pPr>
              <w:ind w:left="113" w:right="113"/>
              <w:jc w:val="right"/>
              <w:rPr>
                <w:sz w:val="12"/>
                <w:szCs w:val="12"/>
              </w:rPr>
            </w:pPr>
            <w:r>
              <w:rPr>
                <w:sz w:val="12"/>
                <w:szCs w:val="12"/>
              </w:rPr>
              <w:t>.57</w:t>
            </w:r>
          </w:p>
          <w:p w:rsidR="00D11D0D" w:rsidRPr="00412AD2" w:rsidRDefault="00D11D0D" w:rsidP="00697E66">
            <w:pPr>
              <w:ind w:left="113" w:right="113"/>
              <w:jc w:val="right"/>
              <w:rPr>
                <w:sz w:val="12"/>
                <w:szCs w:val="12"/>
              </w:rPr>
            </w:pPr>
            <w:r>
              <w:rPr>
                <w:sz w:val="12"/>
                <w:szCs w:val="12"/>
              </w:rPr>
              <w:t>.14</w:t>
            </w:r>
          </w:p>
          <w:p w:rsidR="00D11D0D" w:rsidRPr="00412AD2" w:rsidRDefault="00D11D0D" w:rsidP="00697E66">
            <w:pPr>
              <w:ind w:left="113" w:right="113"/>
              <w:jc w:val="right"/>
              <w:rPr>
                <w:sz w:val="12"/>
                <w:szCs w:val="12"/>
              </w:rPr>
            </w:pP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trHeight w:val="962"/>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6</w:t>
            </w:r>
          </w:p>
        </w:tc>
        <w:tc>
          <w:tcPr>
            <w:tcW w:w="406" w:type="dxa"/>
            <w:tcBorders>
              <w:top w:val="nil"/>
              <w:left w:val="single" w:sz="4" w:space="0" w:color="auto"/>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.09</w:t>
            </w:r>
            <w:r w:rsidRPr="00412AD2">
              <w:rPr>
                <w:sz w:val="12"/>
                <w:szCs w:val="12"/>
              </w:rPr>
              <w:t>***</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hideMark/>
          </w:tcPr>
          <w:p w:rsidR="00D11D0D" w:rsidRPr="00412AD2" w:rsidRDefault="00D11D0D" w:rsidP="00697E66">
            <w:pPr>
              <w:ind w:left="113" w:right="113"/>
              <w:jc w:val="right"/>
              <w:rPr>
                <w:sz w:val="12"/>
                <w:szCs w:val="12"/>
              </w:rPr>
            </w:pPr>
            <w:r>
              <w:rPr>
                <w:sz w:val="12"/>
                <w:szCs w:val="12"/>
              </w:rPr>
              <w:t>.05***</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6"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nil"/>
              <w:left w:val="single" w:sz="4" w:space="0" w:color="auto"/>
              <w:bottom w:val="nil"/>
              <w:right w:val="single" w:sz="4" w:space="0" w:color="auto"/>
            </w:tcBorders>
            <w:textDirection w:val="btLr"/>
            <w:hideMark/>
          </w:tcPr>
          <w:p w:rsidR="00D11D0D" w:rsidRPr="00412AD2" w:rsidRDefault="00D11D0D" w:rsidP="00697E66">
            <w:pPr>
              <w:ind w:left="113" w:right="113"/>
              <w:jc w:val="right"/>
              <w:rPr>
                <w:sz w:val="12"/>
                <w:szCs w:val="12"/>
              </w:rPr>
            </w:pPr>
            <w:r>
              <w:rPr>
                <w:sz w:val="12"/>
                <w:szCs w:val="12"/>
              </w:rPr>
              <w:t>.05</w:t>
            </w:r>
          </w:p>
          <w:p w:rsidR="00D11D0D" w:rsidRPr="00412AD2" w:rsidRDefault="00D11D0D" w:rsidP="00697E66">
            <w:pPr>
              <w:ind w:left="113" w:right="113"/>
              <w:jc w:val="right"/>
              <w:rPr>
                <w:sz w:val="12"/>
                <w:szCs w:val="12"/>
              </w:rPr>
            </w:pPr>
            <w:r>
              <w:rPr>
                <w:sz w:val="12"/>
                <w:szCs w:val="12"/>
              </w:rPr>
              <w:t>.52</w:t>
            </w:r>
          </w:p>
          <w:p w:rsidR="00D11D0D" w:rsidRPr="00412AD2" w:rsidRDefault="00D11D0D" w:rsidP="00697E66">
            <w:pPr>
              <w:ind w:left="113" w:right="113"/>
              <w:jc w:val="right"/>
              <w:rPr>
                <w:sz w:val="12"/>
                <w:szCs w:val="12"/>
              </w:rPr>
            </w:pPr>
            <w:r>
              <w:rPr>
                <w:sz w:val="12"/>
                <w:szCs w:val="12"/>
              </w:rPr>
              <w:t>.05</w:t>
            </w:r>
          </w:p>
          <w:p w:rsidR="00D11D0D" w:rsidRPr="00412AD2" w:rsidRDefault="00D11D0D" w:rsidP="00697E66">
            <w:pPr>
              <w:ind w:left="113" w:right="113"/>
              <w:jc w:val="right"/>
              <w:rPr>
                <w:sz w:val="12"/>
                <w:szCs w:val="12"/>
              </w:rPr>
            </w:pP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trHeight w:val="962"/>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5</w:t>
            </w:r>
          </w:p>
        </w:tc>
        <w:tc>
          <w:tcPr>
            <w:tcW w:w="406" w:type="dxa"/>
            <w:tcBorders>
              <w:top w:val="nil"/>
              <w:left w:val="single" w:sz="4" w:space="0" w:color="auto"/>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.06</w:t>
            </w:r>
            <w:r w:rsidRPr="00412AD2">
              <w:rPr>
                <w:sz w:val="12"/>
                <w:szCs w:val="12"/>
              </w:rPr>
              <w:t>***</w:t>
            </w:r>
          </w:p>
          <w:p w:rsidR="00D11D0D" w:rsidRPr="00412AD2" w:rsidRDefault="00D11D0D" w:rsidP="00697E66">
            <w:pPr>
              <w:ind w:left="113" w:right="113"/>
              <w:jc w:val="right"/>
              <w:rPr>
                <w:sz w:val="12"/>
                <w:szCs w:val="12"/>
              </w:rPr>
            </w:pPr>
            <w:r>
              <w:rPr>
                <w:sz w:val="12"/>
                <w:szCs w:val="12"/>
              </w:rPr>
              <w:t>(.004</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6"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nil"/>
              <w:left w:val="single" w:sz="4" w:space="0" w:color="auto"/>
              <w:bottom w:val="nil"/>
              <w:right w:val="single" w:sz="4" w:space="0" w:color="auto"/>
            </w:tcBorders>
            <w:textDirection w:val="btLr"/>
            <w:hideMark/>
          </w:tcPr>
          <w:p w:rsidR="00D11D0D" w:rsidRPr="00412AD2" w:rsidRDefault="00D11D0D" w:rsidP="00697E66">
            <w:pPr>
              <w:ind w:left="113" w:right="113"/>
              <w:jc w:val="right"/>
              <w:rPr>
                <w:sz w:val="12"/>
                <w:szCs w:val="12"/>
              </w:rPr>
            </w:pPr>
            <w:r>
              <w:rPr>
                <w:sz w:val="12"/>
                <w:szCs w:val="12"/>
              </w:rPr>
              <w:t>.00</w:t>
            </w:r>
          </w:p>
          <w:p w:rsidR="00D11D0D" w:rsidRPr="00412AD2" w:rsidRDefault="00D11D0D" w:rsidP="00697E66">
            <w:pPr>
              <w:ind w:left="113" w:right="113"/>
              <w:jc w:val="right"/>
              <w:rPr>
                <w:sz w:val="12"/>
                <w:szCs w:val="12"/>
              </w:rPr>
            </w:pPr>
            <w:r>
              <w:rPr>
                <w:sz w:val="12"/>
                <w:szCs w:val="12"/>
              </w:rPr>
              <w:t>.78</w:t>
            </w:r>
          </w:p>
          <w:p w:rsidR="00D11D0D" w:rsidRPr="00412AD2" w:rsidRDefault="00D11D0D" w:rsidP="00697E66">
            <w:pPr>
              <w:ind w:left="113" w:right="113"/>
              <w:jc w:val="right"/>
              <w:rPr>
                <w:sz w:val="12"/>
                <w:szCs w:val="12"/>
              </w:rPr>
            </w:pPr>
            <w:r>
              <w:rPr>
                <w:sz w:val="12"/>
                <w:szCs w:val="12"/>
              </w:rPr>
              <w:t>.00</w:t>
            </w:r>
          </w:p>
          <w:p w:rsidR="00D11D0D" w:rsidRPr="00412AD2" w:rsidRDefault="00D11D0D" w:rsidP="00697E66">
            <w:pPr>
              <w:ind w:left="113" w:right="113"/>
              <w:jc w:val="right"/>
              <w:rPr>
                <w:sz w:val="12"/>
                <w:szCs w:val="12"/>
              </w:rPr>
            </w:pP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trHeight w:val="998"/>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4</w:t>
            </w:r>
          </w:p>
        </w:tc>
        <w:tc>
          <w:tcPr>
            <w:tcW w:w="406" w:type="dxa"/>
            <w:tcBorders>
              <w:top w:val="nil"/>
              <w:left w:val="single" w:sz="4" w:space="0" w:color="auto"/>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hideMark/>
          </w:tcPr>
          <w:p w:rsidR="00D11D0D" w:rsidRPr="00412AD2" w:rsidRDefault="00D11D0D" w:rsidP="00697E66">
            <w:pPr>
              <w:ind w:left="113" w:right="113"/>
              <w:jc w:val="right"/>
              <w:rPr>
                <w:sz w:val="12"/>
                <w:szCs w:val="12"/>
              </w:rPr>
            </w:pPr>
            <w:r>
              <w:rPr>
                <w:sz w:val="12"/>
                <w:szCs w:val="12"/>
              </w:rPr>
              <w:t>.08</w:t>
            </w:r>
            <w:r w:rsidRPr="00412AD2">
              <w:rPr>
                <w:sz w:val="12"/>
                <w:szCs w:val="12"/>
              </w:rPr>
              <w:t>***</w:t>
            </w:r>
          </w:p>
          <w:p w:rsidR="00D11D0D" w:rsidRPr="00412AD2" w:rsidRDefault="00D11D0D" w:rsidP="00697E66">
            <w:pPr>
              <w:ind w:left="113" w:right="113"/>
              <w:jc w:val="right"/>
              <w:rPr>
                <w:sz w:val="12"/>
                <w:szCs w:val="12"/>
              </w:rPr>
            </w:pPr>
            <w:r>
              <w:rPr>
                <w:sz w:val="12"/>
                <w:szCs w:val="12"/>
              </w:rPr>
              <w:t>(.004</w:t>
            </w:r>
            <w:r w:rsidRPr="00412AD2">
              <w:rPr>
                <w:sz w:val="12"/>
                <w:szCs w:val="12"/>
              </w:rPr>
              <w:t>)</w:t>
            </w: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6"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nil"/>
              <w:left w:val="single" w:sz="4" w:space="0" w:color="auto"/>
              <w:bottom w:val="nil"/>
              <w:right w:val="single" w:sz="4" w:space="0" w:color="auto"/>
            </w:tcBorders>
            <w:textDirection w:val="btLr"/>
            <w:hideMark/>
          </w:tcPr>
          <w:p w:rsidR="00D11D0D" w:rsidRPr="00412AD2"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r>
              <w:rPr>
                <w:sz w:val="12"/>
                <w:szCs w:val="12"/>
              </w:rPr>
              <w:t>.78</w:t>
            </w:r>
          </w:p>
          <w:p w:rsidR="00D11D0D" w:rsidRPr="00412AD2"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trHeight w:val="1007"/>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3</w:t>
            </w:r>
          </w:p>
        </w:tc>
        <w:tc>
          <w:tcPr>
            <w:tcW w:w="406" w:type="dxa"/>
            <w:tcBorders>
              <w:top w:val="nil"/>
              <w:left w:val="single" w:sz="4" w:space="0" w:color="auto"/>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.05</w:t>
            </w:r>
            <w:r w:rsidRPr="00412AD2">
              <w:rPr>
                <w:sz w:val="12"/>
                <w:szCs w:val="12"/>
              </w:rPr>
              <w:t>***</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.30</w:t>
            </w:r>
            <w:r w:rsidRPr="00412AD2">
              <w:rPr>
                <w:sz w:val="12"/>
                <w:szCs w:val="12"/>
              </w:rPr>
              <w:t>***</w:t>
            </w:r>
          </w:p>
          <w:p w:rsidR="00D11D0D" w:rsidRPr="00412AD2" w:rsidRDefault="00D11D0D" w:rsidP="00697E66">
            <w:pPr>
              <w:ind w:left="113" w:right="113"/>
              <w:jc w:val="right"/>
              <w:rPr>
                <w:sz w:val="12"/>
                <w:szCs w:val="12"/>
              </w:rPr>
            </w:pPr>
            <w:r>
              <w:rPr>
                <w:sz w:val="12"/>
                <w:szCs w:val="12"/>
              </w:rPr>
              <w:t>(.04</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6"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nil"/>
              <w:left w:val="single" w:sz="4" w:space="0" w:color="auto"/>
              <w:bottom w:val="nil"/>
              <w:right w:val="single" w:sz="4" w:space="0" w:color="auto"/>
            </w:tcBorders>
            <w:textDirection w:val="btLr"/>
            <w:hideMark/>
          </w:tcPr>
          <w:p w:rsidR="00D11D0D" w:rsidRPr="00412AD2"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r>
              <w:rPr>
                <w:sz w:val="12"/>
                <w:szCs w:val="12"/>
              </w:rPr>
              <w:t>.63</w:t>
            </w:r>
          </w:p>
          <w:p w:rsidR="00D11D0D" w:rsidRPr="00412AD2"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trHeight w:val="998"/>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2</w:t>
            </w:r>
          </w:p>
        </w:tc>
        <w:tc>
          <w:tcPr>
            <w:tcW w:w="406" w:type="dxa"/>
            <w:tcBorders>
              <w:top w:val="nil"/>
              <w:left w:val="single" w:sz="4" w:space="0" w:color="auto"/>
              <w:bottom w:val="nil"/>
              <w:right w:val="nil"/>
            </w:tcBorders>
            <w:shd w:val="clear" w:color="auto" w:fill="E7E6E6" w:themeFill="background2"/>
            <w:noWrap/>
            <w:textDirection w:val="btLr"/>
            <w:hideMark/>
          </w:tcPr>
          <w:p w:rsidR="00D11D0D" w:rsidRDefault="00D11D0D" w:rsidP="00697E66">
            <w:pPr>
              <w:ind w:left="113" w:right="113"/>
              <w:jc w:val="right"/>
              <w:rPr>
                <w:sz w:val="12"/>
                <w:szCs w:val="12"/>
              </w:rPr>
            </w:pPr>
            <w:r>
              <w:rPr>
                <w:sz w:val="12"/>
                <w:szCs w:val="12"/>
              </w:rPr>
              <w:t>.001</w:t>
            </w:r>
          </w:p>
          <w:p w:rsidR="00D11D0D" w:rsidRPr="00412AD2" w:rsidRDefault="00D11D0D" w:rsidP="00697E66">
            <w:pPr>
              <w:ind w:left="113" w:right="113"/>
              <w:jc w:val="right"/>
              <w:rPr>
                <w:sz w:val="12"/>
                <w:szCs w:val="12"/>
              </w:rPr>
            </w:pPr>
            <w:r w:rsidRPr="0053363F">
              <w:rPr>
                <w:sz w:val="12"/>
                <w:szCs w:val="12"/>
              </w:rPr>
              <w:t xml:space="preserve"> </w:t>
            </w:r>
            <w:r w:rsidRPr="00412AD2">
              <w:rPr>
                <w:sz w:val="12"/>
                <w:szCs w:val="12"/>
              </w:rPr>
              <w:t>(</w:t>
            </w:r>
            <w:r>
              <w:rPr>
                <w:sz w:val="12"/>
                <w:szCs w:val="12"/>
              </w:rPr>
              <w:t>.01</w:t>
            </w:r>
            <w:r w:rsidRPr="00412AD2">
              <w:rPr>
                <w:sz w:val="12"/>
                <w:szCs w:val="12"/>
              </w:rPr>
              <w:t>)</w:t>
            </w:r>
          </w:p>
        </w:tc>
        <w:tc>
          <w:tcPr>
            <w:tcW w:w="407" w:type="dxa"/>
            <w:tcBorders>
              <w:top w:val="nil"/>
              <w:left w:val="nil"/>
              <w:bottom w:val="nil"/>
              <w:right w:val="nil"/>
            </w:tcBorders>
            <w:noWrap/>
            <w:textDirection w:val="btLr"/>
            <w:hideMark/>
          </w:tcPr>
          <w:p w:rsidR="00D11D0D" w:rsidRPr="00412AD2" w:rsidRDefault="00D11D0D" w:rsidP="00697E66">
            <w:pPr>
              <w:ind w:left="113" w:right="113"/>
              <w:jc w:val="right"/>
              <w:rPr>
                <w:sz w:val="12"/>
                <w:szCs w:val="12"/>
              </w:rPr>
            </w:pPr>
            <w:r>
              <w:rPr>
                <w:sz w:val="12"/>
                <w:szCs w:val="12"/>
              </w:rPr>
              <w:t>.48</w:t>
            </w:r>
            <w:r w:rsidRPr="00412AD2">
              <w:rPr>
                <w:sz w:val="12"/>
                <w:szCs w:val="12"/>
              </w:rPr>
              <w:t>***</w:t>
            </w:r>
          </w:p>
          <w:p w:rsidR="00D11D0D" w:rsidRPr="00412AD2" w:rsidRDefault="00D11D0D" w:rsidP="00697E66">
            <w:pPr>
              <w:ind w:left="113" w:right="113"/>
              <w:jc w:val="right"/>
              <w:rPr>
                <w:sz w:val="12"/>
                <w:szCs w:val="12"/>
              </w:rPr>
            </w:pPr>
            <w:r w:rsidRPr="00412AD2">
              <w:rPr>
                <w:sz w:val="12"/>
                <w:szCs w:val="12"/>
              </w:rPr>
              <w:t>(</w:t>
            </w:r>
            <w:r>
              <w:rPr>
                <w:sz w:val="12"/>
                <w:szCs w:val="12"/>
              </w:rPr>
              <w:t>.03</w:t>
            </w:r>
            <w:r w:rsidRPr="00412AD2">
              <w:rPr>
                <w:sz w:val="12"/>
                <w:szCs w:val="12"/>
              </w:rPr>
              <w:t>)</w:t>
            </w: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6"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nil"/>
              <w:left w:val="single" w:sz="4" w:space="0" w:color="auto"/>
              <w:bottom w:val="nil"/>
              <w:right w:val="single" w:sz="4" w:space="0" w:color="auto"/>
            </w:tcBorders>
            <w:textDirection w:val="btLr"/>
            <w:hideMark/>
          </w:tcPr>
          <w:p w:rsidR="00D11D0D" w:rsidRPr="00412AD2" w:rsidRDefault="00057B53" w:rsidP="00697E66">
            <w:pPr>
              <w:ind w:left="113" w:right="113"/>
              <w:jc w:val="right"/>
              <w:rPr>
                <w:sz w:val="12"/>
                <w:szCs w:val="12"/>
              </w:rPr>
            </w:pPr>
            <w:r>
              <w:rPr>
                <w:sz w:val="12"/>
                <w:szCs w:val="12"/>
              </w:rPr>
              <w:t>.04</w:t>
            </w:r>
          </w:p>
          <w:p w:rsidR="00D11D0D" w:rsidRPr="00412AD2" w:rsidRDefault="00057B53" w:rsidP="00697E66">
            <w:pPr>
              <w:ind w:left="113" w:right="113"/>
              <w:jc w:val="right"/>
              <w:rPr>
                <w:sz w:val="12"/>
                <w:szCs w:val="12"/>
              </w:rPr>
            </w:pPr>
            <w:r>
              <w:rPr>
                <w:sz w:val="12"/>
                <w:szCs w:val="12"/>
              </w:rPr>
              <w:t>.74</w:t>
            </w:r>
          </w:p>
          <w:p w:rsidR="00D11D0D" w:rsidRPr="00412AD2" w:rsidRDefault="00057B53" w:rsidP="00697E66">
            <w:pPr>
              <w:ind w:left="113" w:right="113"/>
              <w:jc w:val="right"/>
              <w:rPr>
                <w:sz w:val="12"/>
                <w:szCs w:val="12"/>
              </w:rPr>
            </w:pPr>
            <w:r>
              <w:rPr>
                <w:sz w:val="12"/>
                <w:szCs w:val="12"/>
              </w:rPr>
              <w:t>.04</w:t>
            </w:r>
          </w:p>
          <w:p w:rsidR="00D11D0D" w:rsidRPr="00412AD2" w:rsidRDefault="00D11D0D" w:rsidP="00697E66">
            <w:pPr>
              <w:ind w:left="113" w:right="113"/>
              <w:jc w:val="right"/>
              <w:rPr>
                <w:sz w:val="12"/>
                <w:szCs w:val="12"/>
              </w:rPr>
            </w:pP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trHeight w:val="962"/>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single" w:sz="4" w:space="0" w:color="auto"/>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1</w:t>
            </w:r>
          </w:p>
        </w:tc>
        <w:tc>
          <w:tcPr>
            <w:tcW w:w="406" w:type="dxa"/>
            <w:tcBorders>
              <w:top w:val="nil"/>
              <w:left w:val="single" w:sz="4" w:space="0" w:color="auto"/>
              <w:bottom w:val="single" w:sz="4" w:space="0" w:color="auto"/>
              <w:right w:val="nil"/>
            </w:tcBorders>
            <w:shd w:val="clear" w:color="auto" w:fill="E7E6E6" w:themeFill="background2"/>
            <w:noWrap/>
            <w:textDirection w:val="btLr"/>
            <w:hideMark/>
          </w:tcPr>
          <w:p w:rsidR="00D11D0D" w:rsidRPr="00412AD2" w:rsidRDefault="00D11D0D" w:rsidP="00697E66">
            <w:pPr>
              <w:ind w:left="113" w:right="113"/>
              <w:jc w:val="right"/>
              <w:rPr>
                <w:sz w:val="12"/>
                <w:szCs w:val="12"/>
              </w:rPr>
            </w:pPr>
            <w:r>
              <w:rPr>
                <w:sz w:val="12"/>
                <w:szCs w:val="12"/>
              </w:rPr>
              <w:t>.09</w:t>
            </w:r>
            <w:r w:rsidRPr="00412AD2">
              <w:rPr>
                <w:sz w:val="12"/>
                <w:szCs w:val="12"/>
              </w:rPr>
              <w:t>***</w:t>
            </w:r>
          </w:p>
          <w:p w:rsidR="00D11D0D" w:rsidRPr="00412AD2" w:rsidRDefault="00D11D0D" w:rsidP="00697E66">
            <w:pPr>
              <w:ind w:left="113" w:right="113"/>
              <w:jc w:val="right"/>
              <w:rPr>
                <w:sz w:val="12"/>
                <w:szCs w:val="12"/>
              </w:rPr>
            </w:pPr>
            <w:r>
              <w:rPr>
                <w:sz w:val="12"/>
                <w:szCs w:val="12"/>
              </w:rPr>
              <w:t>(.01)</w:t>
            </w:r>
          </w:p>
        </w:tc>
        <w:tc>
          <w:tcPr>
            <w:tcW w:w="407" w:type="dxa"/>
            <w:tcBorders>
              <w:top w:val="nil"/>
              <w:left w:val="nil"/>
              <w:bottom w:val="single" w:sz="4" w:space="0" w:color="auto"/>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noWrap/>
            <w:textDirection w:val="btLr"/>
          </w:tcPr>
          <w:p w:rsidR="00D11D0D" w:rsidRPr="00412AD2" w:rsidRDefault="00D11D0D" w:rsidP="00697E66">
            <w:pPr>
              <w:ind w:left="113" w:right="113"/>
              <w:jc w:val="right"/>
              <w:rPr>
                <w:sz w:val="12"/>
                <w:szCs w:val="12"/>
              </w:rPr>
            </w:pPr>
          </w:p>
        </w:tc>
        <w:tc>
          <w:tcPr>
            <w:tcW w:w="406"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56" w:type="dxa"/>
            <w:gridSpan w:val="2"/>
            <w:tcBorders>
              <w:top w:val="nil"/>
              <w:left w:val="single" w:sz="4" w:space="0" w:color="auto"/>
              <w:bottom w:val="nil"/>
              <w:right w:val="single" w:sz="4" w:space="0" w:color="auto"/>
            </w:tcBorders>
            <w:textDirection w:val="btLr"/>
            <w:hideMark/>
          </w:tcPr>
          <w:p w:rsidR="00D11D0D" w:rsidRPr="00412AD2" w:rsidRDefault="00D11D0D" w:rsidP="00697E66">
            <w:pPr>
              <w:ind w:left="113" w:right="113"/>
              <w:jc w:val="right"/>
              <w:rPr>
                <w:sz w:val="12"/>
                <w:szCs w:val="12"/>
              </w:rPr>
            </w:pPr>
            <w:r>
              <w:rPr>
                <w:sz w:val="12"/>
                <w:szCs w:val="12"/>
              </w:rPr>
              <w:t>.05</w:t>
            </w:r>
          </w:p>
          <w:p w:rsidR="00D11D0D" w:rsidRPr="00412AD2" w:rsidRDefault="00D11D0D" w:rsidP="00697E66">
            <w:pPr>
              <w:ind w:left="113" w:right="113"/>
              <w:jc w:val="right"/>
              <w:rPr>
                <w:sz w:val="12"/>
                <w:szCs w:val="12"/>
              </w:rPr>
            </w:pPr>
            <w:r>
              <w:rPr>
                <w:sz w:val="12"/>
                <w:szCs w:val="12"/>
              </w:rPr>
              <w:t>.49</w:t>
            </w:r>
          </w:p>
          <w:p w:rsidR="00D11D0D" w:rsidRPr="00412AD2" w:rsidRDefault="00D11D0D" w:rsidP="00697E66">
            <w:pPr>
              <w:ind w:left="113" w:right="113"/>
              <w:jc w:val="right"/>
              <w:rPr>
                <w:sz w:val="12"/>
                <w:szCs w:val="12"/>
              </w:rPr>
            </w:pPr>
            <w:r>
              <w:rPr>
                <w:sz w:val="12"/>
                <w:szCs w:val="12"/>
              </w:rPr>
              <w:t>.05</w:t>
            </w:r>
          </w:p>
          <w:p w:rsidR="00D11D0D" w:rsidRPr="00412AD2" w:rsidRDefault="00D11D0D" w:rsidP="00697E66">
            <w:pPr>
              <w:ind w:left="113" w:right="113"/>
              <w:jc w:val="right"/>
              <w:rPr>
                <w:sz w:val="12"/>
                <w:szCs w:val="12"/>
              </w:rPr>
            </w:pP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trHeight w:val="1988"/>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rPr>
                <w:sz w:val="14"/>
                <w:szCs w:val="14"/>
              </w:rPr>
            </w:pPr>
          </w:p>
        </w:tc>
        <w:tc>
          <w:tcPr>
            <w:tcW w:w="269" w:type="dxa"/>
            <w:tcBorders>
              <w:top w:val="single" w:sz="4" w:space="0" w:color="auto"/>
              <w:left w:val="single" w:sz="4" w:space="0" w:color="auto"/>
              <w:bottom w:val="single" w:sz="4" w:space="0" w:color="auto"/>
              <w:right w:val="nil"/>
            </w:tcBorders>
            <w:noWrap/>
            <w:textDirection w:val="btLr"/>
          </w:tcPr>
          <w:p w:rsidR="00D11D0D" w:rsidRDefault="00D11D0D" w:rsidP="00697E66">
            <w:pPr>
              <w:ind w:left="113" w:right="113"/>
              <w:rPr>
                <w:sz w:val="14"/>
                <w:szCs w:val="14"/>
              </w:rPr>
            </w:pPr>
          </w:p>
        </w:tc>
        <w:tc>
          <w:tcPr>
            <w:tcW w:w="406"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rPr>
            </w:pPr>
            <w:r w:rsidRPr="00525FCF">
              <w:rPr>
                <w:noProof/>
                <w:sz w:val="14"/>
                <w:szCs w:val="14"/>
              </w:rPr>
              <w:t>Inequality</w:t>
            </w:r>
            <w:r w:rsidRPr="00525FCF">
              <w:rPr>
                <w:noProof/>
                <w:sz w:val="14"/>
                <w:szCs w:val="14"/>
                <w:vertAlign w:val="superscript"/>
              </w:rPr>
              <w:t>a</w:t>
            </w:r>
          </w:p>
        </w:tc>
        <w:tc>
          <w:tcPr>
            <w:tcW w:w="407" w:type="dxa"/>
            <w:tcBorders>
              <w:top w:val="single" w:sz="4" w:space="0" w:color="auto"/>
              <w:left w:val="nil"/>
              <w:bottom w:val="single" w:sz="4" w:space="0" w:color="auto"/>
              <w:right w:val="nil"/>
            </w:tcBorders>
            <w:noWrap/>
            <w:textDirection w:val="btLr"/>
            <w:hideMark/>
          </w:tcPr>
          <w:p w:rsidR="00D11D0D" w:rsidRDefault="00D11D0D" w:rsidP="00697E66">
            <w:pPr>
              <w:ind w:left="113" w:right="113"/>
              <w:rPr>
                <w:sz w:val="14"/>
                <w:szCs w:val="14"/>
              </w:rPr>
            </w:pPr>
            <w:r>
              <w:rPr>
                <w:sz w:val="14"/>
                <w:szCs w:val="14"/>
              </w:rPr>
              <w:t>GDPPC</w:t>
            </w:r>
            <w:r>
              <w:rPr>
                <w:sz w:val="14"/>
                <w:szCs w:val="14"/>
                <w:vertAlign w:val="superscript"/>
              </w:rPr>
              <w:t>a</w:t>
            </w:r>
          </w:p>
        </w:tc>
        <w:tc>
          <w:tcPr>
            <w:tcW w:w="407"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rPr>
            </w:pPr>
            <w:r w:rsidRPr="00516631">
              <w:rPr>
                <w:noProof/>
                <w:sz w:val="14"/>
                <w:szCs w:val="14"/>
              </w:rPr>
              <w:t>Democracy</w:t>
            </w:r>
          </w:p>
        </w:tc>
        <w:tc>
          <w:tcPr>
            <w:tcW w:w="407" w:type="dxa"/>
            <w:tcBorders>
              <w:top w:val="single" w:sz="4" w:space="0" w:color="auto"/>
              <w:left w:val="nil"/>
              <w:bottom w:val="single" w:sz="4" w:space="0" w:color="auto"/>
              <w:right w:val="nil"/>
            </w:tcBorders>
            <w:noWrap/>
            <w:textDirection w:val="btLr"/>
            <w:hideMark/>
          </w:tcPr>
          <w:p w:rsidR="00D11D0D" w:rsidRDefault="00D11D0D" w:rsidP="00697E66">
            <w:pPr>
              <w:ind w:left="113" w:right="113"/>
              <w:rPr>
                <w:sz w:val="14"/>
                <w:szCs w:val="14"/>
              </w:rPr>
            </w:pPr>
            <w:r>
              <w:rPr>
                <w:sz w:val="14"/>
                <w:szCs w:val="14"/>
              </w:rPr>
              <w:t xml:space="preserve">Age </w:t>
            </w:r>
            <w:r w:rsidRPr="00516631">
              <w:rPr>
                <w:noProof/>
                <w:sz w:val="14"/>
                <w:szCs w:val="14"/>
              </w:rPr>
              <w:t>Cohort</w:t>
            </w:r>
          </w:p>
        </w:tc>
        <w:tc>
          <w:tcPr>
            <w:tcW w:w="407"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rPr>
            </w:pPr>
            <w:r>
              <w:rPr>
                <w:sz w:val="14"/>
                <w:szCs w:val="14"/>
              </w:rPr>
              <w:t>Urban</w:t>
            </w:r>
          </w:p>
        </w:tc>
        <w:tc>
          <w:tcPr>
            <w:tcW w:w="407" w:type="dxa"/>
            <w:tcBorders>
              <w:top w:val="single" w:sz="4" w:space="0" w:color="auto"/>
              <w:left w:val="nil"/>
              <w:bottom w:val="single" w:sz="4" w:space="0" w:color="auto"/>
              <w:right w:val="nil"/>
            </w:tcBorders>
            <w:noWrap/>
            <w:textDirection w:val="btLr"/>
            <w:hideMark/>
          </w:tcPr>
          <w:p w:rsidR="00D11D0D" w:rsidRDefault="00D11D0D" w:rsidP="00697E66">
            <w:pPr>
              <w:ind w:left="113" w:right="113"/>
              <w:rPr>
                <w:sz w:val="14"/>
                <w:szCs w:val="14"/>
                <w:vertAlign w:val="superscript"/>
              </w:rPr>
            </w:pPr>
            <w:r>
              <w:rPr>
                <w:sz w:val="14"/>
                <w:szCs w:val="14"/>
              </w:rPr>
              <w:t xml:space="preserve">Physical </w:t>
            </w:r>
            <w:r w:rsidRPr="00516631">
              <w:rPr>
                <w:noProof/>
                <w:sz w:val="14"/>
                <w:szCs w:val="14"/>
              </w:rPr>
              <w:t>Integrity</w:t>
            </w:r>
          </w:p>
        </w:tc>
        <w:tc>
          <w:tcPr>
            <w:tcW w:w="407"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rPr>
            </w:pPr>
            <w:r>
              <w:rPr>
                <w:sz w:val="14"/>
                <w:szCs w:val="14"/>
              </w:rPr>
              <w:t xml:space="preserve">Secondary  </w:t>
            </w:r>
            <w:r w:rsidRPr="00525FCF">
              <w:rPr>
                <w:noProof/>
                <w:sz w:val="14"/>
                <w:szCs w:val="14"/>
              </w:rPr>
              <w:t>Education</w:t>
            </w:r>
            <w:r w:rsidRPr="00525FCF">
              <w:rPr>
                <w:noProof/>
                <w:sz w:val="14"/>
                <w:szCs w:val="14"/>
                <w:vertAlign w:val="superscript"/>
              </w:rPr>
              <w:t>a</w:t>
            </w:r>
            <w:r>
              <w:rPr>
                <w:sz w:val="14"/>
                <w:szCs w:val="14"/>
                <w:vertAlign w:val="superscript"/>
              </w:rPr>
              <w:t>,</w:t>
            </w:r>
          </w:p>
        </w:tc>
        <w:tc>
          <w:tcPr>
            <w:tcW w:w="407" w:type="dxa"/>
            <w:tcBorders>
              <w:top w:val="single" w:sz="4" w:space="0" w:color="auto"/>
              <w:left w:val="nil"/>
              <w:bottom w:val="single" w:sz="4" w:space="0" w:color="auto"/>
              <w:right w:val="nil"/>
            </w:tcBorders>
            <w:noWrap/>
            <w:textDirection w:val="btLr"/>
            <w:hideMark/>
          </w:tcPr>
          <w:p w:rsidR="00D11D0D" w:rsidRDefault="00D11D0D" w:rsidP="00697E66">
            <w:pPr>
              <w:ind w:left="113" w:right="113"/>
              <w:rPr>
                <w:sz w:val="14"/>
                <w:szCs w:val="14"/>
                <w:vertAlign w:val="superscript"/>
              </w:rPr>
            </w:pPr>
            <w:r>
              <w:rPr>
                <w:sz w:val="14"/>
                <w:szCs w:val="14"/>
              </w:rPr>
              <w:t xml:space="preserve">Homicide </w:t>
            </w:r>
            <w:r w:rsidRPr="00525FCF">
              <w:rPr>
                <w:noProof/>
                <w:sz w:val="14"/>
                <w:szCs w:val="14"/>
              </w:rPr>
              <w:t>Rate</w:t>
            </w:r>
            <w:r w:rsidRPr="00525FCF">
              <w:rPr>
                <w:noProof/>
                <w:sz w:val="14"/>
                <w:szCs w:val="14"/>
                <w:vertAlign w:val="superscript"/>
              </w:rPr>
              <w:t>a</w:t>
            </w:r>
            <w:r>
              <w:rPr>
                <w:sz w:val="14"/>
                <w:szCs w:val="14"/>
                <w:vertAlign w:val="superscript"/>
              </w:rPr>
              <w:t>,</w:t>
            </w:r>
          </w:p>
        </w:tc>
        <w:tc>
          <w:tcPr>
            <w:tcW w:w="406" w:type="dxa"/>
            <w:tcBorders>
              <w:top w:val="single" w:sz="4" w:space="0" w:color="auto"/>
              <w:left w:val="nil"/>
              <w:bottom w:val="single" w:sz="4" w:space="0" w:color="auto"/>
              <w:right w:val="nil"/>
            </w:tcBorders>
            <w:shd w:val="clear" w:color="auto" w:fill="E7E6E6" w:themeFill="background2"/>
            <w:noWrap/>
            <w:textDirection w:val="btLr"/>
            <w:hideMark/>
          </w:tcPr>
          <w:p w:rsidR="00D11D0D" w:rsidRPr="00264315" w:rsidRDefault="00D11D0D" w:rsidP="00697E66">
            <w:pPr>
              <w:ind w:left="113" w:right="113"/>
              <w:rPr>
                <w:sz w:val="14"/>
                <w:szCs w:val="14"/>
                <w:vertAlign w:val="superscript"/>
              </w:rPr>
            </w:pPr>
            <w:r>
              <w:rPr>
                <w:sz w:val="14"/>
                <w:szCs w:val="14"/>
              </w:rPr>
              <w:t xml:space="preserve">Drug Offense </w:t>
            </w:r>
            <w:r w:rsidRPr="00525FCF">
              <w:rPr>
                <w:noProof/>
                <w:sz w:val="14"/>
                <w:szCs w:val="14"/>
              </w:rPr>
              <w:t>Rates</w:t>
            </w:r>
            <w:r w:rsidRPr="00525FCF">
              <w:rPr>
                <w:noProof/>
                <w:sz w:val="14"/>
                <w:szCs w:val="14"/>
                <w:vertAlign w:val="superscript"/>
              </w:rPr>
              <w:t>a</w:t>
            </w:r>
          </w:p>
        </w:tc>
        <w:tc>
          <w:tcPr>
            <w:tcW w:w="407" w:type="dxa"/>
            <w:tcBorders>
              <w:top w:val="single" w:sz="4" w:space="0" w:color="auto"/>
              <w:left w:val="nil"/>
              <w:bottom w:val="single" w:sz="4" w:space="0" w:color="auto"/>
              <w:right w:val="nil"/>
            </w:tcBorders>
            <w:textDirection w:val="btLr"/>
          </w:tcPr>
          <w:p w:rsidR="00D11D0D" w:rsidRDefault="00D11D0D" w:rsidP="00697E66">
            <w:pPr>
              <w:ind w:left="113" w:right="113"/>
              <w:rPr>
                <w:sz w:val="14"/>
                <w:szCs w:val="14"/>
              </w:rPr>
            </w:pPr>
            <w:r>
              <w:rPr>
                <w:sz w:val="14"/>
                <w:szCs w:val="14"/>
              </w:rPr>
              <w:t>Percent Male</w:t>
            </w:r>
            <w:r>
              <w:rPr>
                <w:sz w:val="14"/>
                <w:szCs w:val="14"/>
                <w:vertAlign w:val="superscript"/>
              </w:rPr>
              <w:t>a</w:t>
            </w:r>
          </w:p>
        </w:tc>
        <w:tc>
          <w:tcPr>
            <w:tcW w:w="407"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vertAlign w:val="superscript"/>
              </w:rPr>
            </w:pPr>
          </w:p>
        </w:tc>
        <w:tc>
          <w:tcPr>
            <w:tcW w:w="407" w:type="dxa"/>
            <w:tcBorders>
              <w:top w:val="single" w:sz="4" w:space="0" w:color="auto"/>
              <w:left w:val="nil"/>
              <w:bottom w:val="single" w:sz="4" w:space="0" w:color="auto"/>
              <w:right w:val="nil"/>
            </w:tcBorders>
            <w:shd w:val="clear" w:color="auto" w:fill="FFFFFF" w:themeFill="background1"/>
            <w:noWrap/>
            <w:textDirection w:val="btLr"/>
            <w:hideMark/>
          </w:tcPr>
          <w:p w:rsidR="00D11D0D" w:rsidRDefault="00D11D0D" w:rsidP="00697E66">
            <w:pPr>
              <w:ind w:left="113" w:right="113"/>
              <w:rPr>
                <w:b/>
                <w:sz w:val="14"/>
                <w:szCs w:val="14"/>
              </w:rPr>
            </w:pPr>
          </w:p>
        </w:tc>
        <w:tc>
          <w:tcPr>
            <w:tcW w:w="407"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vertAlign w:val="superscript"/>
              </w:rPr>
            </w:pPr>
          </w:p>
        </w:tc>
        <w:tc>
          <w:tcPr>
            <w:tcW w:w="407" w:type="dxa"/>
            <w:tcBorders>
              <w:top w:val="single" w:sz="4" w:space="0" w:color="auto"/>
              <w:left w:val="nil"/>
              <w:bottom w:val="single" w:sz="4" w:space="0" w:color="auto"/>
              <w:right w:val="nil"/>
            </w:tcBorders>
            <w:shd w:val="clear" w:color="auto" w:fill="FFFFFF" w:themeFill="background1"/>
            <w:noWrap/>
            <w:textDirection w:val="btLr"/>
            <w:hideMark/>
          </w:tcPr>
          <w:p w:rsidR="00D11D0D" w:rsidRDefault="00D11D0D" w:rsidP="00697E66">
            <w:pPr>
              <w:ind w:left="113" w:right="113"/>
              <w:rPr>
                <w:sz w:val="14"/>
                <w:szCs w:val="14"/>
                <w:vertAlign w:val="superscript"/>
              </w:rPr>
            </w:pPr>
          </w:p>
        </w:tc>
        <w:tc>
          <w:tcPr>
            <w:tcW w:w="407"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vertAlign w:val="superscript"/>
              </w:rPr>
            </w:pPr>
          </w:p>
        </w:tc>
        <w:tc>
          <w:tcPr>
            <w:tcW w:w="407" w:type="dxa"/>
            <w:tcBorders>
              <w:top w:val="single" w:sz="4" w:space="0" w:color="auto"/>
              <w:left w:val="nil"/>
              <w:bottom w:val="single" w:sz="4" w:space="0" w:color="auto"/>
              <w:right w:val="nil"/>
            </w:tcBorders>
            <w:shd w:val="clear" w:color="auto" w:fill="FFFFFF" w:themeFill="background1"/>
            <w:noWrap/>
            <w:textDirection w:val="btLr"/>
            <w:hideMark/>
          </w:tcPr>
          <w:p w:rsidR="00D11D0D" w:rsidRDefault="00D11D0D" w:rsidP="00697E66">
            <w:pPr>
              <w:ind w:left="113" w:right="113"/>
              <w:rPr>
                <w:sz w:val="14"/>
                <w:szCs w:val="14"/>
                <w:vertAlign w:val="superscript"/>
              </w:rPr>
            </w:pPr>
          </w:p>
        </w:tc>
        <w:tc>
          <w:tcPr>
            <w:tcW w:w="407"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vertAlign w:val="superscript"/>
              </w:rPr>
            </w:pPr>
          </w:p>
        </w:tc>
        <w:tc>
          <w:tcPr>
            <w:tcW w:w="556" w:type="dxa"/>
            <w:gridSpan w:val="2"/>
            <w:tcBorders>
              <w:top w:val="single" w:sz="4" w:space="0" w:color="auto"/>
              <w:left w:val="single" w:sz="4" w:space="0" w:color="auto"/>
              <w:bottom w:val="single" w:sz="4" w:space="0" w:color="auto"/>
              <w:right w:val="single" w:sz="4" w:space="0" w:color="auto"/>
            </w:tcBorders>
            <w:textDirection w:val="btLr"/>
            <w:hideMark/>
          </w:tcPr>
          <w:p w:rsidR="00D11D0D" w:rsidRPr="00D11D0D" w:rsidRDefault="00D11D0D" w:rsidP="00697E66">
            <w:pPr>
              <w:ind w:left="113" w:right="113"/>
              <w:rPr>
                <w:sz w:val="12"/>
                <w:szCs w:val="12"/>
              </w:rPr>
            </w:pPr>
            <w:r w:rsidRPr="00D11D0D">
              <w:rPr>
                <w:i/>
                <w:sz w:val="12"/>
                <w:szCs w:val="12"/>
              </w:rPr>
              <w:t>R</w:t>
            </w:r>
            <w:r w:rsidRPr="00D11D0D">
              <w:rPr>
                <w:sz w:val="12"/>
                <w:szCs w:val="12"/>
                <w:vertAlign w:val="superscript"/>
              </w:rPr>
              <w:t>2</w:t>
            </w:r>
            <w:r w:rsidRPr="00D11D0D">
              <w:rPr>
                <w:sz w:val="12"/>
                <w:szCs w:val="12"/>
              </w:rPr>
              <w:t xml:space="preserve"> Overall</w:t>
            </w:r>
          </w:p>
          <w:p w:rsidR="00D11D0D" w:rsidRPr="00D11D0D" w:rsidRDefault="00D11D0D" w:rsidP="00697E66">
            <w:pPr>
              <w:ind w:left="113" w:right="113"/>
              <w:rPr>
                <w:sz w:val="12"/>
                <w:szCs w:val="12"/>
              </w:rPr>
            </w:pPr>
            <w:r w:rsidRPr="00D11D0D">
              <w:rPr>
                <w:i/>
                <w:sz w:val="12"/>
                <w:szCs w:val="12"/>
              </w:rPr>
              <w:t>R</w:t>
            </w:r>
            <w:r w:rsidRPr="00D11D0D">
              <w:rPr>
                <w:i/>
                <w:sz w:val="12"/>
                <w:szCs w:val="12"/>
                <w:vertAlign w:val="superscript"/>
              </w:rPr>
              <w:t>2</w:t>
            </w:r>
            <w:r w:rsidRPr="00D11D0D">
              <w:rPr>
                <w:sz w:val="12"/>
                <w:szCs w:val="12"/>
              </w:rPr>
              <w:t xml:space="preserve"> Within</w:t>
            </w:r>
          </w:p>
          <w:p w:rsidR="00D11D0D" w:rsidRPr="00EA3315" w:rsidRDefault="00D11D0D" w:rsidP="00697E66">
            <w:pPr>
              <w:ind w:left="113" w:right="113"/>
              <w:rPr>
                <w:sz w:val="14"/>
                <w:szCs w:val="14"/>
              </w:rPr>
            </w:pPr>
            <w:r w:rsidRPr="00D11D0D">
              <w:rPr>
                <w:i/>
                <w:sz w:val="12"/>
                <w:szCs w:val="12"/>
              </w:rPr>
              <w:t>R</w:t>
            </w:r>
            <w:r w:rsidRPr="00D11D0D">
              <w:rPr>
                <w:i/>
                <w:sz w:val="12"/>
                <w:szCs w:val="12"/>
                <w:vertAlign w:val="superscript"/>
              </w:rPr>
              <w:t>2</w:t>
            </w:r>
            <w:r w:rsidRPr="00D11D0D">
              <w:rPr>
                <w:i/>
                <w:sz w:val="12"/>
                <w:szCs w:val="12"/>
              </w:rPr>
              <w:t xml:space="preserve"> </w:t>
            </w:r>
            <w:r w:rsidRPr="00D11D0D">
              <w:rPr>
                <w:sz w:val="12"/>
                <w:szCs w:val="12"/>
              </w:rPr>
              <w:t xml:space="preserve"> Between</w:t>
            </w:r>
          </w:p>
        </w:tc>
        <w:tc>
          <w:tcPr>
            <w:tcW w:w="460" w:type="dxa"/>
            <w:gridSpan w:val="2"/>
            <w:vMerge/>
            <w:tcBorders>
              <w:top w:val="nil"/>
              <w:left w:val="single" w:sz="4" w:space="0" w:color="auto"/>
              <w:bottom w:val="nil"/>
              <w:right w:val="nil"/>
            </w:tcBorders>
            <w:vAlign w:val="center"/>
            <w:hideMark/>
          </w:tcPr>
          <w:p w:rsidR="00D11D0D" w:rsidRDefault="00D11D0D" w:rsidP="00697E66">
            <w:pPr>
              <w:rPr>
                <w:sz w:val="14"/>
                <w:szCs w:val="14"/>
              </w:rPr>
            </w:pPr>
          </w:p>
        </w:tc>
      </w:tr>
      <w:tr w:rsidR="00D11D0D" w:rsidTr="00A63DE0">
        <w:trPr>
          <w:gridAfter w:val="1"/>
          <w:wAfter w:w="216" w:type="dxa"/>
          <w:trHeight w:val="990"/>
        </w:trPr>
        <w:tc>
          <w:tcPr>
            <w:tcW w:w="269" w:type="dxa"/>
            <w:tcBorders>
              <w:top w:val="nil"/>
              <w:left w:val="nil"/>
              <w:bottom w:val="nil"/>
              <w:right w:val="nil"/>
            </w:tcBorders>
            <w:vAlign w:val="center"/>
          </w:tcPr>
          <w:p w:rsidR="00D11D0D" w:rsidRDefault="00D11D0D" w:rsidP="00697E66">
            <w:pPr>
              <w:rPr>
                <w:sz w:val="14"/>
                <w:szCs w:val="14"/>
              </w:rPr>
            </w:pPr>
          </w:p>
        </w:tc>
        <w:tc>
          <w:tcPr>
            <w:tcW w:w="269" w:type="dxa"/>
            <w:tcBorders>
              <w:top w:val="nil"/>
              <w:left w:val="nil"/>
              <w:bottom w:val="nil"/>
              <w:right w:val="single" w:sz="4" w:space="0" w:color="auto"/>
            </w:tcBorders>
            <w:textDirection w:val="btLr"/>
          </w:tcPr>
          <w:p w:rsidR="00D11D0D" w:rsidRDefault="00D11D0D" w:rsidP="00697E66">
            <w:pPr>
              <w:ind w:left="113" w:right="113"/>
              <w:rPr>
                <w:sz w:val="16"/>
                <w:szCs w:val="16"/>
              </w:rPr>
            </w:pPr>
          </w:p>
        </w:tc>
        <w:tc>
          <w:tcPr>
            <w:tcW w:w="269" w:type="dxa"/>
            <w:tcBorders>
              <w:top w:val="single" w:sz="4" w:space="0" w:color="auto"/>
              <w:left w:val="single" w:sz="4" w:space="0" w:color="auto"/>
              <w:bottom w:val="nil"/>
              <w:right w:val="single" w:sz="4" w:space="0" w:color="auto"/>
            </w:tcBorders>
            <w:noWrap/>
            <w:textDirection w:val="btLr"/>
          </w:tcPr>
          <w:p w:rsidR="00D11D0D" w:rsidRDefault="00D11D0D" w:rsidP="00697E66">
            <w:pPr>
              <w:ind w:left="113" w:right="113"/>
              <w:jc w:val="right"/>
              <w:rPr>
                <w:sz w:val="14"/>
                <w:szCs w:val="14"/>
              </w:rPr>
            </w:pPr>
          </w:p>
        </w:tc>
        <w:tc>
          <w:tcPr>
            <w:tcW w:w="407" w:type="dxa"/>
            <w:tcBorders>
              <w:top w:val="single" w:sz="4" w:space="0" w:color="auto"/>
              <w:left w:val="single" w:sz="4" w:space="0" w:color="auto"/>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7" w:type="dxa"/>
            <w:tcBorders>
              <w:top w:val="single" w:sz="4" w:space="0" w:color="auto"/>
              <w:left w:val="nil"/>
              <w:bottom w:val="nil"/>
              <w:right w:val="nil"/>
            </w:tcBorders>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7" w:type="dxa"/>
            <w:tcBorders>
              <w:top w:val="single" w:sz="4" w:space="0" w:color="auto"/>
              <w:left w:val="nil"/>
              <w:bottom w:val="nil"/>
              <w:right w:val="nil"/>
            </w:tcBorders>
            <w:shd w:val="clear" w:color="auto" w:fill="FFFFFF" w:themeFill="background1"/>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shd w:val="clear" w:color="auto" w:fill="FFFFFF" w:themeFill="background1"/>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single" w:sz="4" w:space="0" w:color="auto"/>
              <w:left w:val="nil"/>
              <w:bottom w:val="nil"/>
              <w:right w:val="nil"/>
            </w:tcBorders>
            <w:shd w:val="clear" w:color="auto" w:fill="FFFFFF" w:themeFill="background1"/>
            <w:noWrap/>
            <w:textDirection w:val="btLr"/>
          </w:tcPr>
          <w:p w:rsidR="00D11D0D" w:rsidRDefault="00D11D0D" w:rsidP="00697E66">
            <w:pPr>
              <w:ind w:left="113" w:right="113"/>
              <w:jc w:val="right"/>
              <w:rPr>
                <w:sz w:val="14"/>
                <w:szCs w:val="14"/>
              </w:rPr>
            </w:pPr>
          </w:p>
        </w:tc>
        <w:tc>
          <w:tcPr>
            <w:tcW w:w="408" w:type="dxa"/>
            <w:gridSpan w:val="2"/>
            <w:tcBorders>
              <w:top w:val="single" w:sz="4" w:space="0" w:color="auto"/>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540" w:type="dxa"/>
            <w:tcBorders>
              <w:top w:val="single" w:sz="4" w:space="0" w:color="auto"/>
              <w:left w:val="single" w:sz="4" w:space="0" w:color="auto"/>
              <w:bottom w:val="nil"/>
              <w:right w:val="single" w:sz="4" w:space="0" w:color="auto"/>
            </w:tcBorders>
            <w:textDirection w:val="btLr"/>
          </w:tcPr>
          <w:p w:rsidR="00D11D0D" w:rsidRDefault="00D11D0D" w:rsidP="00697E66">
            <w:pPr>
              <w:ind w:left="113" w:right="113"/>
              <w:jc w:val="right"/>
              <w:rPr>
                <w:sz w:val="14"/>
                <w:szCs w:val="14"/>
              </w:rPr>
            </w:pPr>
          </w:p>
        </w:tc>
        <w:tc>
          <w:tcPr>
            <w:tcW w:w="244" w:type="dxa"/>
            <w:vMerge w:val="restart"/>
            <w:tcBorders>
              <w:top w:val="nil"/>
              <w:left w:val="single" w:sz="4" w:space="0" w:color="auto"/>
              <w:right w:val="nil"/>
            </w:tcBorders>
            <w:textDirection w:val="btLr"/>
          </w:tcPr>
          <w:p w:rsidR="00D11D0D" w:rsidRDefault="00D11D0D" w:rsidP="00697E66">
            <w:pPr>
              <w:ind w:left="113" w:right="113"/>
              <w:jc w:val="both"/>
              <w:rPr>
                <w:sz w:val="14"/>
                <w:szCs w:val="14"/>
              </w:rPr>
            </w:pPr>
            <w:r w:rsidRPr="00394DBD">
              <w:rPr>
                <w:sz w:val="14"/>
                <w:szCs w:val="14"/>
              </w:rPr>
              <w:t>Note: a</w:t>
            </w:r>
            <w:r>
              <w:rPr>
                <w:sz w:val="14"/>
                <w:szCs w:val="14"/>
              </w:rPr>
              <w:t xml:space="preserve"> = variable logged; b</w:t>
            </w:r>
            <w:r w:rsidRPr="00394DBD">
              <w:rPr>
                <w:sz w:val="14"/>
                <w:szCs w:val="14"/>
              </w:rPr>
              <w:t xml:space="preserve"> = * time (standardized);  +p&lt;.10; *</w:t>
            </w:r>
            <w:r>
              <w:rPr>
                <w:sz w:val="14"/>
                <w:szCs w:val="14"/>
              </w:rPr>
              <w:t>p&lt;.05; **p&lt;.01; ***p&lt;.001. N=248</w:t>
            </w:r>
            <w:r w:rsidRPr="00394DBD">
              <w:rPr>
                <w:sz w:val="14"/>
                <w:szCs w:val="14"/>
              </w:rPr>
              <w:t xml:space="preserve"> for each model.</w:t>
            </w:r>
          </w:p>
        </w:tc>
      </w:tr>
      <w:tr w:rsidR="00D11D0D" w:rsidTr="00A63DE0">
        <w:trPr>
          <w:gridAfter w:val="1"/>
          <w:wAfter w:w="216" w:type="dxa"/>
          <w:trHeight w:val="1043"/>
        </w:trPr>
        <w:tc>
          <w:tcPr>
            <w:tcW w:w="269" w:type="dxa"/>
            <w:vMerge w:val="restart"/>
            <w:tcBorders>
              <w:top w:val="nil"/>
              <w:left w:val="nil"/>
              <w:bottom w:val="nil"/>
              <w:right w:val="nil"/>
            </w:tcBorders>
            <w:vAlign w:val="center"/>
          </w:tcPr>
          <w:p w:rsidR="00D11D0D" w:rsidRDefault="00D11D0D" w:rsidP="00697E66">
            <w:pPr>
              <w:rPr>
                <w:sz w:val="14"/>
                <w:szCs w:val="14"/>
              </w:rPr>
            </w:pPr>
          </w:p>
        </w:tc>
        <w:tc>
          <w:tcPr>
            <w:tcW w:w="269" w:type="dxa"/>
            <w:vMerge w:val="restart"/>
            <w:tcBorders>
              <w:top w:val="nil"/>
              <w:left w:val="nil"/>
              <w:bottom w:val="nil"/>
              <w:right w:val="single" w:sz="4" w:space="0" w:color="auto"/>
            </w:tcBorders>
            <w:textDirection w:val="btLr"/>
          </w:tcPr>
          <w:p w:rsidR="00D11D0D" w:rsidRPr="00394DBD" w:rsidRDefault="00D11D0D" w:rsidP="00697E66">
            <w:pPr>
              <w:ind w:left="113" w:right="113"/>
              <w:rPr>
                <w:sz w:val="16"/>
                <w:szCs w:val="16"/>
              </w:rPr>
            </w:pPr>
            <w:r>
              <w:rPr>
                <w:sz w:val="16"/>
                <w:szCs w:val="16"/>
              </w:rPr>
              <w:t>Table 13</w:t>
            </w:r>
            <w:r w:rsidRPr="00394DBD">
              <w:rPr>
                <w:sz w:val="16"/>
                <w:szCs w:val="16"/>
              </w:rPr>
              <w:t xml:space="preserve">. FE Regression of Incarceration Rates on Listed </w:t>
            </w:r>
            <w:r w:rsidR="00A61BE5">
              <w:rPr>
                <w:noProof/>
                <w:sz w:val="16"/>
                <w:szCs w:val="16"/>
              </w:rPr>
              <w:t>Variables</w:t>
            </w:r>
            <w:r w:rsidRPr="00394DBD">
              <w:rPr>
                <w:sz w:val="16"/>
                <w:szCs w:val="16"/>
              </w:rPr>
              <w:t xml:space="preserve"> </w:t>
            </w:r>
            <w:r w:rsidR="00A61BE5">
              <w:rPr>
                <w:sz w:val="16"/>
                <w:szCs w:val="16"/>
              </w:rPr>
              <w:t>(continued)</w:t>
            </w:r>
            <w:r w:rsidRPr="00394DBD">
              <w:rPr>
                <w:sz w:val="16"/>
                <w:szCs w:val="16"/>
              </w:rPr>
              <w:t xml:space="preserve"> </w:t>
            </w:r>
          </w:p>
        </w:tc>
        <w:tc>
          <w:tcPr>
            <w:tcW w:w="269" w:type="dxa"/>
            <w:tcBorders>
              <w:top w:val="nil"/>
              <w:left w:val="single" w:sz="4" w:space="0" w:color="auto"/>
              <w:bottom w:val="nil"/>
              <w:right w:val="single" w:sz="4" w:space="0" w:color="auto"/>
            </w:tcBorders>
            <w:noWrap/>
            <w:textDirection w:val="btLr"/>
          </w:tcPr>
          <w:p w:rsidR="00D11D0D" w:rsidRPr="00BB07B1" w:rsidRDefault="00D11D0D" w:rsidP="00697E66">
            <w:pPr>
              <w:ind w:left="113" w:right="113"/>
              <w:jc w:val="right"/>
              <w:rPr>
                <w:sz w:val="14"/>
                <w:szCs w:val="14"/>
                <w:vertAlign w:val="superscript"/>
              </w:rPr>
            </w:pPr>
          </w:p>
        </w:tc>
        <w:tc>
          <w:tcPr>
            <w:tcW w:w="407" w:type="dxa"/>
            <w:tcBorders>
              <w:top w:val="nil"/>
              <w:left w:val="single" w:sz="4" w:space="0" w:color="auto"/>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7" w:type="dxa"/>
            <w:tcBorders>
              <w:top w:val="nil"/>
              <w:left w:val="nil"/>
              <w:bottom w:val="nil"/>
              <w:right w:val="nil"/>
            </w:tcBorders>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7" w:type="dxa"/>
            <w:tcBorders>
              <w:top w:val="nil"/>
              <w:left w:val="nil"/>
              <w:bottom w:val="nil"/>
              <w:right w:val="nil"/>
            </w:tcBorders>
            <w:shd w:val="clear" w:color="auto" w:fill="FFFFFF" w:themeFill="background1"/>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FFFFFF" w:themeFill="background1"/>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FFFFFF" w:themeFill="background1"/>
            <w:noWrap/>
            <w:textDirection w:val="btLr"/>
          </w:tcPr>
          <w:p w:rsidR="00D11D0D" w:rsidRDefault="00D11D0D" w:rsidP="00697E66">
            <w:pPr>
              <w:ind w:left="113" w:right="113"/>
              <w:jc w:val="right"/>
              <w:rPr>
                <w:sz w:val="14"/>
                <w:szCs w:val="14"/>
              </w:rPr>
            </w:pPr>
          </w:p>
        </w:tc>
        <w:tc>
          <w:tcPr>
            <w:tcW w:w="408" w:type="dxa"/>
            <w:gridSpan w:val="2"/>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540" w:type="dxa"/>
            <w:tcBorders>
              <w:top w:val="nil"/>
              <w:left w:val="single" w:sz="4" w:space="0" w:color="auto"/>
              <w:bottom w:val="nil"/>
              <w:right w:val="single" w:sz="4" w:space="0" w:color="auto"/>
            </w:tcBorders>
            <w:textDirection w:val="btLr"/>
          </w:tcPr>
          <w:p w:rsidR="00D11D0D" w:rsidRDefault="00D11D0D" w:rsidP="00697E66">
            <w:pPr>
              <w:ind w:left="113" w:right="113"/>
              <w:jc w:val="right"/>
              <w:rPr>
                <w:sz w:val="14"/>
                <w:szCs w:val="14"/>
              </w:rPr>
            </w:pPr>
          </w:p>
        </w:tc>
        <w:tc>
          <w:tcPr>
            <w:tcW w:w="244" w:type="dxa"/>
            <w:vMerge/>
            <w:tcBorders>
              <w:left w:val="single" w:sz="4" w:space="0" w:color="auto"/>
              <w:right w:val="nil"/>
            </w:tcBorders>
            <w:vAlign w:val="center"/>
            <w:hideMark/>
          </w:tcPr>
          <w:p w:rsidR="00D11D0D" w:rsidRDefault="00D11D0D" w:rsidP="00697E66">
            <w:pPr>
              <w:rPr>
                <w:sz w:val="14"/>
                <w:szCs w:val="14"/>
              </w:rPr>
            </w:pPr>
          </w:p>
        </w:tc>
      </w:tr>
      <w:tr w:rsidR="00D11D0D" w:rsidTr="00A63DE0">
        <w:trPr>
          <w:gridAfter w:val="1"/>
          <w:wAfter w:w="216" w:type="dxa"/>
          <w:trHeight w:val="1025"/>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tcPr>
          <w:p w:rsidR="00D11D0D" w:rsidRDefault="00D11D0D" w:rsidP="00697E66">
            <w:pPr>
              <w:ind w:left="113" w:right="113"/>
              <w:jc w:val="right"/>
              <w:rPr>
                <w:sz w:val="14"/>
                <w:szCs w:val="14"/>
              </w:rPr>
            </w:pPr>
          </w:p>
        </w:tc>
        <w:tc>
          <w:tcPr>
            <w:tcW w:w="407" w:type="dxa"/>
            <w:tcBorders>
              <w:top w:val="nil"/>
              <w:left w:val="single" w:sz="4" w:space="0" w:color="auto"/>
              <w:bottom w:val="nil"/>
              <w:right w:val="nil"/>
            </w:tcBorders>
            <w:shd w:val="clear" w:color="auto" w:fill="E7E6E6" w:themeFill="background2"/>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Pr="00BB07B1" w:rsidRDefault="00D11D0D" w:rsidP="00697E66">
            <w:pPr>
              <w:ind w:left="113" w:right="113"/>
              <w:jc w:val="right"/>
              <w:rPr>
                <w:sz w:val="14"/>
                <w:szCs w:val="14"/>
              </w:rPr>
            </w:pPr>
          </w:p>
        </w:tc>
        <w:tc>
          <w:tcPr>
            <w:tcW w:w="407" w:type="dxa"/>
            <w:tcBorders>
              <w:top w:val="nil"/>
              <w:left w:val="nil"/>
              <w:bottom w:val="nil"/>
              <w:right w:val="nil"/>
            </w:tcBorders>
            <w:noWrap/>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textDirection w:val="btLr"/>
          </w:tcPr>
          <w:p w:rsidR="00D11D0D"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4"/>
                <w:szCs w:val="14"/>
              </w:rPr>
            </w:pPr>
          </w:p>
        </w:tc>
        <w:tc>
          <w:tcPr>
            <w:tcW w:w="407" w:type="dxa"/>
            <w:tcBorders>
              <w:top w:val="nil"/>
              <w:left w:val="nil"/>
              <w:bottom w:val="nil"/>
              <w:right w:val="nil"/>
            </w:tcBorders>
            <w:shd w:val="clear" w:color="auto" w:fill="FFFFFF" w:themeFill="background1"/>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shd w:val="clear" w:color="auto" w:fill="FFFFFF" w:themeFill="background1"/>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shd w:val="clear" w:color="auto" w:fill="E7E6E6" w:themeFill="background2"/>
            <w:noWrap/>
            <w:textDirection w:val="btLr"/>
          </w:tcPr>
          <w:p w:rsidR="00D11D0D" w:rsidRPr="00BB07B1" w:rsidRDefault="00D11D0D" w:rsidP="00697E66">
            <w:pPr>
              <w:ind w:left="113" w:right="113"/>
              <w:jc w:val="right"/>
              <w:rPr>
                <w:sz w:val="14"/>
                <w:szCs w:val="14"/>
              </w:rPr>
            </w:pPr>
          </w:p>
        </w:tc>
        <w:tc>
          <w:tcPr>
            <w:tcW w:w="408" w:type="dxa"/>
            <w:tcBorders>
              <w:top w:val="nil"/>
              <w:left w:val="nil"/>
              <w:bottom w:val="nil"/>
              <w:right w:val="nil"/>
            </w:tcBorders>
            <w:shd w:val="clear" w:color="auto" w:fill="FFFFFF" w:themeFill="background1"/>
            <w:noWrap/>
            <w:textDirection w:val="btLr"/>
          </w:tcPr>
          <w:p w:rsidR="00D11D0D" w:rsidRPr="00BB07B1" w:rsidRDefault="00D11D0D" w:rsidP="00697E66">
            <w:pPr>
              <w:ind w:left="113" w:right="113"/>
              <w:jc w:val="right"/>
              <w:rPr>
                <w:sz w:val="14"/>
                <w:szCs w:val="14"/>
              </w:rPr>
            </w:pPr>
          </w:p>
        </w:tc>
        <w:tc>
          <w:tcPr>
            <w:tcW w:w="408" w:type="dxa"/>
            <w:gridSpan w:val="2"/>
            <w:tcBorders>
              <w:top w:val="nil"/>
              <w:left w:val="nil"/>
              <w:bottom w:val="nil"/>
              <w:right w:val="nil"/>
            </w:tcBorders>
            <w:shd w:val="clear" w:color="auto" w:fill="E7E6E6" w:themeFill="background2"/>
            <w:noWrap/>
            <w:textDirection w:val="btLr"/>
          </w:tcPr>
          <w:p w:rsidR="00D11D0D" w:rsidRPr="00BB07B1" w:rsidRDefault="00D11D0D" w:rsidP="00697E66">
            <w:pPr>
              <w:ind w:left="113" w:right="113"/>
              <w:jc w:val="right"/>
              <w:rPr>
                <w:sz w:val="14"/>
                <w:szCs w:val="14"/>
              </w:rPr>
            </w:pPr>
          </w:p>
        </w:tc>
        <w:tc>
          <w:tcPr>
            <w:tcW w:w="540" w:type="dxa"/>
            <w:tcBorders>
              <w:top w:val="nil"/>
              <w:left w:val="single" w:sz="4" w:space="0" w:color="auto"/>
              <w:bottom w:val="nil"/>
              <w:right w:val="single" w:sz="4" w:space="0" w:color="auto"/>
            </w:tcBorders>
            <w:textDirection w:val="btLr"/>
          </w:tcPr>
          <w:p w:rsidR="00D11D0D" w:rsidRDefault="00D11D0D" w:rsidP="00697E66">
            <w:pPr>
              <w:ind w:left="113" w:right="113"/>
              <w:jc w:val="right"/>
              <w:rPr>
                <w:sz w:val="14"/>
                <w:szCs w:val="14"/>
              </w:rPr>
            </w:pPr>
          </w:p>
        </w:tc>
        <w:tc>
          <w:tcPr>
            <w:tcW w:w="244" w:type="dxa"/>
            <w:vMerge/>
            <w:tcBorders>
              <w:left w:val="single" w:sz="4" w:space="0" w:color="auto"/>
              <w:right w:val="nil"/>
            </w:tcBorders>
            <w:vAlign w:val="center"/>
          </w:tcPr>
          <w:p w:rsidR="00D11D0D" w:rsidRDefault="00D11D0D" w:rsidP="00697E66">
            <w:pPr>
              <w:rPr>
                <w:sz w:val="14"/>
                <w:szCs w:val="14"/>
              </w:rPr>
            </w:pPr>
          </w:p>
        </w:tc>
      </w:tr>
      <w:tr w:rsidR="00D11D0D" w:rsidTr="00A63DE0">
        <w:trPr>
          <w:gridAfter w:val="1"/>
          <w:wAfter w:w="216" w:type="dxa"/>
          <w:trHeight w:val="1025"/>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tcPr>
          <w:p w:rsidR="00D11D0D" w:rsidRPr="00BB07B1" w:rsidRDefault="00D11D0D" w:rsidP="00697E66">
            <w:pPr>
              <w:ind w:left="113" w:right="113"/>
              <w:jc w:val="right"/>
              <w:rPr>
                <w:sz w:val="14"/>
                <w:szCs w:val="14"/>
                <w:vertAlign w:val="superscript"/>
              </w:rPr>
            </w:pPr>
            <w:r>
              <w:rPr>
                <w:sz w:val="14"/>
                <w:szCs w:val="14"/>
              </w:rPr>
              <w:t>Model 13</w:t>
            </w:r>
          </w:p>
        </w:tc>
        <w:tc>
          <w:tcPr>
            <w:tcW w:w="407" w:type="dxa"/>
            <w:tcBorders>
              <w:top w:val="nil"/>
              <w:left w:val="single" w:sz="4" w:space="0" w:color="auto"/>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r>
              <w:rPr>
                <w:sz w:val="12"/>
                <w:szCs w:val="12"/>
              </w:rPr>
              <w:t xml:space="preserve"> (.01</w:t>
            </w:r>
            <w:r w:rsidRPr="00412AD2">
              <w:rPr>
                <w:sz w:val="12"/>
                <w:szCs w:val="12"/>
              </w:rPr>
              <w:t>)</w:t>
            </w:r>
          </w:p>
        </w:tc>
        <w:tc>
          <w:tcPr>
            <w:tcW w:w="408" w:type="dxa"/>
            <w:tcBorders>
              <w:top w:val="nil"/>
              <w:left w:val="nil"/>
              <w:bottom w:val="nil"/>
              <w:right w:val="nil"/>
            </w:tcBorders>
            <w:noWrap/>
            <w:textDirection w:val="btLr"/>
          </w:tcPr>
          <w:p w:rsidR="00D11D0D" w:rsidRDefault="00D11D0D" w:rsidP="00697E66">
            <w:pPr>
              <w:ind w:left="113" w:right="113"/>
              <w:jc w:val="right"/>
              <w:rPr>
                <w:sz w:val="12"/>
                <w:szCs w:val="12"/>
              </w:rPr>
            </w:pPr>
            <w:r>
              <w:rPr>
                <w:sz w:val="12"/>
                <w:szCs w:val="12"/>
              </w:rPr>
              <w:t>-.75***</w:t>
            </w:r>
          </w:p>
          <w:p w:rsidR="00D11D0D" w:rsidRPr="00412AD2" w:rsidRDefault="00D11D0D" w:rsidP="00697E66">
            <w:pPr>
              <w:ind w:left="113" w:right="113"/>
              <w:jc w:val="right"/>
              <w:rPr>
                <w:sz w:val="12"/>
                <w:szCs w:val="12"/>
              </w:rPr>
            </w:pPr>
            <w:r>
              <w:rPr>
                <w:sz w:val="12"/>
                <w:szCs w:val="12"/>
              </w:rPr>
              <w:t xml:space="preserve"> (.19</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.001</w:t>
            </w:r>
          </w:p>
          <w:p w:rsidR="00D11D0D" w:rsidRPr="00412AD2" w:rsidRDefault="00D11D0D" w:rsidP="00697E66">
            <w:pPr>
              <w:ind w:left="113" w:right="113"/>
              <w:jc w:val="right"/>
              <w:rPr>
                <w:sz w:val="12"/>
                <w:szCs w:val="12"/>
              </w:rPr>
            </w:pPr>
            <w:r>
              <w:rPr>
                <w:sz w:val="12"/>
                <w:szCs w:val="12"/>
              </w:rPr>
              <w:t>(.04</w:t>
            </w:r>
            <w:r w:rsidRPr="00412AD2">
              <w:rPr>
                <w:sz w:val="12"/>
                <w:szCs w:val="12"/>
              </w:rPr>
              <w:t>)</w:t>
            </w:r>
          </w:p>
        </w:tc>
        <w:tc>
          <w:tcPr>
            <w:tcW w:w="408" w:type="dxa"/>
            <w:tcBorders>
              <w:top w:val="nil"/>
              <w:left w:val="nil"/>
              <w:bottom w:val="nil"/>
              <w:right w:val="nil"/>
            </w:tcBorders>
            <w:noWrap/>
            <w:textDirection w:val="btLr"/>
          </w:tcPr>
          <w:p w:rsidR="00D11D0D" w:rsidRDefault="00D11D0D" w:rsidP="00697E66">
            <w:pPr>
              <w:ind w:left="113" w:right="113"/>
              <w:jc w:val="right"/>
              <w:rPr>
                <w:sz w:val="12"/>
                <w:szCs w:val="12"/>
              </w:rPr>
            </w:pPr>
            <w:r>
              <w:rPr>
                <w:sz w:val="12"/>
                <w:szCs w:val="12"/>
              </w:rPr>
              <w:t xml:space="preserve">.13*** </w:t>
            </w:r>
          </w:p>
          <w:p w:rsidR="00D11D0D" w:rsidRPr="00412AD2" w:rsidRDefault="00D11D0D" w:rsidP="00697E66">
            <w:pPr>
              <w:ind w:left="113" w:right="113"/>
              <w:jc w:val="right"/>
              <w:rPr>
                <w:sz w:val="12"/>
                <w:szCs w:val="12"/>
              </w:rPr>
            </w:pPr>
            <w:r>
              <w:rPr>
                <w:sz w:val="12"/>
                <w:szCs w:val="12"/>
              </w:rPr>
              <w:t>(.03</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.03**</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r>
              <w:rPr>
                <w:sz w:val="12"/>
                <w:szCs w:val="12"/>
              </w:rPr>
              <w:t>.001</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 xml:space="preserve">-.001 </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8" w:type="dxa"/>
            <w:tcBorders>
              <w:top w:val="nil"/>
              <w:left w:val="nil"/>
              <w:bottom w:val="nil"/>
              <w:right w:val="nil"/>
            </w:tcBorders>
            <w:noWrap/>
            <w:textDirection w:val="btLr"/>
          </w:tcPr>
          <w:p w:rsidR="00D11D0D" w:rsidRDefault="00D11D0D" w:rsidP="00697E66">
            <w:pPr>
              <w:ind w:left="113" w:right="113"/>
              <w:jc w:val="right"/>
              <w:rPr>
                <w:sz w:val="12"/>
                <w:szCs w:val="12"/>
              </w:rPr>
            </w:pPr>
            <w:r>
              <w:rPr>
                <w:sz w:val="12"/>
                <w:szCs w:val="12"/>
              </w:rPr>
              <w:t>-.04</w:t>
            </w:r>
          </w:p>
          <w:p w:rsidR="00D11D0D" w:rsidRPr="00412AD2" w:rsidRDefault="00D11D0D" w:rsidP="00697E66">
            <w:pPr>
              <w:ind w:left="113" w:right="113"/>
              <w:jc w:val="right"/>
              <w:rPr>
                <w:sz w:val="12"/>
                <w:szCs w:val="12"/>
              </w:rPr>
            </w:pPr>
            <w:r>
              <w:rPr>
                <w:sz w:val="12"/>
                <w:szCs w:val="12"/>
              </w:rPr>
              <w:t>(.06</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.04+</w:t>
            </w:r>
          </w:p>
          <w:p w:rsidR="00D11D0D" w:rsidRPr="00412AD2" w:rsidRDefault="00D11D0D" w:rsidP="00D11D0D">
            <w:pPr>
              <w:ind w:left="113" w:right="113"/>
              <w:jc w:val="right"/>
              <w:rPr>
                <w:sz w:val="12"/>
                <w:szCs w:val="12"/>
              </w:rPr>
            </w:pPr>
            <w:r w:rsidRPr="00412AD2">
              <w:rPr>
                <w:sz w:val="12"/>
                <w:szCs w:val="12"/>
              </w:rPr>
              <w:t>(.0</w:t>
            </w:r>
            <w:r>
              <w:rPr>
                <w:sz w:val="12"/>
                <w:szCs w:val="12"/>
              </w:rPr>
              <w:t>2</w:t>
            </w:r>
            <w:r w:rsidRPr="00412AD2">
              <w:rPr>
                <w:sz w:val="12"/>
                <w:szCs w:val="12"/>
              </w:rPr>
              <w:t>)</w:t>
            </w:r>
          </w:p>
        </w:tc>
        <w:tc>
          <w:tcPr>
            <w:tcW w:w="408" w:type="dxa"/>
            <w:tcBorders>
              <w:top w:val="nil"/>
              <w:left w:val="nil"/>
              <w:bottom w:val="nil"/>
              <w:right w:val="nil"/>
            </w:tcBorders>
            <w:textDirection w:val="btLr"/>
          </w:tcPr>
          <w:p w:rsidR="00D11D0D" w:rsidRPr="00412AD2" w:rsidRDefault="00D11D0D" w:rsidP="00697E66">
            <w:pPr>
              <w:ind w:left="113" w:right="113"/>
              <w:jc w:val="right"/>
              <w:rPr>
                <w:sz w:val="12"/>
                <w:szCs w:val="12"/>
              </w:rPr>
            </w:pPr>
            <w:r>
              <w:rPr>
                <w:sz w:val="12"/>
                <w:szCs w:val="12"/>
              </w:rPr>
              <w:t>.03</w:t>
            </w:r>
          </w:p>
          <w:p w:rsidR="00D11D0D" w:rsidRPr="00412AD2" w:rsidRDefault="00D11D0D" w:rsidP="00D11D0D">
            <w:pPr>
              <w:ind w:left="113" w:right="113"/>
              <w:jc w:val="right"/>
              <w:rPr>
                <w:sz w:val="12"/>
                <w:szCs w:val="12"/>
              </w:rPr>
            </w:pPr>
            <w:r w:rsidRPr="00412AD2">
              <w:rPr>
                <w:sz w:val="12"/>
                <w:szCs w:val="12"/>
              </w:rPr>
              <w:t>(.0</w:t>
            </w:r>
            <w:r>
              <w:rPr>
                <w:sz w:val="12"/>
                <w:szCs w:val="12"/>
              </w:rPr>
              <w:t>5</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D11D0D">
            <w:pPr>
              <w:ind w:left="113" w:right="113"/>
              <w:jc w:val="right"/>
              <w:rPr>
                <w:sz w:val="12"/>
                <w:szCs w:val="12"/>
              </w:rPr>
            </w:pPr>
            <w:r w:rsidRPr="00412AD2">
              <w:rPr>
                <w:sz w:val="12"/>
                <w:szCs w:val="12"/>
              </w:rPr>
              <w:t>-.3</w:t>
            </w:r>
            <w:r>
              <w:rPr>
                <w:sz w:val="12"/>
                <w:szCs w:val="12"/>
              </w:rPr>
              <w:t>6</w:t>
            </w:r>
          </w:p>
          <w:p w:rsidR="00D11D0D" w:rsidRPr="00412AD2" w:rsidRDefault="00D11D0D" w:rsidP="00D11D0D">
            <w:pPr>
              <w:ind w:left="113" w:right="113"/>
              <w:jc w:val="right"/>
              <w:rPr>
                <w:sz w:val="12"/>
                <w:szCs w:val="12"/>
              </w:rPr>
            </w:pPr>
            <w:r w:rsidRPr="00412AD2">
              <w:rPr>
                <w:sz w:val="12"/>
                <w:szCs w:val="12"/>
              </w:rPr>
              <w:t xml:space="preserve"> (.3</w:t>
            </w:r>
            <w:r>
              <w:rPr>
                <w:sz w:val="12"/>
                <w:szCs w:val="12"/>
              </w:rPr>
              <w:t>6</w:t>
            </w:r>
            <w:r w:rsidRPr="00412AD2">
              <w:rPr>
                <w:sz w:val="12"/>
                <w:szCs w:val="12"/>
              </w:rPr>
              <w:t>)</w:t>
            </w:r>
          </w:p>
        </w:tc>
        <w:tc>
          <w:tcPr>
            <w:tcW w:w="407" w:type="dxa"/>
            <w:tcBorders>
              <w:top w:val="nil"/>
              <w:left w:val="nil"/>
              <w:bottom w:val="nil"/>
              <w:right w:val="nil"/>
            </w:tcBorders>
            <w:shd w:val="clear" w:color="auto" w:fill="FFFFFF" w:themeFill="background1"/>
            <w:noWrap/>
            <w:textDirection w:val="btLr"/>
          </w:tcPr>
          <w:p w:rsidR="00D11D0D" w:rsidRDefault="00D11D0D" w:rsidP="00D11D0D">
            <w:pPr>
              <w:ind w:left="113" w:right="113"/>
              <w:jc w:val="right"/>
              <w:rPr>
                <w:sz w:val="12"/>
                <w:szCs w:val="12"/>
              </w:rPr>
            </w:pPr>
            <w:r>
              <w:rPr>
                <w:sz w:val="12"/>
                <w:szCs w:val="12"/>
              </w:rPr>
              <w:t>.21</w:t>
            </w:r>
          </w:p>
          <w:p w:rsidR="00D11D0D" w:rsidRPr="00412AD2" w:rsidRDefault="00D11D0D" w:rsidP="00D11D0D">
            <w:pPr>
              <w:ind w:left="113" w:right="113"/>
              <w:jc w:val="right"/>
              <w:rPr>
                <w:sz w:val="12"/>
                <w:szCs w:val="12"/>
              </w:rPr>
            </w:pPr>
            <w:r>
              <w:rPr>
                <w:sz w:val="12"/>
                <w:szCs w:val="12"/>
              </w:rPr>
              <w:t xml:space="preserve"> (.18</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D11D0D">
            <w:pPr>
              <w:ind w:left="113" w:right="113"/>
              <w:jc w:val="right"/>
              <w:rPr>
                <w:sz w:val="12"/>
                <w:szCs w:val="12"/>
              </w:rPr>
            </w:pPr>
            <w:r w:rsidRPr="00412AD2">
              <w:rPr>
                <w:sz w:val="12"/>
                <w:szCs w:val="12"/>
              </w:rPr>
              <w:t>-.</w:t>
            </w:r>
            <w:r>
              <w:rPr>
                <w:sz w:val="12"/>
                <w:szCs w:val="12"/>
              </w:rPr>
              <w:t>.41</w:t>
            </w:r>
          </w:p>
          <w:p w:rsidR="00D11D0D" w:rsidRPr="00412AD2" w:rsidRDefault="00D11D0D" w:rsidP="00D11D0D">
            <w:pPr>
              <w:ind w:left="113" w:right="113"/>
              <w:jc w:val="right"/>
              <w:rPr>
                <w:sz w:val="12"/>
                <w:szCs w:val="12"/>
              </w:rPr>
            </w:pPr>
            <w:r>
              <w:rPr>
                <w:sz w:val="12"/>
                <w:szCs w:val="12"/>
              </w:rPr>
              <w:t>(.25</w:t>
            </w:r>
            <w:r w:rsidRPr="00412AD2">
              <w:rPr>
                <w:sz w:val="12"/>
                <w:szCs w:val="12"/>
              </w:rPr>
              <w:t>)</w:t>
            </w:r>
          </w:p>
        </w:tc>
        <w:tc>
          <w:tcPr>
            <w:tcW w:w="408" w:type="dxa"/>
            <w:tcBorders>
              <w:top w:val="nil"/>
              <w:left w:val="nil"/>
              <w:bottom w:val="nil"/>
              <w:right w:val="nil"/>
            </w:tcBorders>
            <w:shd w:val="clear" w:color="auto" w:fill="FFFFFF" w:themeFill="background1"/>
            <w:noWrap/>
            <w:textDirection w:val="btLr"/>
          </w:tcPr>
          <w:p w:rsidR="00D11D0D" w:rsidRDefault="00D11D0D" w:rsidP="00D11D0D">
            <w:pPr>
              <w:ind w:left="113" w:right="113"/>
              <w:jc w:val="right"/>
              <w:rPr>
                <w:sz w:val="12"/>
                <w:szCs w:val="12"/>
              </w:rPr>
            </w:pPr>
            <w:r>
              <w:rPr>
                <w:sz w:val="12"/>
                <w:szCs w:val="12"/>
              </w:rPr>
              <w:t>-.09</w:t>
            </w:r>
          </w:p>
          <w:p w:rsidR="00D11D0D" w:rsidRPr="00412AD2" w:rsidRDefault="00D11D0D" w:rsidP="00D11D0D">
            <w:pPr>
              <w:ind w:left="113" w:right="113"/>
              <w:jc w:val="right"/>
              <w:rPr>
                <w:sz w:val="12"/>
                <w:szCs w:val="12"/>
              </w:rPr>
            </w:pPr>
            <w:r>
              <w:rPr>
                <w:sz w:val="12"/>
                <w:szCs w:val="12"/>
              </w:rPr>
              <w:t>(.17</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.52</w:t>
            </w:r>
          </w:p>
          <w:p w:rsidR="00D11D0D" w:rsidRPr="00412AD2" w:rsidRDefault="00D11D0D" w:rsidP="00697E66">
            <w:pPr>
              <w:ind w:left="113" w:right="113"/>
              <w:jc w:val="right"/>
              <w:rPr>
                <w:sz w:val="12"/>
                <w:szCs w:val="12"/>
              </w:rPr>
            </w:pPr>
            <w:r w:rsidRPr="00412AD2">
              <w:rPr>
                <w:sz w:val="12"/>
                <w:szCs w:val="12"/>
              </w:rPr>
              <w:t>(.3</w:t>
            </w:r>
            <w:r>
              <w:rPr>
                <w:sz w:val="12"/>
                <w:szCs w:val="12"/>
              </w:rPr>
              <w:t>3</w:t>
            </w:r>
            <w:r w:rsidRPr="00412AD2">
              <w:rPr>
                <w:sz w:val="12"/>
                <w:szCs w:val="12"/>
              </w:rPr>
              <w:t>)</w:t>
            </w:r>
          </w:p>
        </w:tc>
        <w:tc>
          <w:tcPr>
            <w:tcW w:w="408" w:type="dxa"/>
            <w:tcBorders>
              <w:top w:val="nil"/>
              <w:left w:val="nil"/>
              <w:bottom w:val="nil"/>
              <w:right w:val="nil"/>
            </w:tcBorders>
            <w:shd w:val="clear" w:color="auto" w:fill="FFFFFF" w:themeFill="background1"/>
            <w:noWrap/>
            <w:textDirection w:val="btLr"/>
          </w:tcPr>
          <w:p w:rsidR="00D11D0D" w:rsidRDefault="00D11D0D" w:rsidP="00697E66">
            <w:pPr>
              <w:ind w:left="113" w:right="113"/>
              <w:jc w:val="right"/>
              <w:rPr>
                <w:sz w:val="12"/>
                <w:szCs w:val="12"/>
              </w:rPr>
            </w:pPr>
            <w:r>
              <w:rPr>
                <w:sz w:val="12"/>
                <w:szCs w:val="12"/>
              </w:rPr>
              <w:t>.92</w:t>
            </w:r>
          </w:p>
          <w:p w:rsidR="00D11D0D" w:rsidRPr="00412AD2" w:rsidRDefault="00D11D0D" w:rsidP="00697E66">
            <w:pPr>
              <w:ind w:left="113" w:right="113"/>
              <w:jc w:val="right"/>
              <w:rPr>
                <w:sz w:val="12"/>
                <w:szCs w:val="12"/>
              </w:rPr>
            </w:pPr>
            <w:r>
              <w:rPr>
                <w:sz w:val="12"/>
                <w:szCs w:val="12"/>
              </w:rPr>
              <w:t xml:space="preserve"> (.59</w:t>
            </w:r>
            <w:r w:rsidRPr="00412AD2">
              <w:rPr>
                <w:sz w:val="12"/>
                <w:szCs w:val="12"/>
              </w:rPr>
              <w:t>)</w:t>
            </w:r>
          </w:p>
        </w:tc>
        <w:tc>
          <w:tcPr>
            <w:tcW w:w="408" w:type="dxa"/>
            <w:gridSpan w:val="2"/>
            <w:tcBorders>
              <w:top w:val="nil"/>
              <w:left w:val="nil"/>
              <w:bottom w:val="nil"/>
              <w:right w:val="nil"/>
            </w:tcBorders>
            <w:shd w:val="clear" w:color="auto" w:fill="E7E6E6" w:themeFill="background2"/>
            <w:noWrap/>
            <w:textDirection w:val="btLr"/>
          </w:tcPr>
          <w:p w:rsidR="00D11D0D" w:rsidRDefault="00D11D0D" w:rsidP="00D11D0D">
            <w:pPr>
              <w:ind w:left="113" w:right="113"/>
              <w:jc w:val="right"/>
              <w:rPr>
                <w:sz w:val="12"/>
                <w:szCs w:val="12"/>
              </w:rPr>
            </w:pPr>
            <w:r>
              <w:rPr>
                <w:sz w:val="12"/>
                <w:szCs w:val="12"/>
              </w:rPr>
              <w:t>-.64</w:t>
            </w:r>
          </w:p>
          <w:p w:rsidR="00D11D0D" w:rsidRPr="00412AD2" w:rsidRDefault="00D11D0D" w:rsidP="00D11D0D">
            <w:pPr>
              <w:ind w:left="113" w:right="113"/>
              <w:jc w:val="right"/>
              <w:rPr>
                <w:sz w:val="12"/>
                <w:szCs w:val="12"/>
              </w:rPr>
            </w:pPr>
            <w:r>
              <w:rPr>
                <w:sz w:val="12"/>
                <w:szCs w:val="12"/>
              </w:rPr>
              <w:t>(.73</w:t>
            </w:r>
            <w:r w:rsidRPr="00412AD2">
              <w:rPr>
                <w:sz w:val="12"/>
                <w:szCs w:val="12"/>
              </w:rPr>
              <w:t>)</w:t>
            </w:r>
          </w:p>
        </w:tc>
        <w:tc>
          <w:tcPr>
            <w:tcW w:w="540" w:type="dxa"/>
            <w:tcBorders>
              <w:top w:val="nil"/>
              <w:left w:val="single" w:sz="4" w:space="0" w:color="auto"/>
              <w:bottom w:val="nil"/>
              <w:right w:val="single" w:sz="4" w:space="0" w:color="auto"/>
            </w:tcBorders>
            <w:textDirection w:val="btLr"/>
          </w:tcPr>
          <w:p w:rsidR="00D11D0D" w:rsidRPr="00412AD2" w:rsidRDefault="00D11D0D" w:rsidP="00697E66">
            <w:pPr>
              <w:ind w:left="113" w:right="113"/>
              <w:jc w:val="right"/>
              <w:rPr>
                <w:sz w:val="12"/>
                <w:szCs w:val="12"/>
              </w:rPr>
            </w:pPr>
            <w:r w:rsidRPr="00412AD2">
              <w:rPr>
                <w:sz w:val="12"/>
                <w:szCs w:val="12"/>
              </w:rPr>
              <w:t>.</w:t>
            </w:r>
            <w:r>
              <w:rPr>
                <w:sz w:val="12"/>
                <w:szCs w:val="12"/>
              </w:rPr>
              <w:t>10</w:t>
            </w:r>
          </w:p>
          <w:p w:rsidR="00D11D0D" w:rsidRPr="00412AD2" w:rsidRDefault="00D11D0D" w:rsidP="00697E66">
            <w:pPr>
              <w:ind w:left="113" w:right="113"/>
              <w:jc w:val="right"/>
              <w:rPr>
                <w:sz w:val="12"/>
                <w:szCs w:val="12"/>
              </w:rPr>
            </w:pPr>
            <w:r>
              <w:rPr>
                <w:sz w:val="12"/>
                <w:szCs w:val="12"/>
              </w:rPr>
              <w:t>.88</w:t>
            </w:r>
          </w:p>
          <w:p w:rsidR="00D11D0D" w:rsidRPr="00412AD2" w:rsidRDefault="00D11D0D" w:rsidP="00697E66">
            <w:pPr>
              <w:ind w:left="113" w:right="113"/>
              <w:jc w:val="right"/>
              <w:rPr>
                <w:sz w:val="12"/>
                <w:szCs w:val="12"/>
              </w:rPr>
            </w:pPr>
            <w:r>
              <w:rPr>
                <w:sz w:val="12"/>
                <w:szCs w:val="12"/>
              </w:rPr>
              <w:t>.10</w:t>
            </w:r>
          </w:p>
        </w:tc>
        <w:tc>
          <w:tcPr>
            <w:tcW w:w="244" w:type="dxa"/>
            <w:vMerge/>
            <w:tcBorders>
              <w:left w:val="single" w:sz="4" w:space="0" w:color="auto"/>
              <w:right w:val="nil"/>
            </w:tcBorders>
            <w:vAlign w:val="center"/>
            <w:hideMark/>
          </w:tcPr>
          <w:p w:rsidR="00D11D0D" w:rsidRDefault="00D11D0D" w:rsidP="00697E66">
            <w:pPr>
              <w:rPr>
                <w:sz w:val="14"/>
                <w:szCs w:val="14"/>
              </w:rPr>
            </w:pPr>
          </w:p>
        </w:tc>
      </w:tr>
      <w:tr w:rsidR="00D11D0D" w:rsidTr="00A63DE0">
        <w:trPr>
          <w:gridAfter w:val="1"/>
          <w:wAfter w:w="216" w:type="dxa"/>
          <w:trHeight w:val="1070"/>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tcPr>
          <w:p w:rsidR="00D11D0D" w:rsidRDefault="00D11D0D" w:rsidP="00697E66">
            <w:pPr>
              <w:ind w:left="113" w:right="113"/>
              <w:jc w:val="right"/>
              <w:rPr>
                <w:sz w:val="14"/>
                <w:szCs w:val="14"/>
              </w:rPr>
            </w:pPr>
          </w:p>
        </w:tc>
        <w:tc>
          <w:tcPr>
            <w:tcW w:w="407" w:type="dxa"/>
            <w:tcBorders>
              <w:top w:val="nil"/>
              <w:left w:val="single" w:sz="4" w:space="0" w:color="auto"/>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gridSpan w:val="2"/>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40" w:type="dxa"/>
            <w:tcBorders>
              <w:top w:val="nil"/>
              <w:left w:val="single" w:sz="4" w:space="0" w:color="auto"/>
              <w:bottom w:val="nil"/>
              <w:right w:val="single" w:sz="4" w:space="0" w:color="auto"/>
            </w:tcBorders>
            <w:textDirection w:val="btLr"/>
          </w:tcPr>
          <w:p w:rsidR="00D11D0D" w:rsidRPr="00412AD2" w:rsidRDefault="00D11D0D" w:rsidP="00697E66">
            <w:pPr>
              <w:ind w:left="113" w:right="113"/>
              <w:jc w:val="right"/>
              <w:rPr>
                <w:sz w:val="12"/>
                <w:szCs w:val="12"/>
              </w:rPr>
            </w:pPr>
          </w:p>
        </w:tc>
        <w:tc>
          <w:tcPr>
            <w:tcW w:w="244" w:type="dxa"/>
            <w:vMerge/>
            <w:tcBorders>
              <w:left w:val="single" w:sz="4" w:space="0" w:color="auto"/>
              <w:right w:val="nil"/>
            </w:tcBorders>
            <w:vAlign w:val="center"/>
          </w:tcPr>
          <w:p w:rsidR="00D11D0D" w:rsidRDefault="00D11D0D" w:rsidP="00697E66">
            <w:pPr>
              <w:rPr>
                <w:sz w:val="14"/>
                <w:szCs w:val="14"/>
              </w:rPr>
            </w:pPr>
          </w:p>
        </w:tc>
      </w:tr>
      <w:tr w:rsidR="00D11D0D" w:rsidTr="00A63DE0">
        <w:trPr>
          <w:gridAfter w:val="1"/>
          <w:wAfter w:w="216" w:type="dxa"/>
          <w:trHeight w:val="1070"/>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12</w:t>
            </w:r>
          </w:p>
        </w:tc>
        <w:tc>
          <w:tcPr>
            <w:tcW w:w="407" w:type="dxa"/>
            <w:tcBorders>
              <w:top w:val="nil"/>
              <w:left w:val="single" w:sz="4" w:space="0" w:color="auto"/>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8" w:type="dxa"/>
            <w:tcBorders>
              <w:top w:val="nil"/>
              <w:left w:val="nil"/>
              <w:bottom w:val="nil"/>
              <w:right w:val="nil"/>
            </w:tcBorders>
            <w:noWrap/>
            <w:textDirection w:val="btLr"/>
          </w:tcPr>
          <w:p w:rsidR="00D11D0D" w:rsidRDefault="00D11D0D" w:rsidP="00697E66">
            <w:pPr>
              <w:ind w:left="113" w:right="113"/>
              <w:jc w:val="right"/>
              <w:rPr>
                <w:sz w:val="12"/>
                <w:szCs w:val="12"/>
              </w:rPr>
            </w:pPr>
            <w:r>
              <w:rPr>
                <w:sz w:val="12"/>
                <w:szCs w:val="12"/>
              </w:rPr>
              <w:t xml:space="preserve">-.84*** </w:t>
            </w:r>
          </w:p>
          <w:p w:rsidR="00D11D0D" w:rsidRPr="00412AD2" w:rsidRDefault="00D11D0D" w:rsidP="00697E66">
            <w:pPr>
              <w:ind w:left="113" w:right="113"/>
              <w:jc w:val="right"/>
              <w:rPr>
                <w:sz w:val="12"/>
                <w:szCs w:val="12"/>
              </w:rPr>
            </w:pPr>
            <w:r>
              <w:rPr>
                <w:sz w:val="12"/>
                <w:szCs w:val="12"/>
              </w:rPr>
              <w:t>(.18</w:t>
            </w:r>
            <w:r w:rsidRPr="00412AD2">
              <w:rPr>
                <w:sz w:val="12"/>
                <w:szCs w:val="12"/>
              </w:rPr>
              <w:t>)</w:t>
            </w:r>
          </w:p>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-.01</w:t>
            </w:r>
          </w:p>
          <w:p w:rsidR="00D11D0D" w:rsidRPr="00412AD2" w:rsidRDefault="00D11D0D" w:rsidP="00697E66">
            <w:pPr>
              <w:ind w:left="113" w:right="113"/>
              <w:jc w:val="right"/>
              <w:rPr>
                <w:sz w:val="12"/>
                <w:szCs w:val="12"/>
              </w:rPr>
            </w:pPr>
            <w:r>
              <w:rPr>
                <w:sz w:val="12"/>
                <w:szCs w:val="12"/>
              </w:rPr>
              <w:t xml:space="preserve"> (.04</w:t>
            </w:r>
            <w:r w:rsidRPr="00412AD2">
              <w:rPr>
                <w:sz w:val="12"/>
                <w:szCs w:val="12"/>
              </w:rPr>
              <w:t>)</w:t>
            </w:r>
          </w:p>
        </w:tc>
        <w:tc>
          <w:tcPr>
            <w:tcW w:w="408" w:type="dxa"/>
            <w:tcBorders>
              <w:top w:val="nil"/>
              <w:left w:val="nil"/>
              <w:bottom w:val="nil"/>
              <w:right w:val="nil"/>
            </w:tcBorders>
            <w:noWrap/>
            <w:textDirection w:val="btLr"/>
          </w:tcPr>
          <w:p w:rsidR="00D11D0D" w:rsidRDefault="00D11D0D" w:rsidP="00697E66">
            <w:pPr>
              <w:ind w:left="113" w:right="113"/>
              <w:jc w:val="right"/>
              <w:rPr>
                <w:sz w:val="12"/>
                <w:szCs w:val="12"/>
              </w:rPr>
            </w:pPr>
            <w:r>
              <w:rPr>
                <w:sz w:val="12"/>
                <w:szCs w:val="12"/>
              </w:rPr>
              <w:t>.14***</w:t>
            </w:r>
          </w:p>
          <w:p w:rsidR="00D11D0D" w:rsidRPr="00412AD2" w:rsidRDefault="00D11D0D" w:rsidP="00697E66">
            <w:pPr>
              <w:ind w:left="113" w:right="113"/>
              <w:jc w:val="right"/>
              <w:rPr>
                <w:sz w:val="12"/>
                <w:szCs w:val="12"/>
              </w:rPr>
            </w:pPr>
            <w:r>
              <w:rPr>
                <w:sz w:val="12"/>
                <w:szCs w:val="12"/>
              </w:rPr>
              <w:t xml:space="preserve"> (.03</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.04***</w:t>
            </w:r>
          </w:p>
          <w:p w:rsidR="00D11D0D" w:rsidRPr="00412AD2" w:rsidRDefault="00D11D0D" w:rsidP="00697E66">
            <w:pPr>
              <w:ind w:left="113" w:right="113"/>
              <w:jc w:val="right"/>
              <w:rPr>
                <w:sz w:val="12"/>
                <w:szCs w:val="12"/>
              </w:rPr>
            </w:pPr>
            <w:r>
              <w:rPr>
                <w:sz w:val="12"/>
                <w:szCs w:val="12"/>
              </w:rPr>
              <w:t xml:space="preserve"> (.01</w:t>
            </w:r>
            <w:r w:rsidRPr="00412AD2">
              <w:rPr>
                <w:sz w:val="12"/>
                <w:szCs w:val="12"/>
              </w:rPr>
              <w:t>)</w:t>
            </w:r>
          </w:p>
        </w:tc>
        <w:tc>
          <w:tcPr>
            <w:tcW w:w="407" w:type="dxa"/>
            <w:tcBorders>
              <w:top w:val="nil"/>
              <w:left w:val="nil"/>
              <w:bottom w:val="nil"/>
              <w:right w:val="nil"/>
            </w:tcBorders>
            <w:noWrap/>
            <w:textDirection w:val="btLr"/>
          </w:tcPr>
          <w:p w:rsidR="00D11D0D" w:rsidRDefault="00D11D0D" w:rsidP="00697E66">
            <w:pPr>
              <w:ind w:left="113" w:right="113"/>
              <w:jc w:val="right"/>
              <w:rPr>
                <w:sz w:val="12"/>
                <w:szCs w:val="12"/>
              </w:rPr>
            </w:pPr>
            <w:r>
              <w:rPr>
                <w:sz w:val="12"/>
                <w:szCs w:val="12"/>
              </w:rPr>
              <w:t>.0003</w:t>
            </w:r>
          </w:p>
          <w:p w:rsidR="00D11D0D" w:rsidRPr="00412AD2" w:rsidRDefault="00D11D0D" w:rsidP="00697E66">
            <w:pPr>
              <w:ind w:left="113" w:right="113"/>
              <w:jc w:val="right"/>
              <w:rPr>
                <w:sz w:val="12"/>
                <w:szCs w:val="12"/>
              </w:rPr>
            </w:pPr>
            <w:r>
              <w:rPr>
                <w:sz w:val="12"/>
                <w:szCs w:val="12"/>
              </w:rPr>
              <w:t xml:space="preserve"> (.01</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.001</w:t>
            </w:r>
          </w:p>
          <w:p w:rsidR="00D11D0D" w:rsidRPr="00412AD2" w:rsidRDefault="00D11D0D" w:rsidP="00697E66">
            <w:pPr>
              <w:ind w:left="113" w:right="113"/>
              <w:jc w:val="right"/>
              <w:rPr>
                <w:sz w:val="12"/>
                <w:szCs w:val="12"/>
              </w:rPr>
            </w:pPr>
            <w:r>
              <w:rPr>
                <w:sz w:val="12"/>
                <w:szCs w:val="12"/>
              </w:rPr>
              <w:t xml:space="preserve"> (.01</w:t>
            </w:r>
            <w:r w:rsidRPr="00412AD2">
              <w:rPr>
                <w:sz w:val="12"/>
                <w:szCs w:val="12"/>
              </w:rPr>
              <w:t>)</w:t>
            </w:r>
          </w:p>
        </w:tc>
        <w:tc>
          <w:tcPr>
            <w:tcW w:w="408"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r>
              <w:rPr>
                <w:sz w:val="12"/>
                <w:szCs w:val="12"/>
              </w:rPr>
              <w:t>-.03</w:t>
            </w:r>
          </w:p>
          <w:p w:rsidR="00D11D0D" w:rsidRPr="00412AD2" w:rsidRDefault="00D11D0D" w:rsidP="00697E66">
            <w:pPr>
              <w:ind w:left="113" w:right="113"/>
              <w:jc w:val="right"/>
              <w:rPr>
                <w:sz w:val="12"/>
                <w:szCs w:val="12"/>
              </w:rPr>
            </w:pPr>
            <w:r>
              <w:rPr>
                <w:sz w:val="12"/>
                <w:szCs w:val="12"/>
              </w:rPr>
              <w:t>(.06</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.05**</w:t>
            </w:r>
          </w:p>
          <w:p w:rsidR="00D11D0D" w:rsidRPr="00412AD2" w:rsidRDefault="00D11D0D" w:rsidP="00697E66">
            <w:pPr>
              <w:ind w:left="113" w:right="113"/>
              <w:jc w:val="right"/>
              <w:rPr>
                <w:sz w:val="12"/>
                <w:szCs w:val="12"/>
              </w:rPr>
            </w:pPr>
            <w:r>
              <w:rPr>
                <w:sz w:val="12"/>
                <w:szCs w:val="12"/>
              </w:rPr>
              <w:t xml:space="preserve"> (.02</w:t>
            </w:r>
            <w:r w:rsidRPr="00412AD2">
              <w:rPr>
                <w:sz w:val="12"/>
                <w:szCs w:val="12"/>
              </w:rPr>
              <w:t>)</w:t>
            </w:r>
          </w:p>
        </w:tc>
        <w:tc>
          <w:tcPr>
            <w:tcW w:w="408" w:type="dxa"/>
            <w:tcBorders>
              <w:top w:val="nil"/>
              <w:left w:val="nil"/>
              <w:bottom w:val="nil"/>
              <w:right w:val="nil"/>
            </w:tcBorders>
            <w:textDirection w:val="btLr"/>
          </w:tcPr>
          <w:p w:rsidR="00D11D0D" w:rsidRPr="00412AD2" w:rsidRDefault="00D11D0D" w:rsidP="00697E66">
            <w:pPr>
              <w:ind w:left="113" w:right="113"/>
              <w:jc w:val="right"/>
              <w:rPr>
                <w:sz w:val="12"/>
                <w:szCs w:val="12"/>
              </w:rPr>
            </w:pPr>
            <w:r>
              <w:rPr>
                <w:sz w:val="12"/>
                <w:szCs w:val="12"/>
              </w:rPr>
              <w:t>.02</w:t>
            </w:r>
          </w:p>
          <w:p w:rsidR="00D11D0D" w:rsidRPr="00412AD2" w:rsidRDefault="00D11D0D" w:rsidP="00697E66">
            <w:pPr>
              <w:ind w:left="113" w:right="113"/>
              <w:jc w:val="right"/>
              <w:rPr>
                <w:sz w:val="12"/>
                <w:szCs w:val="12"/>
              </w:rPr>
            </w:pPr>
            <w:r>
              <w:rPr>
                <w:sz w:val="12"/>
                <w:szCs w:val="12"/>
              </w:rPr>
              <w:t>(.05</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Default="00D11D0D" w:rsidP="00697E66">
            <w:pPr>
              <w:ind w:left="113" w:right="113"/>
              <w:jc w:val="right"/>
              <w:rPr>
                <w:sz w:val="12"/>
                <w:szCs w:val="12"/>
              </w:rPr>
            </w:pPr>
            <w:r>
              <w:rPr>
                <w:sz w:val="12"/>
                <w:szCs w:val="12"/>
              </w:rPr>
              <w:t>-.17</w:t>
            </w:r>
          </w:p>
          <w:p w:rsidR="00D11D0D" w:rsidRPr="00412AD2" w:rsidRDefault="00D11D0D" w:rsidP="00697E66">
            <w:pPr>
              <w:ind w:left="113" w:right="113"/>
              <w:jc w:val="right"/>
              <w:rPr>
                <w:sz w:val="12"/>
                <w:szCs w:val="12"/>
              </w:rPr>
            </w:pPr>
            <w:r>
              <w:rPr>
                <w:sz w:val="12"/>
                <w:szCs w:val="12"/>
              </w:rPr>
              <w:t xml:space="preserve"> (.36</w:t>
            </w:r>
            <w:r w:rsidRPr="00412AD2">
              <w:rPr>
                <w:sz w:val="12"/>
                <w:szCs w:val="12"/>
              </w:rPr>
              <w:t>)</w:t>
            </w:r>
          </w:p>
        </w:tc>
        <w:tc>
          <w:tcPr>
            <w:tcW w:w="407" w:type="dxa"/>
            <w:tcBorders>
              <w:top w:val="nil"/>
              <w:left w:val="nil"/>
              <w:bottom w:val="nil"/>
              <w:right w:val="nil"/>
            </w:tcBorders>
            <w:shd w:val="clear" w:color="auto" w:fill="FFFFFF" w:themeFill="background1"/>
            <w:noWrap/>
            <w:textDirection w:val="btLr"/>
          </w:tcPr>
          <w:p w:rsidR="00D11D0D" w:rsidRDefault="00D11D0D" w:rsidP="00697E66">
            <w:pPr>
              <w:ind w:left="113" w:right="113"/>
              <w:jc w:val="right"/>
              <w:rPr>
                <w:sz w:val="12"/>
                <w:szCs w:val="12"/>
              </w:rPr>
            </w:pPr>
            <w:r>
              <w:rPr>
                <w:sz w:val="12"/>
                <w:szCs w:val="12"/>
              </w:rPr>
              <w:t>.12</w:t>
            </w:r>
          </w:p>
          <w:p w:rsidR="00D11D0D" w:rsidRPr="00412AD2" w:rsidRDefault="00D11D0D" w:rsidP="00697E66">
            <w:pPr>
              <w:ind w:left="113" w:right="113"/>
              <w:jc w:val="right"/>
              <w:rPr>
                <w:sz w:val="12"/>
                <w:szCs w:val="12"/>
              </w:rPr>
            </w:pPr>
            <w:r>
              <w:rPr>
                <w:sz w:val="12"/>
                <w:szCs w:val="12"/>
              </w:rPr>
              <w:t xml:space="preserve"> (.16</w:t>
            </w:r>
            <w:r w:rsidRPr="00412AD2">
              <w:rPr>
                <w:sz w:val="12"/>
                <w:szCs w:val="12"/>
              </w:rPr>
              <w:t>)</w:t>
            </w: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gridSpan w:val="2"/>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40" w:type="dxa"/>
            <w:tcBorders>
              <w:top w:val="nil"/>
              <w:left w:val="single" w:sz="4" w:space="0" w:color="auto"/>
              <w:bottom w:val="nil"/>
              <w:right w:val="single" w:sz="4" w:space="0" w:color="auto"/>
            </w:tcBorders>
            <w:textDirection w:val="btLr"/>
          </w:tcPr>
          <w:p w:rsidR="00D11D0D" w:rsidRPr="00412AD2" w:rsidRDefault="00D11D0D" w:rsidP="00697E66">
            <w:pPr>
              <w:ind w:left="113" w:right="113"/>
              <w:jc w:val="right"/>
              <w:rPr>
                <w:sz w:val="12"/>
                <w:szCs w:val="12"/>
              </w:rPr>
            </w:pPr>
            <w:r>
              <w:rPr>
                <w:sz w:val="12"/>
                <w:szCs w:val="12"/>
              </w:rPr>
              <w:t>.09</w:t>
            </w:r>
          </w:p>
          <w:p w:rsidR="00D11D0D" w:rsidRPr="00412AD2" w:rsidRDefault="00D11D0D" w:rsidP="00697E66">
            <w:pPr>
              <w:ind w:left="113" w:right="113"/>
              <w:jc w:val="right"/>
              <w:rPr>
                <w:sz w:val="12"/>
                <w:szCs w:val="12"/>
              </w:rPr>
            </w:pPr>
            <w:r>
              <w:rPr>
                <w:sz w:val="12"/>
                <w:szCs w:val="12"/>
              </w:rPr>
              <w:t>.87</w:t>
            </w:r>
          </w:p>
          <w:p w:rsidR="00D11D0D" w:rsidRPr="00412AD2" w:rsidRDefault="00D11D0D" w:rsidP="00697E66">
            <w:pPr>
              <w:ind w:left="113" w:right="113"/>
              <w:jc w:val="right"/>
              <w:rPr>
                <w:sz w:val="12"/>
                <w:szCs w:val="12"/>
              </w:rPr>
            </w:pPr>
            <w:r>
              <w:rPr>
                <w:sz w:val="12"/>
                <w:szCs w:val="12"/>
              </w:rPr>
              <w:t>.10</w:t>
            </w:r>
          </w:p>
        </w:tc>
        <w:tc>
          <w:tcPr>
            <w:tcW w:w="244" w:type="dxa"/>
            <w:vMerge/>
            <w:tcBorders>
              <w:left w:val="single" w:sz="4" w:space="0" w:color="auto"/>
              <w:right w:val="nil"/>
            </w:tcBorders>
            <w:vAlign w:val="center"/>
            <w:hideMark/>
          </w:tcPr>
          <w:p w:rsidR="00D11D0D" w:rsidRDefault="00D11D0D" w:rsidP="00697E66">
            <w:pPr>
              <w:rPr>
                <w:sz w:val="14"/>
                <w:szCs w:val="14"/>
              </w:rPr>
            </w:pPr>
          </w:p>
        </w:tc>
      </w:tr>
      <w:tr w:rsidR="00D11D0D" w:rsidTr="00A63DE0">
        <w:trPr>
          <w:gridAfter w:val="1"/>
          <w:wAfter w:w="216" w:type="dxa"/>
          <w:trHeight w:val="1079"/>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nil"/>
              <w:right w:val="single" w:sz="4" w:space="0" w:color="auto"/>
            </w:tcBorders>
            <w:noWrap/>
            <w:textDirection w:val="btLr"/>
          </w:tcPr>
          <w:p w:rsidR="00D11D0D" w:rsidRDefault="00D11D0D" w:rsidP="00697E66">
            <w:pPr>
              <w:ind w:left="113" w:right="113"/>
              <w:jc w:val="right"/>
              <w:rPr>
                <w:sz w:val="14"/>
                <w:szCs w:val="14"/>
              </w:rPr>
            </w:pPr>
          </w:p>
        </w:tc>
        <w:tc>
          <w:tcPr>
            <w:tcW w:w="407" w:type="dxa"/>
            <w:tcBorders>
              <w:top w:val="nil"/>
              <w:left w:val="single" w:sz="4" w:space="0" w:color="auto"/>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nil"/>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gridSpan w:val="2"/>
            <w:tcBorders>
              <w:top w:val="nil"/>
              <w:left w:val="nil"/>
              <w:bottom w:val="nil"/>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40" w:type="dxa"/>
            <w:tcBorders>
              <w:top w:val="nil"/>
              <w:left w:val="single" w:sz="4" w:space="0" w:color="auto"/>
              <w:bottom w:val="nil"/>
              <w:right w:val="single" w:sz="4" w:space="0" w:color="auto"/>
            </w:tcBorders>
            <w:textDirection w:val="btLr"/>
          </w:tcPr>
          <w:p w:rsidR="00D11D0D" w:rsidRPr="00412AD2" w:rsidRDefault="00D11D0D" w:rsidP="00697E66">
            <w:pPr>
              <w:ind w:left="113" w:right="113"/>
              <w:jc w:val="right"/>
              <w:rPr>
                <w:sz w:val="12"/>
                <w:szCs w:val="12"/>
              </w:rPr>
            </w:pPr>
          </w:p>
        </w:tc>
        <w:tc>
          <w:tcPr>
            <w:tcW w:w="244" w:type="dxa"/>
            <w:vMerge/>
            <w:tcBorders>
              <w:left w:val="single" w:sz="4" w:space="0" w:color="auto"/>
              <w:right w:val="nil"/>
            </w:tcBorders>
            <w:vAlign w:val="center"/>
          </w:tcPr>
          <w:p w:rsidR="00D11D0D" w:rsidRDefault="00D11D0D" w:rsidP="00697E66">
            <w:pPr>
              <w:rPr>
                <w:sz w:val="14"/>
                <w:szCs w:val="14"/>
              </w:rPr>
            </w:pPr>
          </w:p>
        </w:tc>
      </w:tr>
      <w:tr w:rsidR="00D11D0D" w:rsidTr="00A63DE0">
        <w:trPr>
          <w:gridAfter w:val="1"/>
          <w:wAfter w:w="216" w:type="dxa"/>
          <w:trHeight w:val="1079"/>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jc w:val="right"/>
              <w:rPr>
                <w:sz w:val="14"/>
                <w:szCs w:val="14"/>
              </w:rPr>
            </w:pPr>
          </w:p>
        </w:tc>
        <w:tc>
          <w:tcPr>
            <w:tcW w:w="269" w:type="dxa"/>
            <w:tcBorders>
              <w:top w:val="nil"/>
              <w:left w:val="single" w:sz="4" w:space="0" w:color="auto"/>
              <w:bottom w:val="single" w:sz="4" w:space="0" w:color="auto"/>
              <w:right w:val="single" w:sz="4" w:space="0" w:color="auto"/>
            </w:tcBorders>
            <w:noWrap/>
            <w:textDirection w:val="btLr"/>
            <w:hideMark/>
          </w:tcPr>
          <w:p w:rsidR="00D11D0D" w:rsidRDefault="00D11D0D" w:rsidP="00697E66">
            <w:pPr>
              <w:ind w:left="113" w:right="113"/>
              <w:jc w:val="right"/>
              <w:rPr>
                <w:sz w:val="14"/>
                <w:szCs w:val="14"/>
              </w:rPr>
            </w:pPr>
            <w:r>
              <w:rPr>
                <w:sz w:val="14"/>
                <w:szCs w:val="14"/>
              </w:rPr>
              <w:t>Model 11</w:t>
            </w:r>
          </w:p>
        </w:tc>
        <w:tc>
          <w:tcPr>
            <w:tcW w:w="407" w:type="dxa"/>
            <w:tcBorders>
              <w:top w:val="nil"/>
              <w:left w:val="single" w:sz="4" w:space="0" w:color="auto"/>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r>
              <w:rPr>
                <w:sz w:val="12"/>
                <w:szCs w:val="12"/>
              </w:rPr>
              <w:t>.08</w:t>
            </w:r>
            <w:r w:rsidRPr="00412AD2">
              <w:rPr>
                <w:sz w:val="12"/>
                <w:szCs w:val="12"/>
              </w:rPr>
              <w:t>***</w:t>
            </w:r>
          </w:p>
          <w:p w:rsidR="00D11D0D" w:rsidRPr="00412AD2" w:rsidRDefault="00D11D0D" w:rsidP="00697E66">
            <w:pPr>
              <w:ind w:left="113" w:right="113"/>
              <w:jc w:val="right"/>
              <w:rPr>
                <w:sz w:val="12"/>
                <w:szCs w:val="12"/>
              </w:rPr>
            </w:pPr>
            <w:r>
              <w:rPr>
                <w:sz w:val="12"/>
                <w:szCs w:val="12"/>
              </w:rPr>
              <w:t>(.01</w:t>
            </w:r>
            <w:r w:rsidRPr="00412AD2">
              <w:rPr>
                <w:sz w:val="12"/>
                <w:szCs w:val="12"/>
              </w:rPr>
              <w:t>)</w:t>
            </w:r>
          </w:p>
        </w:tc>
        <w:tc>
          <w:tcPr>
            <w:tcW w:w="408" w:type="dxa"/>
            <w:tcBorders>
              <w:top w:val="nil"/>
              <w:left w:val="nil"/>
              <w:bottom w:val="single" w:sz="4" w:space="0" w:color="auto"/>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7" w:type="dxa"/>
            <w:tcBorders>
              <w:top w:val="nil"/>
              <w:left w:val="nil"/>
              <w:bottom w:val="single" w:sz="4" w:space="0" w:color="auto"/>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r>
              <w:rPr>
                <w:sz w:val="12"/>
                <w:szCs w:val="12"/>
              </w:rPr>
              <w:t>-.42</w:t>
            </w:r>
          </w:p>
          <w:p w:rsidR="00D11D0D" w:rsidRPr="00412AD2" w:rsidRDefault="00D11D0D" w:rsidP="00697E66">
            <w:pPr>
              <w:ind w:left="113" w:right="113"/>
              <w:jc w:val="right"/>
              <w:rPr>
                <w:sz w:val="12"/>
                <w:szCs w:val="12"/>
              </w:rPr>
            </w:pPr>
            <w:r>
              <w:rPr>
                <w:sz w:val="12"/>
                <w:szCs w:val="12"/>
              </w:rPr>
              <w:t>(.56</w:t>
            </w:r>
            <w:r w:rsidRPr="00412AD2">
              <w:rPr>
                <w:sz w:val="12"/>
                <w:szCs w:val="12"/>
              </w:rPr>
              <w:t>)</w:t>
            </w:r>
          </w:p>
        </w:tc>
        <w:tc>
          <w:tcPr>
            <w:tcW w:w="407" w:type="dxa"/>
            <w:tcBorders>
              <w:top w:val="nil"/>
              <w:left w:val="nil"/>
              <w:bottom w:val="single" w:sz="4" w:space="0" w:color="auto"/>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r>
              <w:rPr>
                <w:sz w:val="12"/>
                <w:szCs w:val="12"/>
              </w:rPr>
              <w:t>.77</w:t>
            </w:r>
            <w:r w:rsidRPr="00412AD2">
              <w:rPr>
                <w:sz w:val="12"/>
                <w:szCs w:val="12"/>
              </w:rPr>
              <w:t>***</w:t>
            </w:r>
          </w:p>
          <w:p w:rsidR="00D11D0D" w:rsidRPr="00412AD2" w:rsidRDefault="00D11D0D" w:rsidP="00697E66">
            <w:pPr>
              <w:ind w:left="113" w:right="113"/>
              <w:jc w:val="right"/>
              <w:rPr>
                <w:sz w:val="12"/>
                <w:szCs w:val="12"/>
              </w:rPr>
            </w:pPr>
            <w:r>
              <w:rPr>
                <w:sz w:val="12"/>
                <w:szCs w:val="12"/>
              </w:rPr>
              <w:t>(.23</w:t>
            </w:r>
            <w:r w:rsidRPr="00412AD2">
              <w:rPr>
                <w:sz w:val="12"/>
                <w:szCs w:val="12"/>
              </w:rPr>
              <w:t>)</w:t>
            </w:r>
          </w:p>
        </w:tc>
        <w:tc>
          <w:tcPr>
            <w:tcW w:w="408"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408" w:type="dxa"/>
            <w:tcBorders>
              <w:top w:val="nil"/>
              <w:left w:val="nil"/>
              <w:bottom w:val="single" w:sz="4" w:space="0" w:color="auto"/>
              <w:right w:val="nil"/>
            </w:tcBorders>
            <w:shd w:val="clear" w:color="auto" w:fill="FFFFFF" w:themeFill="background1"/>
            <w:noWrap/>
            <w:textDirection w:val="btLr"/>
          </w:tcPr>
          <w:p w:rsidR="00D11D0D" w:rsidRPr="00412AD2" w:rsidRDefault="00D11D0D" w:rsidP="00697E66">
            <w:pPr>
              <w:ind w:left="113" w:right="113"/>
              <w:jc w:val="right"/>
              <w:rPr>
                <w:sz w:val="12"/>
                <w:szCs w:val="12"/>
              </w:rPr>
            </w:pPr>
          </w:p>
        </w:tc>
        <w:tc>
          <w:tcPr>
            <w:tcW w:w="408" w:type="dxa"/>
            <w:gridSpan w:val="2"/>
            <w:tcBorders>
              <w:top w:val="nil"/>
              <w:left w:val="nil"/>
              <w:bottom w:val="single" w:sz="4" w:space="0" w:color="auto"/>
              <w:right w:val="nil"/>
            </w:tcBorders>
            <w:shd w:val="clear" w:color="auto" w:fill="E7E6E6" w:themeFill="background2"/>
            <w:noWrap/>
            <w:textDirection w:val="btLr"/>
          </w:tcPr>
          <w:p w:rsidR="00D11D0D" w:rsidRPr="00412AD2" w:rsidRDefault="00D11D0D" w:rsidP="00697E66">
            <w:pPr>
              <w:ind w:left="113" w:right="113"/>
              <w:jc w:val="right"/>
              <w:rPr>
                <w:sz w:val="12"/>
                <w:szCs w:val="12"/>
              </w:rPr>
            </w:pPr>
          </w:p>
        </w:tc>
        <w:tc>
          <w:tcPr>
            <w:tcW w:w="540" w:type="dxa"/>
            <w:tcBorders>
              <w:top w:val="nil"/>
              <w:left w:val="single" w:sz="4" w:space="0" w:color="auto"/>
              <w:bottom w:val="nil"/>
              <w:right w:val="single" w:sz="4" w:space="0" w:color="auto"/>
            </w:tcBorders>
            <w:textDirection w:val="btLr"/>
          </w:tcPr>
          <w:p w:rsidR="00D11D0D" w:rsidRPr="00412AD2" w:rsidRDefault="00D11D0D" w:rsidP="00697E66">
            <w:pPr>
              <w:ind w:left="113" w:right="113"/>
              <w:jc w:val="right"/>
              <w:rPr>
                <w:sz w:val="12"/>
                <w:szCs w:val="12"/>
              </w:rPr>
            </w:pPr>
            <w:r>
              <w:rPr>
                <w:sz w:val="12"/>
                <w:szCs w:val="12"/>
              </w:rPr>
              <w:t>.05</w:t>
            </w:r>
          </w:p>
          <w:p w:rsidR="00D11D0D" w:rsidRPr="00412AD2" w:rsidRDefault="00D11D0D" w:rsidP="00697E66">
            <w:pPr>
              <w:ind w:left="113" w:right="113"/>
              <w:jc w:val="right"/>
              <w:rPr>
                <w:sz w:val="12"/>
                <w:szCs w:val="12"/>
              </w:rPr>
            </w:pPr>
            <w:r>
              <w:rPr>
                <w:sz w:val="12"/>
                <w:szCs w:val="12"/>
              </w:rPr>
              <w:t>.56</w:t>
            </w:r>
          </w:p>
          <w:p w:rsidR="00D11D0D" w:rsidRPr="00412AD2" w:rsidRDefault="00D11D0D" w:rsidP="00697E66">
            <w:pPr>
              <w:ind w:left="113" w:right="113"/>
              <w:jc w:val="right"/>
              <w:rPr>
                <w:sz w:val="12"/>
                <w:szCs w:val="12"/>
              </w:rPr>
            </w:pPr>
            <w:r>
              <w:rPr>
                <w:sz w:val="12"/>
                <w:szCs w:val="12"/>
              </w:rPr>
              <w:t>.05</w:t>
            </w:r>
          </w:p>
          <w:p w:rsidR="00D11D0D" w:rsidRPr="00412AD2" w:rsidRDefault="00D11D0D" w:rsidP="00697E66">
            <w:pPr>
              <w:ind w:left="113" w:right="113"/>
              <w:jc w:val="right"/>
              <w:rPr>
                <w:sz w:val="12"/>
                <w:szCs w:val="12"/>
              </w:rPr>
            </w:pPr>
          </w:p>
        </w:tc>
        <w:tc>
          <w:tcPr>
            <w:tcW w:w="244" w:type="dxa"/>
            <w:vMerge/>
            <w:tcBorders>
              <w:left w:val="single" w:sz="4" w:space="0" w:color="auto"/>
              <w:right w:val="nil"/>
            </w:tcBorders>
            <w:vAlign w:val="center"/>
            <w:hideMark/>
          </w:tcPr>
          <w:p w:rsidR="00D11D0D" w:rsidRDefault="00D11D0D" w:rsidP="00697E66">
            <w:pPr>
              <w:rPr>
                <w:sz w:val="14"/>
                <w:szCs w:val="14"/>
              </w:rPr>
            </w:pPr>
          </w:p>
        </w:tc>
      </w:tr>
      <w:tr w:rsidR="00D11D0D" w:rsidTr="00A63DE0">
        <w:trPr>
          <w:gridAfter w:val="1"/>
          <w:wAfter w:w="216" w:type="dxa"/>
          <w:trHeight w:val="1700"/>
        </w:trPr>
        <w:tc>
          <w:tcPr>
            <w:tcW w:w="269" w:type="dxa"/>
            <w:vMerge/>
            <w:tcBorders>
              <w:top w:val="nil"/>
              <w:left w:val="nil"/>
              <w:bottom w:val="nil"/>
              <w:right w:val="nil"/>
            </w:tcBorders>
            <w:vAlign w:val="center"/>
          </w:tcPr>
          <w:p w:rsidR="00D11D0D" w:rsidRDefault="00D11D0D" w:rsidP="00697E66">
            <w:pPr>
              <w:rPr>
                <w:sz w:val="14"/>
                <w:szCs w:val="14"/>
              </w:rPr>
            </w:pPr>
          </w:p>
        </w:tc>
        <w:tc>
          <w:tcPr>
            <w:tcW w:w="269" w:type="dxa"/>
            <w:vMerge/>
            <w:tcBorders>
              <w:left w:val="nil"/>
              <w:bottom w:val="nil"/>
              <w:right w:val="single" w:sz="4" w:space="0" w:color="auto"/>
            </w:tcBorders>
            <w:textDirection w:val="btLr"/>
          </w:tcPr>
          <w:p w:rsidR="00D11D0D" w:rsidRDefault="00D11D0D" w:rsidP="00697E66">
            <w:pPr>
              <w:ind w:left="113" w:right="113"/>
              <w:rPr>
                <w:sz w:val="14"/>
                <w:szCs w:val="14"/>
              </w:rPr>
            </w:pPr>
          </w:p>
        </w:tc>
        <w:tc>
          <w:tcPr>
            <w:tcW w:w="269" w:type="dxa"/>
            <w:tcBorders>
              <w:top w:val="single" w:sz="4" w:space="0" w:color="auto"/>
              <w:left w:val="single" w:sz="4" w:space="0" w:color="auto"/>
              <w:bottom w:val="single" w:sz="4" w:space="0" w:color="auto"/>
              <w:right w:val="nil"/>
            </w:tcBorders>
            <w:noWrap/>
            <w:textDirection w:val="btLr"/>
          </w:tcPr>
          <w:p w:rsidR="00D11D0D" w:rsidRPr="003B6046" w:rsidRDefault="00D11D0D" w:rsidP="00697E66">
            <w:pPr>
              <w:ind w:left="113" w:right="113"/>
              <w:rPr>
                <w:sz w:val="14"/>
                <w:szCs w:val="14"/>
              </w:rPr>
            </w:pPr>
          </w:p>
        </w:tc>
        <w:tc>
          <w:tcPr>
            <w:tcW w:w="407"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rPr>
            </w:pPr>
            <w:r w:rsidRPr="00E13EC7">
              <w:rPr>
                <w:noProof/>
                <w:sz w:val="14"/>
                <w:szCs w:val="14"/>
              </w:rPr>
              <w:t>Inequality</w:t>
            </w:r>
            <w:r w:rsidRPr="00E13EC7">
              <w:rPr>
                <w:noProof/>
                <w:sz w:val="14"/>
                <w:szCs w:val="14"/>
                <w:vertAlign w:val="superscript"/>
              </w:rPr>
              <w:t>a</w:t>
            </w:r>
            <w:r>
              <w:rPr>
                <w:sz w:val="14"/>
                <w:szCs w:val="14"/>
                <w:vertAlign w:val="superscript"/>
              </w:rPr>
              <w:t>,</w:t>
            </w:r>
          </w:p>
        </w:tc>
        <w:tc>
          <w:tcPr>
            <w:tcW w:w="408" w:type="dxa"/>
            <w:tcBorders>
              <w:top w:val="single" w:sz="4" w:space="0" w:color="auto"/>
              <w:left w:val="nil"/>
              <w:bottom w:val="single" w:sz="4" w:space="0" w:color="auto"/>
              <w:right w:val="nil"/>
            </w:tcBorders>
            <w:noWrap/>
            <w:textDirection w:val="btLr"/>
            <w:hideMark/>
          </w:tcPr>
          <w:p w:rsidR="00D11D0D" w:rsidRDefault="00D11D0D" w:rsidP="00697E66">
            <w:pPr>
              <w:ind w:left="113" w:right="113"/>
              <w:rPr>
                <w:sz w:val="14"/>
                <w:szCs w:val="14"/>
              </w:rPr>
            </w:pPr>
            <w:r>
              <w:rPr>
                <w:sz w:val="14"/>
                <w:szCs w:val="14"/>
              </w:rPr>
              <w:t>GDPPC</w:t>
            </w:r>
            <w:r>
              <w:rPr>
                <w:sz w:val="14"/>
                <w:szCs w:val="14"/>
                <w:vertAlign w:val="superscript"/>
              </w:rPr>
              <w:t>a,</w:t>
            </w:r>
          </w:p>
        </w:tc>
        <w:tc>
          <w:tcPr>
            <w:tcW w:w="408"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rPr>
            </w:pPr>
            <w:r w:rsidRPr="00E13EC7">
              <w:rPr>
                <w:noProof/>
                <w:sz w:val="14"/>
                <w:szCs w:val="14"/>
              </w:rPr>
              <w:t>Democ</w:t>
            </w:r>
            <w:r>
              <w:rPr>
                <w:noProof/>
                <w:sz w:val="14"/>
                <w:szCs w:val="14"/>
              </w:rPr>
              <w:t>r</w:t>
            </w:r>
            <w:r w:rsidRPr="00E13EC7">
              <w:rPr>
                <w:noProof/>
                <w:sz w:val="14"/>
                <w:szCs w:val="14"/>
              </w:rPr>
              <w:t>acy</w:t>
            </w:r>
          </w:p>
        </w:tc>
        <w:tc>
          <w:tcPr>
            <w:tcW w:w="408" w:type="dxa"/>
            <w:tcBorders>
              <w:top w:val="single" w:sz="4" w:space="0" w:color="auto"/>
              <w:left w:val="nil"/>
              <w:bottom w:val="single" w:sz="4" w:space="0" w:color="auto"/>
              <w:right w:val="nil"/>
            </w:tcBorders>
            <w:noWrap/>
            <w:textDirection w:val="btLr"/>
            <w:hideMark/>
          </w:tcPr>
          <w:p w:rsidR="00D11D0D" w:rsidRDefault="00D11D0D" w:rsidP="00D11D0D">
            <w:pPr>
              <w:ind w:left="113" w:right="113"/>
              <w:rPr>
                <w:sz w:val="14"/>
                <w:szCs w:val="14"/>
              </w:rPr>
            </w:pPr>
            <w:r>
              <w:rPr>
                <w:sz w:val="14"/>
                <w:szCs w:val="14"/>
              </w:rPr>
              <w:t xml:space="preserve">Age </w:t>
            </w:r>
            <w:r w:rsidRPr="00E13EC7">
              <w:rPr>
                <w:noProof/>
                <w:sz w:val="14"/>
                <w:szCs w:val="14"/>
              </w:rPr>
              <w:t>Cohort</w:t>
            </w:r>
          </w:p>
        </w:tc>
        <w:tc>
          <w:tcPr>
            <w:tcW w:w="408"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rPr>
            </w:pPr>
            <w:r>
              <w:rPr>
                <w:sz w:val="14"/>
                <w:szCs w:val="14"/>
              </w:rPr>
              <w:t>Urban</w:t>
            </w:r>
          </w:p>
        </w:tc>
        <w:tc>
          <w:tcPr>
            <w:tcW w:w="407" w:type="dxa"/>
            <w:tcBorders>
              <w:top w:val="single" w:sz="4" w:space="0" w:color="auto"/>
              <w:left w:val="nil"/>
              <w:bottom w:val="single" w:sz="4" w:space="0" w:color="auto"/>
              <w:right w:val="nil"/>
            </w:tcBorders>
            <w:noWrap/>
            <w:textDirection w:val="btLr"/>
            <w:hideMark/>
          </w:tcPr>
          <w:p w:rsidR="00D11D0D" w:rsidRDefault="00D11D0D" w:rsidP="00697E66">
            <w:pPr>
              <w:ind w:left="113" w:right="113"/>
              <w:rPr>
                <w:sz w:val="14"/>
                <w:szCs w:val="14"/>
                <w:vertAlign w:val="superscript"/>
              </w:rPr>
            </w:pPr>
            <w:r>
              <w:rPr>
                <w:sz w:val="14"/>
                <w:szCs w:val="14"/>
              </w:rPr>
              <w:t xml:space="preserve">Physical </w:t>
            </w:r>
            <w:r w:rsidRPr="00E13EC7">
              <w:rPr>
                <w:noProof/>
                <w:sz w:val="14"/>
                <w:szCs w:val="14"/>
              </w:rPr>
              <w:t>Integrity</w:t>
            </w:r>
          </w:p>
        </w:tc>
        <w:tc>
          <w:tcPr>
            <w:tcW w:w="408"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rPr>
            </w:pPr>
            <w:r>
              <w:rPr>
                <w:sz w:val="14"/>
                <w:szCs w:val="14"/>
              </w:rPr>
              <w:t xml:space="preserve">Secondary  </w:t>
            </w:r>
            <w:r w:rsidRPr="00E13EC7">
              <w:rPr>
                <w:noProof/>
                <w:sz w:val="14"/>
                <w:szCs w:val="14"/>
              </w:rPr>
              <w:t>Education</w:t>
            </w:r>
          </w:p>
        </w:tc>
        <w:tc>
          <w:tcPr>
            <w:tcW w:w="408" w:type="dxa"/>
            <w:tcBorders>
              <w:top w:val="single" w:sz="4" w:space="0" w:color="auto"/>
              <w:left w:val="nil"/>
              <w:bottom w:val="single" w:sz="4" w:space="0" w:color="auto"/>
              <w:right w:val="nil"/>
            </w:tcBorders>
            <w:noWrap/>
            <w:textDirection w:val="btLr"/>
            <w:hideMark/>
          </w:tcPr>
          <w:p w:rsidR="00D11D0D" w:rsidRDefault="00D11D0D" w:rsidP="00697E66">
            <w:pPr>
              <w:ind w:left="113" w:right="113"/>
              <w:rPr>
                <w:sz w:val="14"/>
                <w:szCs w:val="14"/>
                <w:vertAlign w:val="superscript"/>
              </w:rPr>
            </w:pPr>
            <w:r>
              <w:rPr>
                <w:sz w:val="14"/>
                <w:szCs w:val="14"/>
              </w:rPr>
              <w:t xml:space="preserve">Homicide </w:t>
            </w:r>
            <w:r w:rsidRPr="00E13EC7">
              <w:rPr>
                <w:noProof/>
                <w:sz w:val="14"/>
                <w:szCs w:val="14"/>
              </w:rPr>
              <w:t>Rate</w:t>
            </w:r>
            <w:r w:rsidRPr="00E13EC7">
              <w:rPr>
                <w:noProof/>
                <w:sz w:val="14"/>
                <w:szCs w:val="14"/>
                <w:vertAlign w:val="superscript"/>
              </w:rPr>
              <w:t>a</w:t>
            </w:r>
          </w:p>
        </w:tc>
        <w:tc>
          <w:tcPr>
            <w:tcW w:w="408" w:type="dxa"/>
            <w:tcBorders>
              <w:top w:val="single" w:sz="4" w:space="0" w:color="auto"/>
              <w:left w:val="nil"/>
              <w:bottom w:val="single" w:sz="4" w:space="0" w:color="auto"/>
              <w:right w:val="nil"/>
            </w:tcBorders>
            <w:shd w:val="clear" w:color="auto" w:fill="E7E6E6" w:themeFill="background2"/>
            <w:noWrap/>
            <w:textDirection w:val="btLr"/>
            <w:hideMark/>
          </w:tcPr>
          <w:p w:rsidR="00D11D0D" w:rsidRPr="00264315" w:rsidRDefault="00D11D0D" w:rsidP="00697E66">
            <w:pPr>
              <w:ind w:left="113" w:right="113"/>
              <w:rPr>
                <w:sz w:val="14"/>
                <w:szCs w:val="14"/>
                <w:vertAlign w:val="superscript"/>
              </w:rPr>
            </w:pPr>
            <w:r>
              <w:rPr>
                <w:sz w:val="14"/>
                <w:szCs w:val="14"/>
              </w:rPr>
              <w:t>Drug Offense Rates</w:t>
            </w:r>
            <w:r>
              <w:rPr>
                <w:sz w:val="14"/>
                <w:szCs w:val="14"/>
                <w:vertAlign w:val="superscript"/>
              </w:rPr>
              <w:t>a,</w:t>
            </w:r>
          </w:p>
        </w:tc>
        <w:tc>
          <w:tcPr>
            <w:tcW w:w="408" w:type="dxa"/>
            <w:tcBorders>
              <w:top w:val="single" w:sz="4" w:space="0" w:color="auto"/>
              <w:left w:val="nil"/>
              <w:bottom w:val="single" w:sz="4" w:space="0" w:color="auto"/>
              <w:right w:val="nil"/>
            </w:tcBorders>
            <w:textDirection w:val="btLr"/>
          </w:tcPr>
          <w:p w:rsidR="00D11D0D" w:rsidRDefault="00D11D0D" w:rsidP="00697E66">
            <w:pPr>
              <w:ind w:left="113" w:right="113"/>
              <w:rPr>
                <w:sz w:val="14"/>
                <w:szCs w:val="14"/>
              </w:rPr>
            </w:pPr>
            <w:r>
              <w:rPr>
                <w:sz w:val="14"/>
                <w:szCs w:val="14"/>
              </w:rPr>
              <w:t>Percent Male</w:t>
            </w:r>
          </w:p>
        </w:tc>
        <w:tc>
          <w:tcPr>
            <w:tcW w:w="408"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697E66">
            <w:pPr>
              <w:ind w:left="113" w:right="113"/>
              <w:rPr>
                <w:sz w:val="14"/>
                <w:szCs w:val="14"/>
                <w:vertAlign w:val="superscript"/>
              </w:rPr>
            </w:pPr>
            <w:r>
              <w:rPr>
                <w:sz w:val="14"/>
                <w:szCs w:val="14"/>
              </w:rPr>
              <w:t xml:space="preserve">Ethnic </w:t>
            </w:r>
            <w:r w:rsidRPr="00E13EC7">
              <w:rPr>
                <w:noProof/>
                <w:sz w:val="14"/>
                <w:szCs w:val="14"/>
              </w:rPr>
              <w:t>Fractionalization</w:t>
            </w:r>
            <w:r>
              <w:rPr>
                <w:noProof/>
                <w:sz w:val="14"/>
                <w:szCs w:val="14"/>
                <w:vertAlign w:val="superscript"/>
              </w:rPr>
              <w:t>b</w:t>
            </w:r>
          </w:p>
        </w:tc>
        <w:tc>
          <w:tcPr>
            <w:tcW w:w="407" w:type="dxa"/>
            <w:tcBorders>
              <w:top w:val="single" w:sz="4" w:space="0" w:color="auto"/>
              <w:left w:val="nil"/>
              <w:bottom w:val="single" w:sz="4" w:space="0" w:color="auto"/>
              <w:right w:val="nil"/>
            </w:tcBorders>
            <w:shd w:val="clear" w:color="auto" w:fill="FFFFFF" w:themeFill="background1"/>
            <w:noWrap/>
            <w:textDirection w:val="btLr"/>
            <w:hideMark/>
          </w:tcPr>
          <w:p w:rsidR="00D11D0D" w:rsidRDefault="00D11D0D" w:rsidP="00697E66">
            <w:pPr>
              <w:ind w:left="113" w:right="113"/>
              <w:rPr>
                <w:b/>
                <w:sz w:val="14"/>
                <w:szCs w:val="14"/>
              </w:rPr>
            </w:pPr>
            <w:r>
              <w:rPr>
                <w:sz w:val="14"/>
                <w:szCs w:val="14"/>
              </w:rPr>
              <w:t>Time</w:t>
            </w:r>
          </w:p>
        </w:tc>
        <w:tc>
          <w:tcPr>
            <w:tcW w:w="408"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D11D0D">
            <w:pPr>
              <w:ind w:left="113" w:right="113"/>
              <w:rPr>
                <w:sz w:val="14"/>
                <w:szCs w:val="14"/>
                <w:vertAlign w:val="superscript"/>
              </w:rPr>
            </w:pPr>
            <w:r>
              <w:rPr>
                <w:sz w:val="14"/>
                <w:szCs w:val="14"/>
              </w:rPr>
              <w:t xml:space="preserve">East Asia &amp; </w:t>
            </w:r>
            <w:r w:rsidRPr="00E13EC7">
              <w:rPr>
                <w:noProof/>
                <w:sz w:val="14"/>
                <w:szCs w:val="14"/>
              </w:rPr>
              <w:t>Pacific</w:t>
            </w:r>
            <w:r>
              <w:rPr>
                <w:noProof/>
                <w:sz w:val="14"/>
                <w:szCs w:val="14"/>
                <w:vertAlign w:val="superscript"/>
              </w:rPr>
              <w:t>b</w:t>
            </w:r>
          </w:p>
        </w:tc>
        <w:tc>
          <w:tcPr>
            <w:tcW w:w="408" w:type="dxa"/>
            <w:tcBorders>
              <w:top w:val="single" w:sz="4" w:space="0" w:color="auto"/>
              <w:left w:val="nil"/>
              <w:bottom w:val="single" w:sz="4" w:space="0" w:color="auto"/>
              <w:right w:val="nil"/>
            </w:tcBorders>
            <w:shd w:val="clear" w:color="auto" w:fill="FFFFFF" w:themeFill="background1"/>
            <w:noWrap/>
            <w:textDirection w:val="btLr"/>
            <w:hideMark/>
          </w:tcPr>
          <w:p w:rsidR="00D11D0D" w:rsidRDefault="00D11D0D" w:rsidP="00D11D0D">
            <w:pPr>
              <w:ind w:left="113" w:right="113"/>
              <w:rPr>
                <w:sz w:val="14"/>
                <w:szCs w:val="14"/>
                <w:vertAlign w:val="superscript"/>
              </w:rPr>
            </w:pPr>
            <w:r>
              <w:rPr>
                <w:sz w:val="14"/>
                <w:szCs w:val="14"/>
              </w:rPr>
              <w:t xml:space="preserve">Eastern Europe &amp; Central </w:t>
            </w:r>
            <w:r w:rsidRPr="00E13EC7">
              <w:rPr>
                <w:noProof/>
                <w:sz w:val="14"/>
                <w:szCs w:val="14"/>
              </w:rPr>
              <w:t>Asia</w:t>
            </w:r>
            <w:r>
              <w:rPr>
                <w:noProof/>
                <w:sz w:val="14"/>
                <w:szCs w:val="14"/>
                <w:vertAlign w:val="superscript"/>
              </w:rPr>
              <w:t>b</w:t>
            </w:r>
          </w:p>
        </w:tc>
        <w:tc>
          <w:tcPr>
            <w:tcW w:w="408" w:type="dxa"/>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D11D0D">
            <w:pPr>
              <w:ind w:left="113" w:right="113"/>
              <w:rPr>
                <w:sz w:val="14"/>
                <w:szCs w:val="14"/>
                <w:vertAlign w:val="superscript"/>
              </w:rPr>
            </w:pPr>
            <w:r>
              <w:rPr>
                <w:sz w:val="14"/>
                <w:szCs w:val="14"/>
              </w:rPr>
              <w:t xml:space="preserve">Latin </w:t>
            </w:r>
            <w:r w:rsidRPr="00E13EC7">
              <w:rPr>
                <w:noProof/>
                <w:sz w:val="14"/>
                <w:szCs w:val="14"/>
              </w:rPr>
              <w:t>America</w:t>
            </w:r>
            <w:r>
              <w:rPr>
                <w:noProof/>
                <w:sz w:val="14"/>
                <w:szCs w:val="14"/>
                <w:vertAlign w:val="superscript"/>
              </w:rPr>
              <w:t>b</w:t>
            </w:r>
          </w:p>
        </w:tc>
        <w:tc>
          <w:tcPr>
            <w:tcW w:w="408" w:type="dxa"/>
            <w:tcBorders>
              <w:top w:val="single" w:sz="4" w:space="0" w:color="auto"/>
              <w:left w:val="nil"/>
              <w:bottom w:val="single" w:sz="4" w:space="0" w:color="auto"/>
              <w:right w:val="nil"/>
            </w:tcBorders>
            <w:shd w:val="clear" w:color="auto" w:fill="FFFFFF" w:themeFill="background1"/>
            <w:noWrap/>
            <w:textDirection w:val="btLr"/>
            <w:hideMark/>
          </w:tcPr>
          <w:p w:rsidR="00D11D0D" w:rsidRDefault="00D11D0D" w:rsidP="00D11D0D">
            <w:pPr>
              <w:ind w:left="113" w:right="113"/>
              <w:rPr>
                <w:sz w:val="14"/>
                <w:szCs w:val="14"/>
                <w:vertAlign w:val="superscript"/>
              </w:rPr>
            </w:pPr>
            <w:r w:rsidRPr="00E13EC7">
              <w:rPr>
                <w:noProof/>
                <w:sz w:val="14"/>
                <w:szCs w:val="14"/>
              </w:rPr>
              <w:t>Middle East</w:t>
            </w:r>
            <w:r>
              <w:rPr>
                <w:sz w:val="14"/>
                <w:szCs w:val="14"/>
              </w:rPr>
              <w:t xml:space="preserve"> &amp;  North </w:t>
            </w:r>
            <w:r w:rsidRPr="00E13EC7">
              <w:rPr>
                <w:noProof/>
                <w:sz w:val="14"/>
                <w:szCs w:val="14"/>
              </w:rPr>
              <w:t>Africa</w:t>
            </w:r>
            <w:r>
              <w:rPr>
                <w:noProof/>
                <w:sz w:val="14"/>
                <w:szCs w:val="14"/>
                <w:vertAlign w:val="superscript"/>
              </w:rPr>
              <w:t>b</w:t>
            </w:r>
          </w:p>
        </w:tc>
        <w:tc>
          <w:tcPr>
            <w:tcW w:w="408" w:type="dxa"/>
            <w:gridSpan w:val="2"/>
            <w:tcBorders>
              <w:top w:val="single" w:sz="4" w:space="0" w:color="auto"/>
              <w:left w:val="nil"/>
              <w:bottom w:val="single" w:sz="4" w:space="0" w:color="auto"/>
              <w:right w:val="nil"/>
            </w:tcBorders>
            <w:shd w:val="clear" w:color="auto" w:fill="E7E6E6" w:themeFill="background2"/>
            <w:noWrap/>
            <w:textDirection w:val="btLr"/>
            <w:hideMark/>
          </w:tcPr>
          <w:p w:rsidR="00D11D0D" w:rsidRDefault="00D11D0D" w:rsidP="00D11D0D">
            <w:pPr>
              <w:ind w:left="113" w:right="113"/>
              <w:rPr>
                <w:sz w:val="14"/>
                <w:szCs w:val="14"/>
                <w:vertAlign w:val="superscript"/>
              </w:rPr>
            </w:pPr>
            <w:r>
              <w:rPr>
                <w:sz w:val="14"/>
                <w:szCs w:val="14"/>
              </w:rPr>
              <w:t xml:space="preserve">Sub-Saharan </w:t>
            </w:r>
            <w:r w:rsidRPr="00E13EC7">
              <w:rPr>
                <w:noProof/>
                <w:sz w:val="14"/>
                <w:szCs w:val="14"/>
              </w:rPr>
              <w:t>Africa</w:t>
            </w:r>
            <w:r>
              <w:rPr>
                <w:noProof/>
                <w:sz w:val="14"/>
                <w:szCs w:val="14"/>
                <w:vertAlign w:val="superscript"/>
              </w:rPr>
              <w:t>b</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D11D0D" w:rsidRPr="003B6046" w:rsidRDefault="00D11D0D" w:rsidP="00697E66">
            <w:pPr>
              <w:ind w:left="113" w:right="113"/>
              <w:rPr>
                <w:sz w:val="12"/>
                <w:szCs w:val="12"/>
              </w:rPr>
            </w:pPr>
            <w:r w:rsidRPr="003B6046">
              <w:rPr>
                <w:i/>
                <w:sz w:val="12"/>
                <w:szCs w:val="12"/>
              </w:rPr>
              <w:t>R</w:t>
            </w:r>
            <w:r w:rsidRPr="003B6046">
              <w:rPr>
                <w:sz w:val="12"/>
                <w:szCs w:val="12"/>
                <w:vertAlign w:val="superscript"/>
              </w:rPr>
              <w:t>2</w:t>
            </w:r>
            <w:r w:rsidRPr="003B6046">
              <w:rPr>
                <w:sz w:val="12"/>
                <w:szCs w:val="12"/>
              </w:rPr>
              <w:t xml:space="preserve"> Overall</w:t>
            </w:r>
          </w:p>
          <w:p w:rsidR="00D11D0D" w:rsidRPr="003B6046" w:rsidRDefault="00D11D0D" w:rsidP="00697E66">
            <w:pPr>
              <w:ind w:left="113" w:right="113"/>
              <w:rPr>
                <w:sz w:val="12"/>
                <w:szCs w:val="12"/>
              </w:rPr>
            </w:pPr>
            <w:r w:rsidRPr="003B6046">
              <w:rPr>
                <w:i/>
                <w:sz w:val="12"/>
                <w:szCs w:val="12"/>
              </w:rPr>
              <w:t>R</w:t>
            </w:r>
            <w:r w:rsidRPr="003B6046">
              <w:rPr>
                <w:i/>
                <w:sz w:val="12"/>
                <w:szCs w:val="12"/>
                <w:vertAlign w:val="superscript"/>
              </w:rPr>
              <w:t>2</w:t>
            </w:r>
            <w:r w:rsidRPr="003B6046">
              <w:rPr>
                <w:sz w:val="12"/>
                <w:szCs w:val="12"/>
              </w:rPr>
              <w:t xml:space="preserve"> Within</w:t>
            </w:r>
          </w:p>
          <w:p w:rsidR="00D11D0D" w:rsidRPr="00EA3315" w:rsidRDefault="00D11D0D" w:rsidP="00697E66">
            <w:pPr>
              <w:ind w:left="113" w:right="113"/>
              <w:rPr>
                <w:sz w:val="14"/>
                <w:szCs w:val="14"/>
              </w:rPr>
            </w:pPr>
            <w:r w:rsidRPr="003B6046">
              <w:rPr>
                <w:i/>
                <w:sz w:val="12"/>
                <w:szCs w:val="12"/>
              </w:rPr>
              <w:t>R</w:t>
            </w:r>
            <w:r w:rsidRPr="003B6046">
              <w:rPr>
                <w:i/>
                <w:sz w:val="12"/>
                <w:szCs w:val="12"/>
                <w:vertAlign w:val="superscript"/>
              </w:rPr>
              <w:t>2</w:t>
            </w:r>
            <w:r w:rsidRPr="003B6046">
              <w:rPr>
                <w:i/>
                <w:sz w:val="12"/>
                <w:szCs w:val="12"/>
              </w:rPr>
              <w:t xml:space="preserve"> </w:t>
            </w:r>
            <w:r w:rsidRPr="003B6046">
              <w:rPr>
                <w:sz w:val="12"/>
                <w:szCs w:val="12"/>
              </w:rPr>
              <w:t xml:space="preserve"> Between</w:t>
            </w:r>
          </w:p>
        </w:tc>
        <w:tc>
          <w:tcPr>
            <w:tcW w:w="244" w:type="dxa"/>
            <w:vMerge/>
            <w:tcBorders>
              <w:left w:val="single" w:sz="4" w:space="0" w:color="auto"/>
              <w:bottom w:val="nil"/>
              <w:right w:val="nil"/>
            </w:tcBorders>
            <w:vAlign w:val="center"/>
            <w:hideMark/>
          </w:tcPr>
          <w:p w:rsidR="00D11D0D" w:rsidRDefault="00D11D0D" w:rsidP="00697E66">
            <w:pPr>
              <w:rPr>
                <w:sz w:val="14"/>
                <w:szCs w:val="14"/>
              </w:rPr>
            </w:pPr>
          </w:p>
        </w:tc>
      </w:tr>
    </w:tbl>
    <w:p w:rsidR="00394DBD" w:rsidRDefault="00394DBD">
      <w:pPr>
        <w:rPr>
          <w:noProof/>
        </w:rPr>
      </w:pPr>
      <w:r>
        <w:rPr>
          <w:noProof/>
        </w:rPr>
        <w:br w:type="page"/>
      </w:r>
    </w:p>
    <w:p w:rsidR="00E92FD2" w:rsidRDefault="00527D4F" w:rsidP="00E92FD2">
      <w:pPr>
        <w:spacing w:line="480" w:lineRule="auto"/>
        <w:ind w:firstLine="720"/>
        <w:contextualSpacing/>
      </w:pPr>
      <w:r w:rsidRPr="00E17D43">
        <w:rPr>
          <w:noProof/>
        </w:rPr>
        <w:lastRenderedPageBreak/>
        <w:t>I</w:t>
      </w:r>
      <w:r>
        <w:t xml:space="preserve"> also conduct ra</w:t>
      </w:r>
      <w:r w:rsidR="00E92FD2">
        <w:t xml:space="preserve">ndom effects (RE) regression on the panel data. In Model 1, </w:t>
      </w:r>
      <w:r w:rsidR="0032543F">
        <w:t xml:space="preserve">income </w:t>
      </w:r>
      <w:r w:rsidR="00E92FD2" w:rsidRPr="00D11D0D">
        <w:rPr>
          <w:noProof/>
        </w:rPr>
        <w:t>inequality</w:t>
      </w:r>
      <w:r w:rsidR="0032543F">
        <w:t xml:space="preserve"> produces a positive</w:t>
      </w:r>
      <w:r w:rsidR="00E92FD2">
        <w:t xml:space="preserve"> coefficient that is not significant. When </w:t>
      </w:r>
      <w:r w:rsidR="00E92FD2" w:rsidRPr="00831AF6">
        <w:rPr>
          <w:noProof/>
        </w:rPr>
        <w:t>I</w:t>
      </w:r>
      <w:r w:rsidR="00E92FD2">
        <w:t xml:space="preserve"> control for wealth in Model 2, </w:t>
      </w:r>
      <w:r w:rsidR="00E92FD2" w:rsidRPr="00D11D0D">
        <w:rPr>
          <w:noProof/>
        </w:rPr>
        <w:t>inequality</w:t>
      </w:r>
      <w:r w:rsidR="00E92FD2">
        <w:t xml:space="preserve"> </w:t>
      </w:r>
      <w:r w:rsidR="0032543F">
        <w:t>and wealth product</w:t>
      </w:r>
      <w:r w:rsidR="00E92FD2">
        <w:t xml:space="preserve"> positive </w:t>
      </w:r>
      <w:r w:rsidR="00E92FD2" w:rsidRPr="00525FCF">
        <w:rPr>
          <w:noProof/>
        </w:rPr>
        <w:t>coefficient</w:t>
      </w:r>
      <w:r w:rsidR="0032543F" w:rsidRPr="00525FCF">
        <w:rPr>
          <w:noProof/>
        </w:rPr>
        <w:t>s</w:t>
      </w:r>
      <w:r w:rsidR="0032543F">
        <w:rPr>
          <w:noProof/>
        </w:rPr>
        <w:t xml:space="preserve">, neither of which is </w:t>
      </w:r>
      <w:r w:rsidR="00E92FD2">
        <w:t>significant</w:t>
      </w:r>
      <w:r w:rsidR="0032543F">
        <w:t xml:space="preserve">. When I introduce </w:t>
      </w:r>
      <w:r w:rsidR="0032543F" w:rsidRPr="00525FCF">
        <w:rPr>
          <w:noProof/>
        </w:rPr>
        <w:t>level</w:t>
      </w:r>
      <w:r w:rsidR="0032543F">
        <w:t xml:space="preserve"> of democracy as a control in Model 3, </w:t>
      </w:r>
      <w:r w:rsidR="0032543F" w:rsidRPr="00525FCF">
        <w:rPr>
          <w:noProof/>
        </w:rPr>
        <w:t>inequality</w:t>
      </w:r>
      <w:r w:rsidR="0032543F">
        <w:t xml:space="preserve"> remains non-significant, while </w:t>
      </w:r>
      <w:r w:rsidR="0032543F" w:rsidRPr="00525FCF">
        <w:rPr>
          <w:noProof/>
        </w:rPr>
        <w:t>level</w:t>
      </w:r>
      <w:r w:rsidR="0032543F">
        <w:t xml:space="preserve"> of </w:t>
      </w:r>
      <w:r w:rsidR="0032543F" w:rsidRPr="00525FCF">
        <w:rPr>
          <w:noProof/>
        </w:rPr>
        <w:t>democracy</w:t>
      </w:r>
      <w:r w:rsidR="0032543F">
        <w:t xml:space="preserve"> produces a positive, significant coefficient (</w:t>
      </w:r>
      <w:r w:rsidR="0032543F">
        <w:rPr>
          <w:i/>
        </w:rPr>
        <w:t xml:space="preserve">z </w:t>
      </w:r>
      <w:r w:rsidR="0032543F">
        <w:t xml:space="preserve">= 3.53, </w:t>
      </w:r>
      <w:r w:rsidR="0032543F">
        <w:rPr>
          <w:i/>
        </w:rPr>
        <w:t xml:space="preserve">p </w:t>
      </w:r>
      <w:r w:rsidR="0032543F">
        <w:t xml:space="preserve">&lt; .001). </w:t>
      </w:r>
      <w:r w:rsidR="00E92FD2" w:rsidRPr="00831AF6">
        <w:rPr>
          <w:noProof/>
        </w:rPr>
        <w:t>I</w:t>
      </w:r>
      <w:r w:rsidR="00E92FD2">
        <w:t xml:space="preserve"> control for the percentage of the population be</w:t>
      </w:r>
      <w:r w:rsidR="0032543F">
        <w:t>tween ages 15 and 64 in Model 4. I</w:t>
      </w:r>
      <w:r w:rsidR="00E92FD2">
        <w:t xml:space="preserve">nequality is not </w:t>
      </w:r>
      <w:r w:rsidR="00E92FD2" w:rsidRPr="00525FCF">
        <w:rPr>
          <w:noProof/>
        </w:rPr>
        <w:t>significant</w:t>
      </w:r>
      <w:r w:rsidR="00E92FD2">
        <w:t xml:space="preserve"> and </w:t>
      </w:r>
      <w:r w:rsidR="00E92FD2" w:rsidRPr="00831AF6">
        <w:rPr>
          <w:noProof/>
        </w:rPr>
        <w:t>my</w:t>
      </w:r>
      <w:r w:rsidR="00E92FD2">
        <w:t xml:space="preserve"> age cohort is positive and </w:t>
      </w:r>
      <w:r w:rsidR="00E92FD2" w:rsidRPr="00525FCF">
        <w:rPr>
          <w:noProof/>
        </w:rPr>
        <w:t>significant</w:t>
      </w:r>
      <w:r w:rsidR="00E92FD2">
        <w:t xml:space="preserve"> (</w:t>
      </w:r>
      <w:r w:rsidR="00E92FD2">
        <w:rPr>
          <w:i/>
        </w:rPr>
        <w:t>z</w:t>
      </w:r>
      <w:r w:rsidR="00E92FD2">
        <w:t xml:space="preserve"> = 4.06, </w:t>
      </w:r>
      <w:r w:rsidR="00E92FD2">
        <w:rPr>
          <w:i/>
        </w:rPr>
        <w:t>p</w:t>
      </w:r>
      <w:r w:rsidR="00E92FD2">
        <w:t xml:space="preserve"> &lt; .001). The greater the percentage of the population between 15 and 64, the higher the incarceration rates. </w:t>
      </w:r>
    </w:p>
    <w:p w:rsidR="0032543F" w:rsidRDefault="00E92FD2" w:rsidP="00E92FD2">
      <w:pPr>
        <w:spacing w:line="480" w:lineRule="auto"/>
        <w:contextualSpacing/>
      </w:pPr>
      <w:r>
        <w:tab/>
        <w:t xml:space="preserve">In Model 5, </w:t>
      </w:r>
      <w:r w:rsidRPr="00831AF6">
        <w:rPr>
          <w:noProof/>
        </w:rPr>
        <w:t>I</w:t>
      </w:r>
      <w:r>
        <w:t xml:space="preserve"> control inequality with </w:t>
      </w:r>
      <w:r w:rsidRPr="00831AF6">
        <w:rPr>
          <w:noProof/>
        </w:rPr>
        <w:t>percent</w:t>
      </w:r>
      <w:r>
        <w:t xml:space="preserve"> of the population residing in urban areas. In this model, inequality is non-significant and percent urban is positive and significant (</w:t>
      </w:r>
      <w:r>
        <w:rPr>
          <w:i/>
        </w:rPr>
        <w:t>z</w:t>
      </w:r>
      <w:r w:rsidR="0032543F">
        <w:t xml:space="preserve"> = 3.07</w:t>
      </w:r>
      <w:r>
        <w:t xml:space="preserve">, </w:t>
      </w:r>
      <w:r>
        <w:rPr>
          <w:i/>
        </w:rPr>
        <w:t xml:space="preserve">p </w:t>
      </w:r>
      <w:r>
        <w:t>&lt; .001). The greater the percentage of the population residing in urban areas, the higher the rates of incarceration. Controlling for physical integrity rights fails to produce a significant coefficient for either variable. In Model 7, controlling for the percentage of the population over age 15 completing secondary education, produces a positive and significant coefficient for education (</w:t>
      </w:r>
      <w:r>
        <w:rPr>
          <w:i/>
        </w:rPr>
        <w:t>z</w:t>
      </w:r>
      <w:r w:rsidR="0032543F">
        <w:t xml:space="preserve"> = 2.76</w:t>
      </w:r>
      <w:r>
        <w:t xml:space="preserve">, </w:t>
      </w:r>
      <w:r>
        <w:rPr>
          <w:i/>
        </w:rPr>
        <w:t>p</w:t>
      </w:r>
      <w:r w:rsidR="0032543F">
        <w:t xml:space="preserve"> &lt; .0</w:t>
      </w:r>
      <w:r>
        <w:t>1), while inequality is not significant. Inequality is negative and non-significant when I control for homicide rates</w:t>
      </w:r>
      <w:r w:rsidR="0032543F">
        <w:t>.</w:t>
      </w:r>
      <w:r>
        <w:t xml:space="preserve"> </w:t>
      </w:r>
      <w:r w:rsidR="0032543F">
        <w:t>H</w:t>
      </w:r>
      <w:r>
        <w:t xml:space="preserve">omicide rates </w:t>
      </w:r>
      <w:r w:rsidR="0032543F">
        <w:t xml:space="preserve">also </w:t>
      </w:r>
      <w:r>
        <w:t>pro</w:t>
      </w:r>
      <w:r w:rsidR="0032543F">
        <w:t>duce a negative</w:t>
      </w:r>
      <w:r>
        <w:t>,</w:t>
      </w:r>
      <w:r w:rsidR="0032543F">
        <w:t xml:space="preserve"> non-significant coefficient</w:t>
      </w:r>
      <w:r>
        <w:t xml:space="preserve">. In Model 8, neither inequality nor ethnic fractionalization produce significant coefficients. Model 9 </w:t>
      </w:r>
      <w:r w:rsidR="0032543F">
        <w:t>controls for drug offense rates. While inequality continues to fail to produce significant results, drug offense rates (logged) produce a positive and significant coefficient (</w:t>
      </w:r>
      <w:r w:rsidR="0032543F">
        <w:rPr>
          <w:i/>
        </w:rPr>
        <w:t>z</w:t>
      </w:r>
      <w:r w:rsidR="0032543F">
        <w:t xml:space="preserve"> = 4.91, </w:t>
      </w:r>
      <w:r w:rsidR="0032543F">
        <w:rPr>
          <w:i/>
        </w:rPr>
        <w:t>p</w:t>
      </w:r>
      <w:r w:rsidR="0032543F">
        <w:t xml:space="preserve"> &lt; .001). </w:t>
      </w:r>
    </w:p>
    <w:p w:rsidR="0032543F" w:rsidRDefault="0032543F" w:rsidP="00E92FD2">
      <w:pPr>
        <w:spacing w:line="480" w:lineRule="auto"/>
        <w:contextualSpacing/>
      </w:pPr>
      <w:r>
        <w:lastRenderedPageBreak/>
        <w:tab/>
        <w:t>I add</w:t>
      </w:r>
      <w:r w:rsidR="00E92FD2">
        <w:t xml:space="preserve"> </w:t>
      </w:r>
      <w:r w:rsidR="00E92FD2" w:rsidRPr="00525FCF">
        <w:rPr>
          <w:noProof/>
        </w:rPr>
        <w:t>percentage</w:t>
      </w:r>
      <w:r w:rsidR="00E92FD2">
        <w:t xml:space="preserve"> of the population that is male as a control for inequality</w:t>
      </w:r>
      <w:r>
        <w:t xml:space="preserve"> in Model 10</w:t>
      </w:r>
      <w:r w:rsidR="00E92FD2">
        <w:t xml:space="preserve">. Inequality is </w:t>
      </w:r>
      <w:r w:rsidR="00E92FD2" w:rsidRPr="00525FCF">
        <w:rPr>
          <w:noProof/>
        </w:rPr>
        <w:t>nonsignificant</w:t>
      </w:r>
      <w:r w:rsidR="00E92FD2">
        <w:t xml:space="preserve"> and percent of population that is male produces a negative, significant result (</w:t>
      </w:r>
      <w:r w:rsidR="00E92FD2">
        <w:rPr>
          <w:i/>
        </w:rPr>
        <w:t>z</w:t>
      </w:r>
      <w:r>
        <w:t xml:space="preserve"> = -4.37</w:t>
      </w:r>
      <w:r w:rsidR="00E92FD2">
        <w:t xml:space="preserve">, </w:t>
      </w:r>
      <w:r w:rsidR="00E92FD2">
        <w:rPr>
          <w:i/>
        </w:rPr>
        <w:t>p</w:t>
      </w:r>
      <w:r>
        <w:t xml:space="preserve"> &lt; .001</w:t>
      </w:r>
      <w:r w:rsidR="00E92FD2">
        <w:t xml:space="preserve">). </w:t>
      </w:r>
      <w:r>
        <w:t xml:space="preserve"> M</w:t>
      </w:r>
      <w:r w:rsidR="00E92FD2">
        <w:t>odel 11 examines inequality</w:t>
      </w:r>
      <w:r>
        <w:t xml:space="preserve">, controlling for ethnic fractionalization. Neither variable produces a significant coefficient. </w:t>
      </w:r>
    </w:p>
    <w:p w:rsidR="0032543F" w:rsidRDefault="0032543F" w:rsidP="0032543F">
      <w:pPr>
        <w:spacing w:line="480" w:lineRule="auto"/>
        <w:ind w:firstLine="720"/>
        <w:contextualSpacing/>
      </w:pPr>
      <w:r>
        <w:t>In Model 12, I include</w:t>
      </w:r>
      <w:r w:rsidR="00E92FD2">
        <w:t xml:space="preserve"> all of the listed </w:t>
      </w:r>
      <w:r>
        <w:t>controls, save regions</w:t>
      </w:r>
      <w:r w:rsidR="00E92FD2">
        <w:t xml:space="preserve">. In this model, the following variables produce positive and significant coefficients: </w:t>
      </w:r>
      <w:r>
        <w:t>level of democracy (</w:t>
      </w:r>
      <w:r>
        <w:rPr>
          <w:i/>
        </w:rPr>
        <w:t xml:space="preserve">z </w:t>
      </w:r>
      <w:r>
        <w:t xml:space="preserve">= 2.51, </w:t>
      </w:r>
      <w:r>
        <w:rPr>
          <w:i/>
        </w:rPr>
        <w:t xml:space="preserve">p </w:t>
      </w:r>
      <w:r>
        <w:t xml:space="preserve">&lt; .05), </w:t>
      </w:r>
      <w:r w:rsidR="00E92FD2">
        <w:t>age cohort (</w:t>
      </w:r>
      <w:r w:rsidR="00E92FD2">
        <w:rPr>
          <w:i/>
        </w:rPr>
        <w:t>z</w:t>
      </w:r>
      <w:r>
        <w:t xml:space="preserve"> = 2.84</w:t>
      </w:r>
      <w:r w:rsidR="00E92FD2">
        <w:t xml:space="preserve">, </w:t>
      </w:r>
      <w:r w:rsidR="00E92FD2">
        <w:rPr>
          <w:i/>
        </w:rPr>
        <w:t>p</w:t>
      </w:r>
      <w:r w:rsidR="00E92FD2">
        <w:t xml:space="preserve"> &lt; .0</w:t>
      </w:r>
      <w:r>
        <w:t>1</w:t>
      </w:r>
      <w:r w:rsidR="00E92FD2">
        <w:t>), percent urban (</w:t>
      </w:r>
      <w:r w:rsidR="00E92FD2">
        <w:rPr>
          <w:i/>
        </w:rPr>
        <w:t>z</w:t>
      </w:r>
      <w:r>
        <w:t xml:space="preserve"> = 4.33</w:t>
      </w:r>
      <w:r w:rsidR="00E92FD2">
        <w:t xml:space="preserve">, </w:t>
      </w:r>
      <w:r w:rsidR="00E92FD2">
        <w:rPr>
          <w:i/>
        </w:rPr>
        <w:t>p</w:t>
      </w:r>
      <w:r>
        <w:t xml:space="preserve"> &lt; .001</w:t>
      </w:r>
      <w:r w:rsidR="00E92FD2">
        <w:t>), educational attainment (</w:t>
      </w:r>
      <w:r w:rsidR="00E92FD2">
        <w:rPr>
          <w:i/>
        </w:rPr>
        <w:t>z</w:t>
      </w:r>
      <w:r>
        <w:t xml:space="preserve"> = 1.97</w:t>
      </w:r>
      <w:r w:rsidR="00E92FD2">
        <w:t xml:space="preserve">, </w:t>
      </w:r>
      <w:r w:rsidR="00E92FD2">
        <w:rPr>
          <w:i/>
        </w:rPr>
        <w:t>p</w:t>
      </w:r>
      <w:r>
        <w:t xml:space="preserve"> &lt; .05), drug offense</w:t>
      </w:r>
      <w:r w:rsidR="00E92FD2">
        <w:t xml:space="preserve"> rates (</w:t>
      </w:r>
      <w:r w:rsidR="00E92FD2">
        <w:rPr>
          <w:i/>
        </w:rPr>
        <w:t>z</w:t>
      </w:r>
      <w:r>
        <w:t xml:space="preserve"> = 4.36</w:t>
      </w:r>
      <w:r w:rsidR="00E92FD2">
        <w:t xml:space="preserve">, </w:t>
      </w:r>
      <w:r w:rsidR="00E92FD2">
        <w:rPr>
          <w:i/>
        </w:rPr>
        <w:t>p</w:t>
      </w:r>
      <w:r w:rsidR="00E92FD2">
        <w:t xml:space="preserve"> &lt; .001)</w:t>
      </w:r>
      <w:r>
        <w:t>, and ethnic fractionalization (</w:t>
      </w:r>
      <w:r>
        <w:rPr>
          <w:i/>
        </w:rPr>
        <w:t xml:space="preserve">z </w:t>
      </w:r>
      <w:r>
        <w:t xml:space="preserve">= 2.12, </w:t>
      </w:r>
      <w:r>
        <w:rPr>
          <w:i/>
        </w:rPr>
        <w:t>p</w:t>
      </w:r>
      <w:r>
        <w:t xml:space="preserve"> &lt;.05)</w:t>
      </w:r>
      <w:r w:rsidR="00E92FD2">
        <w:t xml:space="preserve">. </w:t>
      </w:r>
      <w:r>
        <w:t>Wealth (</w:t>
      </w:r>
      <w:r>
        <w:rPr>
          <w:i/>
        </w:rPr>
        <w:t xml:space="preserve">z </w:t>
      </w:r>
      <w:r>
        <w:t xml:space="preserve">= -4.79, </w:t>
      </w:r>
      <w:r>
        <w:rPr>
          <w:i/>
        </w:rPr>
        <w:t xml:space="preserve">p </w:t>
      </w:r>
      <w:r>
        <w:t>&lt; .001) and p</w:t>
      </w:r>
      <w:r w:rsidR="00E92FD2" w:rsidRPr="0032543F">
        <w:t>ercentage</w:t>
      </w:r>
      <w:r w:rsidR="00E92FD2">
        <w:t xml:space="preserve"> of the population that are male </w:t>
      </w:r>
      <w:r>
        <w:t>(</w:t>
      </w:r>
      <w:r>
        <w:rPr>
          <w:i/>
        </w:rPr>
        <w:t>z</w:t>
      </w:r>
      <w:r>
        <w:t xml:space="preserve"> = -2.32, </w:t>
      </w:r>
      <w:r>
        <w:rPr>
          <w:i/>
        </w:rPr>
        <w:t>p</w:t>
      </w:r>
      <w:r>
        <w:t xml:space="preserve"> &lt; .05) </w:t>
      </w:r>
      <w:r w:rsidR="00E92FD2">
        <w:t xml:space="preserve">produce a negative </w:t>
      </w:r>
      <w:r>
        <w:t xml:space="preserve">and significant </w:t>
      </w:r>
      <w:r w:rsidR="00E92FD2">
        <w:t>coefficient</w:t>
      </w:r>
      <w:r>
        <w:t xml:space="preserve">s. </w:t>
      </w:r>
      <w:r w:rsidR="00057B53">
        <w:t>According to the analysis, the variab</w:t>
      </w:r>
      <w:r w:rsidR="00404DE3">
        <w:t>les in Model 12 explain over 35 percent</w:t>
      </w:r>
      <w:r w:rsidR="00057B53">
        <w:t xml:space="preserve"> of the variation in incarceration rates within countries. </w:t>
      </w:r>
    </w:p>
    <w:p w:rsidR="00E92FD2" w:rsidRPr="00057B53" w:rsidRDefault="00E92FD2" w:rsidP="0032543F">
      <w:pPr>
        <w:spacing w:line="480" w:lineRule="auto"/>
        <w:ind w:firstLine="720"/>
        <w:contextualSpacing/>
      </w:pPr>
      <w:r>
        <w:t xml:space="preserve">In my final model, I include all previously listed explanatory and control variables and include regional dummy variables, with West as the referent category. When I add the regional dummy variables, my results are similar to those in Model 11. </w:t>
      </w:r>
      <w:r w:rsidR="0032543F">
        <w:t>Level of democracy (</w:t>
      </w:r>
      <w:r w:rsidR="0032543F">
        <w:rPr>
          <w:i/>
        </w:rPr>
        <w:t>z</w:t>
      </w:r>
      <w:r w:rsidR="0032543F">
        <w:t xml:space="preserve"> = 2.40, </w:t>
      </w:r>
      <w:r w:rsidR="0032543F">
        <w:rPr>
          <w:i/>
        </w:rPr>
        <w:t xml:space="preserve">p </w:t>
      </w:r>
      <w:r w:rsidR="0032543F">
        <w:t>&lt;.05), age cohort (</w:t>
      </w:r>
      <w:r w:rsidR="0032543F">
        <w:rPr>
          <w:i/>
        </w:rPr>
        <w:t>z</w:t>
      </w:r>
      <w:r w:rsidR="0032543F">
        <w:t xml:space="preserve"> = 2.42, </w:t>
      </w:r>
      <w:r w:rsidR="0032543F">
        <w:rPr>
          <w:i/>
        </w:rPr>
        <w:t xml:space="preserve">p </w:t>
      </w:r>
      <w:r w:rsidR="0032543F">
        <w:t>&lt;.05), percent urban (</w:t>
      </w:r>
      <w:r w:rsidR="0032543F">
        <w:rPr>
          <w:i/>
        </w:rPr>
        <w:t>z</w:t>
      </w:r>
      <w:r w:rsidR="0032543F">
        <w:t xml:space="preserve"> = 4.17, </w:t>
      </w:r>
      <w:r w:rsidR="0032543F">
        <w:rPr>
          <w:i/>
        </w:rPr>
        <w:t xml:space="preserve">p </w:t>
      </w:r>
      <w:r w:rsidR="0032543F">
        <w:t>&lt;.001), and drug offense rates (</w:t>
      </w:r>
      <w:r w:rsidR="0032543F">
        <w:rPr>
          <w:i/>
        </w:rPr>
        <w:t>z</w:t>
      </w:r>
      <w:r w:rsidR="0032543F">
        <w:t xml:space="preserve"> = 4.54, </w:t>
      </w:r>
      <w:r w:rsidR="0032543F">
        <w:rPr>
          <w:i/>
        </w:rPr>
        <w:t xml:space="preserve">p </w:t>
      </w:r>
      <w:r w:rsidR="0032543F">
        <w:t>&lt;.001), all produce positive, significant coefficients. Country wealth (</w:t>
      </w:r>
      <w:r w:rsidR="0032543F">
        <w:rPr>
          <w:i/>
        </w:rPr>
        <w:t>z</w:t>
      </w:r>
      <w:r w:rsidR="0032543F">
        <w:t xml:space="preserve"> = -3.58, </w:t>
      </w:r>
      <w:r w:rsidR="0032543F">
        <w:rPr>
          <w:i/>
        </w:rPr>
        <w:t xml:space="preserve">p </w:t>
      </w:r>
      <w:r w:rsidR="0032543F">
        <w:t>&lt;.001) and percent male (</w:t>
      </w:r>
      <w:r w:rsidR="0032543F">
        <w:rPr>
          <w:i/>
        </w:rPr>
        <w:t>z</w:t>
      </w:r>
      <w:r w:rsidR="0032543F">
        <w:t xml:space="preserve"> = -1.94, </w:t>
      </w:r>
      <w:r w:rsidR="0032543F">
        <w:rPr>
          <w:i/>
        </w:rPr>
        <w:t xml:space="preserve">p </w:t>
      </w:r>
      <w:r w:rsidR="0032543F">
        <w:t xml:space="preserve">&lt;.10), both produce negative coefficients. </w:t>
      </w:r>
      <w:r>
        <w:t xml:space="preserve"> </w:t>
      </w:r>
      <w:r w:rsidR="0032543F">
        <w:t xml:space="preserve">Using the West as my referent category, all </w:t>
      </w:r>
      <w:r>
        <w:t>regional variables produce p</w:t>
      </w:r>
      <w:r w:rsidR="0032543F">
        <w:t xml:space="preserve">ositive coefficients, with EECA, MENA, and SSA attaining significance. </w:t>
      </w:r>
      <w:r w:rsidR="00057B53">
        <w:rPr>
          <w:i/>
        </w:rPr>
        <w:t>R</w:t>
      </w:r>
      <w:r w:rsidR="00057B53">
        <w:rPr>
          <w:i/>
          <w:vertAlign w:val="superscript"/>
        </w:rPr>
        <w:t>2</w:t>
      </w:r>
      <w:r w:rsidR="00057B53">
        <w:rPr>
          <w:i/>
        </w:rPr>
        <w:t xml:space="preserve"> </w:t>
      </w:r>
      <w:r w:rsidR="00057B53">
        <w:t>for Model 13 is .41.</w:t>
      </w:r>
    </w:p>
    <w:p w:rsidR="0032543F" w:rsidRDefault="00E90606" w:rsidP="0032543F">
      <w:pPr>
        <w:spacing w:line="480" w:lineRule="auto"/>
      </w:pPr>
      <w:r>
        <w:tab/>
      </w:r>
      <w:r w:rsidR="0058206A">
        <w:br w:type="page"/>
      </w:r>
    </w:p>
    <w:tbl>
      <w:tblPr>
        <w:tblStyle w:val="TableGrid5"/>
        <w:tblW w:w="11688" w:type="dxa"/>
        <w:tblLayout w:type="fixed"/>
        <w:tblLook w:val="02A0" w:firstRow="1" w:lastRow="0" w:firstColumn="1" w:lastColumn="0" w:noHBand="1" w:noVBand="0"/>
      </w:tblPr>
      <w:tblGrid>
        <w:gridCol w:w="306"/>
        <w:gridCol w:w="306"/>
        <w:gridCol w:w="378"/>
        <w:gridCol w:w="450"/>
        <w:gridCol w:w="450"/>
        <w:gridCol w:w="450"/>
        <w:gridCol w:w="450"/>
        <w:gridCol w:w="450"/>
        <w:gridCol w:w="450"/>
        <w:gridCol w:w="450"/>
        <w:gridCol w:w="450"/>
        <w:gridCol w:w="450"/>
        <w:gridCol w:w="450"/>
        <w:gridCol w:w="450"/>
        <w:gridCol w:w="450"/>
        <w:gridCol w:w="450"/>
        <w:gridCol w:w="450"/>
        <w:gridCol w:w="450"/>
        <w:gridCol w:w="540"/>
        <w:gridCol w:w="3408"/>
      </w:tblGrid>
      <w:tr w:rsidR="0032543F" w:rsidRPr="00F810C6" w:rsidTr="00697E66">
        <w:trPr>
          <w:trHeight w:val="890"/>
        </w:trPr>
        <w:tc>
          <w:tcPr>
            <w:tcW w:w="306" w:type="dxa"/>
            <w:tcBorders>
              <w:top w:val="nil"/>
              <w:left w:val="nil"/>
              <w:bottom w:val="nil"/>
            </w:tcBorders>
            <w:textDirection w:val="btLr"/>
          </w:tcPr>
          <w:p w:rsidR="0032543F" w:rsidRDefault="0032543F" w:rsidP="00697E66">
            <w:pPr>
              <w:ind w:left="113" w:right="113"/>
              <w:rPr>
                <w:sz w:val="16"/>
                <w:szCs w:val="16"/>
              </w:rPr>
            </w:pPr>
          </w:p>
        </w:tc>
        <w:tc>
          <w:tcPr>
            <w:tcW w:w="306" w:type="dxa"/>
            <w:tcBorders>
              <w:top w:val="single" w:sz="4" w:space="0" w:color="auto"/>
              <w:bottom w:val="nil"/>
            </w:tcBorders>
            <w:noWrap/>
            <w:textDirection w:val="btLr"/>
          </w:tcPr>
          <w:p w:rsidR="0032543F" w:rsidRDefault="0032543F" w:rsidP="00697E66">
            <w:pPr>
              <w:ind w:left="113" w:right="113"/>
              <w:jc w:val="right"/>
              <w:rPr>
                <w:sz w:val="14"/>
                <w:szCs w:val="14"/>
              </w:rPr>
            </w:pPr>
            <w:r>
              <w:rPr>
                <w:sz w:val="14"/>
                <w:szCs w:val="14"/>
              </w:rPr>
              <w:t>Model 13</w:t>
            </w:r>
          </w:p>
        </w:tc>
        <w:tc>
          <w:tcPr>
            <w:tcW w:w="378" w:type="dxa"/>
            <w:tcBorders>
              <w:top w:val="single" w:sz="4" w:space="0" w:color="auto"/>
              <w:bottom w:val="nil"/>
              <w:right w:val="nil"/>
            </w:tcBorders>
            <w:shd w:val="clear" w:color="auto" w:fill="FFFFFF" w:themeFill="background1"/>
            <w:textDirection w:val="btLr"/>
          </w:tcPr>
          <w:p w:rsidR="0032543F" w:rsidRDefault="0032543F" w:rsidP="00697E66">
            <w:pPr>
              <w:ind w:left="113" w:right="113"/>
              <w:jc w:val="right"/>
              <w:rPr>
                <w:sz w:val="12"/>
                <w:szCs w:val="12"/>
              </w:rPr>
            </w:pPr>
            <w:r>
              <w:rPr>
                <w:sz w:val="12"/>
                <w:szCs w:val="12"/>
              </w:rPr>
              <w:t>.003</w:t>
            </w:r>
          </w:p>
          <w:p w:rsidR="0032543F" w:rsidRPr="00F05BC7" w:rsidRDefault="0032543F" w:rsidP="0032543F">
            <w:pPr>
              <w:ind w:left="113" w:right="113"/>
              <w:jc w:val="right"/>
              <w:rPr>
                <w:sz w:val="12"/>
                <w:szCs w:val="12"/>
              </w:rPr>
            </w:pPr>
            <w:r>
              <w:rPr>
                <w:sz w:val="12"/>
                <w:szCs w:val="12"/>
              </w:rPr>
              <w:t>(</w:t>
            </w:r>
            <w:r w:rsidRPr="00866505">
              <w:rPr>
                <w:sz w:val="12"/>
                <w:szCs w:val="12"/>
              </w:rPr>
              <w:t>.0</w:t>
            </w:r>
            <w:r>
              <w:rPr>
                <w:sz w:val="12"/>
                <w:szCs w:val="12"/>
              </w:rPr>
              <w:t>1)</w:t>
            </w:r>
          </w:p>
        </w:tc>
        <w:tc>
          <w:tcPr>
            <w:tcW w:w="450" w:type="dxa"/>
            <w:tcBorders>
              <w:top w:val="single" w:sz="4" w:space="0" w:color="auto"/>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Pr>
                <w:sz w:val="12"/>
                <w:szCs w:val="12"/>
              </w:rPr>
              <w:t>-</w:t>
            </w:r>
            <w:r w:rsidRPr="00866505">
              <w:rPr>
                <w:sz w:val="12"/>
                <w:szCs w:val="12"/>
              </w:rPr>
              <w:t>.</w:t>
            </w:r>
            <w:r>
              <w:rPr>
                <w:sz w:val="12"/>
                <w:szCs w:val="12"/>
              </w:rPr>
              <w:t>38***</w:t>
            </w:r>
          </w:p>
          <w:p w:rsidR="0032543F" w:rsidRPr="00F05BC7" w:rsidRDefault="0032543F" w:rsidP="0032543F">
            <w:pPr>
              <w:ind w:left="113" w:right="113"/>
              <w:jc w:val="right"/>
              <w:rPr>
                <w:sz w:val="12"/>
                <w:szCs w:val="12"/>
              </w:rPr>
            </w:pPr>
            <w:r>
              <w:rPr>
                <w:sz w:val="12"/>
                <w:szCs w:val="12"/>
              </w:rPr>
              <w:t>(</w:t>
            </w:r>
            <w:r w:rsidRPr="00866505">
              <w:rPr>
                <w:sz w:val="12"/>
                <w:szCs w:val="12"/>
              </w:rPr>
              <w:t>.</w:t>
            </w:r>
            <w:r>
              <w:rPr>
                <w:sz w:val="12"/>
                <w:szCs w:val="12"/>
              </w:rPr>
              <w:t>11)</w:t>
            </w:r>
          </w:p>
        </w:tc>
        <w:tc>
          <w:tcPr>
            <w:tcW w:w="450" w:type="dxa"/>
            <w:tcBorders>
              <w:top w:val="single" w:sz="4" w:space="0" w:color="auto"/>
              <w:left w:val="nil"/>
              <w:bottom w:val="nil"/>
              <w:right w:val="nil"/>
            </w:tcBorders>
            <w:noWrap/>
            <w:textDirection w:val="btLr"/>
          </w:tcPr>
          <w:p w:rsidR="0032543F" w:rsidRDefault="0032543F" w:rsidP="00697E66">
            <w:pPr>
              <w:ind w:left="113" w:right="113"/>
              <w:jc w:val="right"/>
              <w:rPr>
                <w:sz w:val="12"/>
                <w:szCs w:val="12"/>
              </w:rPr>
            </w:pPr>
            <w:r>
              <w:rPr>
                <w:sz w:val="12"/>
                <w:szCs w:val="12"/>
              </w:rPr>
              <w:t>.07*</w:t>
            </w:r>
          </w:p>
          <w:p w:rsidR="0032543F" w:rsidRPr="00F05BC7" w:rsidRDefault="0032543F" w:rsidP="0032543F">
            <w:pPr>
              <w:ind w:left="113" w:right="113"/>
              <w:jc w:val="right"/>
              <w:rPr>
                <w:sz w:val="12"/>
                <w:szCs w:val="12"/>
              </w:rPr>
            </w:pPr>
            <w:r>
              <w:rPr>
                <w:sz w:val="12"/>
                <w:szCs w:val="12"/>
              </w:rPr>
              <w:t>(</w:t>
            </w:r>
            <w:r w:rsidRPr="00866505">
              <w:rPr>
                <w:sz w:val="12"/>
                <w:szCs w:val="12"/>
              </w:rPr>
              <w:t>.</w:t>
            </w:r>
            <w:r>
              <w:rPr>
                <w:sz w:val="12"/>
                <w:szCs w:val="12"/>
              </w:rPr>
              <w:t>11)</w:t>
            </w:r>
          </w:p>
        </w:tc>
        <w:tc>
          <w:tcPr>
            <w:tcW w:w="450" w:type="dxa"/>
            <w:tcBorders>
              <w:top w:val="single" w:sz="4" w:space="0" w:color="auto"/>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sidRPr="00866505">
              <w:rPr>
                <w:sz w:val="12"/>
                <w:szCs w:val="12"/>
              </w:rPr>
              <w:t>.0</w:t>
            </w:r>
            <w:r>
              <w:rPr>
                <w:sz w:val="12"/>
                <w:szCs w:val="12"/>
              </w:rPr>
              <w:t>3*</w:t>
            </w:r>
          </w:p>
          <w:p w:rsidR="0032543F" w:rsidRPr="00F05BC7" w:rsidRDefault="0032543F" w:rsidP="0032543F">
            <w:pPr>
              <w:ind w:left="113" w:right="113"/>
              <w:jc w:val="right"/>
              <w:rPr>
                <w:sz w:val="12"/>
                <w:szCs w:val="12"/>
              </w:rPr>
            </w:pPr>
            <w:r>
              <w:rPr>
                <w:sz w:val="12"/>
                <w:szCs w:val="12"/>
              </w:rPr>
              <w:t>(</w:t>
            </w:r>
            <w:r w:rsidRPr="00866505">
              <w:rPr>
                <w:sz w:val="12"/>
                <w:szCs w:val="12"/>
              </w:rPr>
              <w:t>.01</w:t>
            </w:r>
            <w:r>
              <w:rPr>
                <w:sz w:val="12"/>
                <w:szCs w:val="12"/>
              </w:rPr>
              <w:t>)</w:t>
            </w:r>
          </w:p>
        </w:tc>
        <w:tc>
          <w:tcPr>
            <w:tcW w:w="450" w:type="dxa"/>
            <w:tcBorders>
              <w:top w:val="single" w:sz="4" w:space="0" w:color="auto"/>
              <w:left w:val="nil"/>
              <w:bottom w:val="nil"/>
              <w:right w:val="nil"/>
            </w:tcBorders>
            <w:noWrap/>
            <w:textDirection w:val="btLr"/>
          </w:tcPr>
          <w:p w:rsidR="0032543F" w:rsidRDefault="0032543F" w:rsidP="00697E66">
            <w:pPr>
              <w:ind w:left="113" w:right="113"/>
              <w:jc w:val="right"/>
              <w:rPr>
                <w:sz w:val="12"/>
                <w:szCs w:val="12"/>
              </w:rPr>
            </w:pPr>
            <w:r w:rsidRPr="00866505">
              <w:rPr>
                <w:sz w:val="12"/>
                <w:szCs w:val="12"/>
              </w:rPr>
              <w:t>.0</w:t>
            </w:r>
            <w:r>
              <w:rPr>
                <w:sz w:val="12"/>
                <w:szCs w:val="12"/>
              </w:rPr>
              <w:t>2***</w:t>
            </w:r>
          </w:p>
          <w:p w:rsidR="0032543F" w:rsidRPr="00F05BC7" w:rsidRDefault="0032543F" w:rsidP="0032543F">
            <w:pPr>
              <w:ind w:left="113" w:right="113"/>
              <w:jc w:val="right"/>
              <w:rPr>
                <w:sz w:val="12"/>
                <w:szCs w:val="12"/>
              </w:rPr>
            </w:pPr>
            <w:r>
              <w:rPr>
                <w:sz w:val="12"/>
                <w:szCs w:val="12"/>
              </w:rPr>
              <w:t>(</w:t>
            </w:r>
            <w:r w:rsidRPr="00866505">
              <w:rPr>
                <w:sz w:val="12"/>
                <w:szCs w:val="12"/>
              </w:rPr>
              <w:t>.00</w:t>
            </w:r>
            <w:r>
              <w:rPr>
                <w:sz w:val="12"/>
                <w:szCs w:val="12"/>
              </w:rPr>
              <w:t>4)</w:t>
            </w:r>
          </w:p>
        </w:tc>
        <w:tc>
          <w:tcPr>
            <w:tcW w:w="450" w:type="dxa"/>
            <w:tcBorders>
              <w:top w:val="single" w:sz="4" w:space="0" w:color="auto"/>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Pr>
                <w:sz w:val="12"/>
                <w:szCs w:val="12"/>
              </w:rPr>
              <w:t>.01</w:t>
            </w:r>
          </w:p>
          <w:p w:rsidR="0032543F" w:rsidRPr="00F05BC7" w:rsidRDefault="0032543F" w:rsidP="0032543F">
            <w:pPr>
              <w:ind w:left="113" w:right="113"/>
              <w:jc w:val="right"/>
              <w:rPr>
                <w:sz w:val="12"/>
                <w:szCs w:val="12"/>
              </w:rPr>
            </w:pPr>
            <w:r>
              <w:rPr>
                <w:sz w:val="12"/>
                <w:szCs w:val="12"/>
              </w:rPr>
              <w:t>(</w:t>
            </w:r>
            <w:r w:rsidRPr="00866505">
              <w:rPr>
                <w:sz w:val="12"/>
                <w:szCs w:val="12"/>
              </w:rPr>
              <w:t>.</w:t>
            </w:r>
            <w:r>
              <w:rPr>
                <w:sz w:val="12"/>
                <w:szCs w:val="12"/>
              </w:rPr>
              <w:t>01)</w:t>
            </w:r>
          </w:p>
        </w:tc>
        <w:tc>
          <w:tcPr>
            <w:tcW w:w="450" w:type="dxa"/>
            <w:tcBorders>
              <w:top w:val="single" w:sz="4" w:space="0" w:color="auto"/>
              <w:left w:val="nil"/>
              <w:bottom w:val="nil"/>
              <w:right w:val="nil"/>
            </w:tcBorders>
            <w:noWrap/>
            <w:textDirection w:val="btLr"/>
          </w:tcPr>
          <w:p w:rsidR="0032543F" w:rsidRDefault="0032543F" w:rsidP="00697E66">
            <w:pPr>
              <w:ind w:left="113" w:right="113"/>
              <w:jc w:val="right"/>
              <w:rPr>
                <w:sz w:val="12"/>
                <w:szCs w:val="12"/>
              </w:rPr>
            </w:pPr>
            <w:r w:rsidRPr="00866505">
              <w:rPr>
                <w:sz w:val="12"/>
                <w:szCs w:val="12"/>
              </w:rPr>
              <w:t>.00</w:t>
            </w:r>
            <w:r>
              <w:rPr>
                <w:sz w:val="12"/>
                <w:szCs w:val="12"/>
              </w:rPr>
              <w:t>5</w:t>
            </w:r>
          </w:p>
          <w:p w:rsidR="0032543F" w:rsidRPr="00F05BC7" w:rsidRDefault="0032543F" w:rsidP="0032543F">
            <w:pPr>
              <w:ind w:left="113" w:right="113"/>
              <w:jc w:val="right"/>
              <w:rPr>
                <w:sz w:val="12"/>
                <w:szCs w:val="12"/>
              </w:rPr>
            </w:pPr>
            <w:r>
              <w:rPr>
                <w:sz w:val="12"/>
                <w:szCs w:val="12"/>
              </w:rPr>
              <w:t>(</w:t>
            </w:r>
            <w:r w:rsidRPr="00866505">
              <w:rPr>
                <w:sz w:val="12"/>
                <w:szCs w:val="12"/>
              </w:rPr>
              <w:t>.003</w:t>
            </w:r>
            <w:r>
              <w:rPr>
                <w:sz w:val="12"/>
                <w:szCs w:val="12"/>
              </w:rPr>
              <w:t>)</w:t>
            </w:r>
          </w:p>
        </w:tc>
        <w:tc>
          <w:tcPr>
            <w:tcW w:w="450" w:type="dxa"/>
            <w:tcBorders>
              <w:top w:val="single" w:sz="4" w:space="0" w:color="auto"/>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sidRPr="00866505">
              <w:rPr>
                <w:sz w:val="12"/>
                <w:szCs w:val="12"/>
              </w:rPr>
              <w:t>.</w:t>
            </w:r>
            <w:r>
              <w:rPr>
                <w:sz w:val="12"/>
                <w:szCs w:val="12"/>
              </w:rPr>
              <w:t>02</w:t>
            </w:r>
          </w:p>
          <w:p w:rsidR="0032543F" w:rsidRPr="00F05BC7" w:rsidRDefault="0032543F" w:rsidP="0032543F">
            <w:pPr>
              <w:ind w:left="113" w:right="113"/>
              <w:jc w:val="right"/>
              <w:rPr>
                <w:sz w:val="12"/>
                <w:szCs w:val="12"/>
              </w:rPr>
            </w:pPr>
            <w:r>
              <w:rPr>
                <w:sz w:val="12"/>
                <w:szCs w:val="12"/>
              </w:rPr>
              <w:t>(</w:t>
            </w:r>
            <w:r w:rsidRPr="00866505">
              <w:rPr>
                <w:sz w:val="12"/>
                <w:szCs w:val="12"/>
              </w:rPr>
              <w:t>.0</w:t>
            </w:r>
            <w:r>
              <w:rPr>
                <w:sz w:val="12"/>
                <w:szCs w:val="12"/>
              </w:rPr>
              <w:t>5)</w:t>
            </w:r>
          </w:p>
        </w:tc>
        <w:tc>
          <w:tcPr>
            <w:tcW w:w="450" w:type="dxa"/>
            <w:tcBorders>
              <w:top w:val="single" w:sz="4" w:space="0" w:color="auto"/>
              <w:left w:val="nil"/>
              <w:bottom w:val="nil"/>
              <w:right w:val="nil"/>
            </w:tcBorders>
            <w:textDirection w:val="btLr"/>
          </w:tcPr>
          <w:p w:rsidR="0032543F" w:rsidRDefault="0032543F" w:rsidP="00697E66">
            <w:pPr>
              <w:ind w:left="113" w:right="113"/>
              <w:jc w:val="right"/>
              <w:rPr>
                <w:sz w:val="12"/>
                <w:szCs w:val="12"/>
              </w:rPr>
            </w:pPr>
            <w:r w:rsidRPr="00866505">
              <w:rPr>
                <w:sz w:val="12"/>
                <w:szCs w:val="12"/>
              </w:rPr>
              <w:t>.0</w:t>
            </w:r>
            <w:r>
              <w:rPr>
                <w:sz w:val="12"/>
                <w:szCs w:val="12"/>
              </w:rPr>
              <w:t>8***</w:t>
            </w:r>
          </w:p>
          <w:p w:rsidR="0032543F" w:rsidRPr="00F05BC7" w:rsidRDefault="0032543F" w:rsidP="0032543F">
            <w:pPr>
              <w:ind w:left="113" w:right="113"/>
              <w:jc w:val="right"/>
              <w:rPr>
                <w:sz w:val="12"/>
                <w:szCs w:val="12"/>
              </w:rPr>
            </w:pPr>
            <w:r>
              <w:rPr>
                <w:sz w:val="12"/>
                <w:szCs w:val="12"/>
              </w:rPr>
              <w:t>(</w:t>
            </w:r>
            <w:r w:rsidRPr="00866505">
              <w:rPr>
                <w:sz w:val="12"/>
                <w:szCs w:val="12"/>
              </w:rPr>
              <w:t>.0</w:t>
            </w:r>
            <w:r>
              <w:rPr>
                <w:sz w:val="12"/>
                <w:szCs w:val="12"/>
              </w:rPr>
              <w:t>2)</w:t>
            </w:r>
          </w:p>
        </w:tc>
        <w:tc>
          <w:tcPr>
            <w:tcW w:w="450" w:type="dxa"/>
            <w:tcBorders>
              <w:top w:val="single" w:sz="4" w:space="0" w:color="auto"/>
              <w:left w:val="nil"/>
              <w:bottom w:val="nil"/>
              <w:right w:val="nil"/>
            </w:tcBorders>
            <w:shd w:val="clear" w:color="auto" w:fill="E7E6E6" w:themeFill="background2"/>
            <w:textDirection w:val="btLr"/>
          </w:tcPr>
          <w:p w:rsidR="0032543F" w:rsidRDefault="0032543F" w:rsidP="00697E66">
            <w:pPr>
              <w:ind w:left="113" w:right="113"/>
              <w:jc w:val="right"/>
              <w:rPr>
                <w:sz w:val="12"/>
                <w:szCs w:val="12"/>
              </w:rPr>
            </w:pPr>
            <w:r w:rsidRPr="00866505">
              <w:rPr>
                <w:sz w:val="12"/>
                <w:szCs w:val="12"/>
              </w:rPr>
              <w:t>-.</w:t>
            </w:r>
            <w:r>
              <w:rPr>
                <w:sz w:val="12"/>
                <w:szCs w:val="12"/>
              </w:rPr>
              <w:t>10+</w:t>
            </w:r>
          </w:p>
          <w:p w:rsidR="0032543F" w:rsidRPr="00F05BC7" w:rsidRDefault="0032543F" w:rsidP="0032543F">
            <w:pPr>
              <w:ind w:left="113" w:right="113"/>
              <w:jc w:val="right"/>
              <w:rPr>
                <w:sz w:val="12"/>
                <w:szCs w:val="12"/>
              </w:rPr>
            </w:pPr>
            <w:r>
              <w:rPr>
                <w:sz w:val="12"/>
                <w:szCs w:val="12"/>
              </w:rPr>
              <w:t>(</w:t>
            </w:r>
            <w:r w:rsidRPr="00866505">
              <w:rPr>
                <w:sz w:val="12"/>
                <w:szCs w:val="12"/>
              </w:rPr>
              <w:t>.</w:t>
            </w:r>
            <w:r>
              <w:rPr>
                <w:sz w:val="12"/>
                <w:szCs w:val="12"/>
              </w:rPr>
              <w:t>05)</w:t>
            </w:r>
          </w:p>
        </w:tc>
        <w:tc>
          <w:tcPr>
            <w:tcW w:w="450" w:type="dxa"/>
            <w:tcBorders>
              <w:top w:val="single" w:sz="4" w:space="0" w:color="auto"/>
              <w:left w:val="nil"/>
              <w:bottom w:val="nil"/>
              <w:right w:val="nil"/>
            </w:tcBorders>
            <w:shd w:val="clear" w:color="auto" w:fill="FFFFFF" w:themeFill="background1"/>
            <w:noWrap/>
            <w:textDirection w:val="btLr"/>
          </w:tcPr>
          <w:p w:rsidR="0032543F" w:rsidRDefault="0032543F" w:rsidP="00697E66">
            <w:pPr>
              <w:ind w:left="113" w:right="113"/>
              <w:jc w:val="right"/>
              <w:rPr>
                <w:sz w:val="12"/>
                <w:szCs w:val="12"/>
              </w:rPr>
            </w:pPr>
            <w:r w:rsidRPr="00866505">
              <w:rPr>
                <w:sz w:val="12"/>
                <w:szCs w:val="12"/>
              </w:rPr>
              <w:t>.</w:t>
            </w:r>
            <w:r>
              <w:rPr>
                <w:sz w:val="12"/>
                <w:szCs w:val="12"/>
              </w:rPr>
              <w:t>29</w:t>
            </w:r>
          </w:p>
          <w:p w:rsidR="0032543F" w:rsidRPr="00F05BC7" w:rsidRDefault="0032543F" w:rsidP="0032543F">
            <w:pPr>
              <w:ind w:left="113" w:right="113"/>
              <w:jc w:val="right"/>
              <w:rPr>
                <w:sz w:val="12"/>
                <w:szCs w:val="12"/>
              </w:rPr>
            </w:pPr>
            <w:r>
              <w:rPr>
                <w:sz w:val="12"/>
                <w:szCs w:val="12"/>
              </w:rPr>
              <w:t>(</w:t>
            </w:r>
            <w:r w:rsidRPr="00866505">
              <w:rPr>
                <w:sz w:val="12"/>
                <w:szCs w:val="12"/>
              </w:rPr>
              <w:t>.2</w:t>
            </w:r>
            <w:r>
              <w:rPr>
                <w:sz w:val="12"/>
                <w:szCs w:val="12"/>
              </w:rPr>
              <w:t>8)</w:t>
            </w:r>
          </w:p>
        </w:tc>
        <w:tc>
          <w:tcPr>
            <w:tcW w:w="450" w:type="dxa"/>
            <w:tcBorders>
              <w:top w:val="single" w:sz="4" w:space="0" w:color="auto"/>
              <w:left w:val="nil"/>
              <w:bottom w:val="nil"/>
              <w:right w:val="nil"/>
            </w:tcBorders>
            <w:shd w:val="clear" w:color="auto" w:fill="E7E6E6" w:themeFill="background2"/>
            <w:textDirection w:val="btLr"/>
          </w:tcPr>
          <w:p w:rsidR="0032543F" w:rsidRDefault="0032543F" w:rsidP="00697E66">
            <w:pPr>
              <w:ind w:left="113" w:right="113"/>
              <w:jc w:val="right"/>
              <w:rPr>
                <w:sz w:val="12"/>
                <w:szCs w:val="12"/>
              </w:rPr>
            </w:pPr>
            <w:r w:rsidRPr="00866505">
              <w:rPr>
                <w:sz w:val="12"/>
                <w:szCs w:val="12"/>
              </w:rPr>
              <w:t>.</w:t>
            </w:r>
            <w:r>
              <w:rPr>
                <w:sz w:val="12"/>
                <w:szCs w:val="12"/>
              </w:rPr>
              <w:t>27</w:t>
            </w:r>
          </w:p>
          <w:p w:rsidR="0032543F" w:rsidRPr="0058206A" w:rsidRDefault="0032543F" w:rsidP="0032543F">
            <w:pPr>
              <w:ind w:left="113" w:right="113"/>
              <w:jc w:val="right"/>
              <w:rPr>
                <w:sz w:val="12"/>
                <w:szCs w:val="12"/>
              </w:rPr>
            </w:pPr>
            <w:r>
              <w:rPr>
                <w:sz w:val="12"/>
                <w:szCs w:val="12"/>
              </w:rPr>
              <w:t>(</w:t>
            </w:r>
            <w:r w:rsidRPr="00866505">
              <w:rPr>
                <w:sz w:val="12"/>
                <w:szCs w:val="12"/>
              </w:rPr>
              <w:t>.2</w:t>
            </w:r>
            <w:r>
              <w:rPr>
                <w:sz w:val="12"/>
                <w:szCs w:val="12"/>
              </w:rPr>
              <w:t>3)</w:t>
            </w:r>
          </w:p>
        </w:tc>
        <w:tc>
          <w:tcPr>
            <w:tcW w:w="450" w:type="dxa"/>
            <w:tcBorders>
              <w:top w:val="single" w:sz="4" w:space="0" w:color="auto"/>
              <w:left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w:t>
            </w:r>
            <w:r>
              <w:rPr>
                <w:sz w:val="12"/>
                <w:szCs w:val="12"/>
              </w:rPr>
              <w:t>44*</w:t>
            </w:r>
          </w:p>
          <w:p w:rsidR="0032543F" w:rsidRPr="0058206A" w:rsidRDefault="0032543F" w:rsidP="0032543F">
            <w:pPr>
              <w:ind w:left="113" w:right="113"/>
              <w:jc w:val="right"/>
              <w:rPr>
                <w:sz w:val="12"/>
                <w:szCs w:val="12"/>
              </w:rPr>
            </w:pPr>
            <w:r>
              <w:rPr>
                <w:sz w:val="12"/>
                <w:szCs w:val="12"/>
              </w:rPr>
              <w:t>(</w:t>
            </w:r>
            <w:r w:rsidRPr="00866505">
              <w:rPr>
                <w:sz w:val="12"/>
                <w:szCs w:val="12"/>
              </w:rPr>
              <w:t>.</w:t>
            </w:r>
            <w:r>
              <w:rPr>
                <w:sz w:val="12"/>
                <w:szCs w:val="12"/>
              </w:rPr>
              <w:t>21)</w:t>
            </w:r>
          </w:p>
        </w:tc>
        <w:tc>
          <w:tcPr>
            <w:tcW w:w="450" w:type="dxa"/>
            <w:tcBorders>
              <w:top w:val="single" w:sz="4" w:space="0" w:color="auto"/>
              <w:left w:val="nil"/>
              <w:bottom w:val="nil"/>
              <w:right w:val="nil"/>
            </w:tcBorders>
            <w:shd w:val="clear" w:color="auto" w:fill="E7E6E6" w:themeFill="background2"/>
            <w:textDirection w:val="btLr"/>
          </w:tcPr>
          <w:p w:rsidR="0032543F" w:rsidRDefault="0032543F" w:rsidP="00697E66">
            <w:pPr>
              <w:ind w:left="113" w:right="113"/>
              <w:jc w:val="right"/>
              <w:rPr>
                <w:sz w:val="12"/>
                <w:szCs w:val="12"/>
              </w:rPr>
            </w:pPr>
            <w:r w:rsidRPr="00866505">
              <w:rPr>
                <w:sz w:val="12"/>
                <w:szCs w:val="12"/>
              </w:rPr>
              <w:t>.</w:t>
            </w:r>
            <w:r>
              <w:rPr>
                <w:sz w:val="12"/>
                <w:szCs w:val="12"/>
              </w:rPr>
              <w:t>34</w:t>
            </w:r>
          </w:p>
          <w:p w:rsidR="0032543F" w:rsidRPr="0058206A" w:rsidRDefault="0032543F" w:rsidP="0032543F">
            <w:pPr>
              <w:ind w:left="113" w:right="113"/>
              <w:jc w:val="right"/>
              <w:rPr>
                <w:sz w:val="12"/>
                <w:szCs w:val="12"/>
              </w:rPr>
            </w:pPr>
            <w:r>
              <w:rPr>
                <w:sz w:val="12"/>
                <w:szCs w:val="12"/>
              </w:rPr>
              <w:t>(.22)</w:t>
            </w:r>
          </w:p>
        </w:tc>
        <w:tc>
          <w:tcPr>
            <w:tcW w:w="450" w:type="dxa"/>
            <w:tcBorders>
              <w:top w:val="single" w:sz="4" w:space="0" w:color="auto"/>
              <w:left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.5</w:t>
            </w:r>
            <w:r>
              <w:rPr>
                <w:sz w:val="12"/>
                <w:szCs w:val="12"/>
              </w:rPr>
              <w:t>4*</w:t>
            </w:r>
          </w:p>
          <w:p w:rsidR="0032543F" w:rsidRPr="0058206A" w:rsidRDefault="0032543F" w:rsidP="0032543F">
            <w:pPr>
              <w:ind w:left="113" w:right="113"/>
              <w:jc w:val="right"/>
              <w:rPr>
                <w:sz w:val="12"/>
                <w:szCs w:val="12"/>
              </w:rPr>
            </w:pPr>
            <w:r>
              <w:rPr>
                <w:sz w:val="12"/>
                <w:szCs w:val="12"/>
              </w:rPr>
              <w:t>(</w:t>
            </w:r>
            <w:r w:rsidRPr="00866505">
              <w:rPr>
                <w:sz w:val="12"/>
                <w:szCs w:val="12"/>
              </w:rPr>
              <w:t>.2</w:t>
            </w:r>
            <w:r>
              <w:rPr>
                <w:sz w:val="12"/>
                <w:szCs w:val="12"/>
              </w:rPr>
              <w:t>7)</w:t>
            </w:r>
          </w:p>
        </w:tc>
        <w:tc>
          <w:tcPr>
            <w:tcW w:w="450" w:type="dxa"/>
            <w:tcBorders>
              <w:top w:val="single" w:sz="4" w:space="0" w:color="auto"/>
              <w:left w:val="nil"/>
              <w:bottom w:val="nil"/>
            </w:tcBorders>
            <w:shd w:val="clear" w:color="auto" w:fill="E7E6E6" w:themeFill="background2"/>
            <w:textDirection w:val="btLr"/>
          </w:tcPr>
          <w:p w:rsidR="0032543F" w:rsidRDefault="0032543F" w:rsidP="00697E66">
            <w:pPr>
              <w:ind w:left="113" w:right="113"/>
              <w:jc w:val="right"/>
              <w:rPr>
                <w:sz w:val="12"/>
                <w:szCs w:val="12"/>
              </w:rPr>
            </w:pPr>
            <w:r w:rsidRPr="00866505">
              <w:rPr>
                <w:sz w:val="12"/>
                <w:szCs w:val="12"/>
              </w:rPr>
              <w:t>.</w:t>
            </w:r>
            <w:r>
              <w:rPr>
                <w:sz w:val="12"/>
                <w:szCs w:val="12"/>
              </w:rPr>
              <w:t>86**</w:t>
            </w:r>
          </w:p>
          <w:p w:rsidR="0032543F" w:rsidRPr="0058206A" w:rsidRDefault="0032543F" w:rsidP="0032543F">
            <w:pPr>
              <w:ind w:left="113" w:right="113"/>
              <w:jc w:val="right"/>
              <w:rPr>
                <w:sz w:val="12"/>
                <w:szCs w:val="12"/>
              </w:rPr>
            </w:pPr>
            <w:r>
              <w:rPr>
                <w:sz w:val="12"/>
                <w:szCs w:val="12"/>
              </w:rPr>
              <w:t>(</w:t>
            </w:r>
            <w:r w:rsidRPr="00866505">
              <w:rPr>
                <w:sz w:val="12"/>
                <w:szCs w:val="12"/>
              </w:rPr>
              <w:t>.2</w:t>
            </w:r>
            <w:r>
              <w:rPr>
                <w:sz w:val="12"/>
                <w:szCs w:val="12"/>
              </w:rPr>
              <w:t>8)</w:t>
            </w:r>
          </w:p>
        </w:tc>
        <w:tc>
          <w:tcPr>
            <w:tcW w:w="540" w:type="dxa"/>
            <w:tcBorders>
              <w:top w:val="single" w:sz="4" w:space="0" w:color="auto"/>
              <w:bottom w:val="nil"/>
            </w:tcBorders>
            <w:textDirection w:val="btLr"/>
          </w:tcPr>
          <w:p w:rsidR="0032543F" w:rsidRDefault="0032543F" w:rsidP="00697E66">
            <w:pPr>
              <w:ind w:left="113" w:right="113"/>
              <w:jc w:val="right"/>
              <w:rPr>
                <w:sz w:val="12"/>
                <w:szCs w:val="12"/>
              </w:rPr>
            </w:pPr>
            <w:r>
              <w:rPr>
                <w:sz w:val="12"/>
                <w:szCs w:val="12"/>
              </w:rPr>
              <w:t>.35</w:t>
            </w:r>
          </w:p>
          <w:p w:rsidR="0032543F" w:rsidRDefault="0032543F" w:rsidP="00697E66">
            <w:pPr>
              <w:ind w:left="113" w:right="113"/>
              <w:jc w:val="right"/>
              <w:rPr>
                <w:sz w:val="12"/>
                <w:szCs w:val="12"/>
              </w:rPr>
            </w:pPr>
            <w:r>
              <w:rPr>
                <w:sz w:val="12"/>
                <w:szCs w:val="12"/>
              </w:rPr>
              <w:t>.21</w:t>
            </w:r>
          </w:p>
          <w:p w:rsidR="0032543F" w:rsidRPr="00372E97" w:rsidRDefault="0032543F" w:rsidP="00697E66">
            <w:pPr>
              <w:ind w:left="113" w:right="113"/>
              <w:jc w:val="right"/>
              <w:rPr>
                <w:sz w:val="12"/>
                <w:szCs w:val="12"/>
              </w:rPr>
            </w:pPr>
            <w:r>
              <w:rPr>
                <w:sz w:val="12"/>
                <w:szCs w:val="12"/>
              </w:rPr>
              <w:t>.41</w:t>
            </w:r>
          </w:p>
        </w:tc>
        <w:tc>
          <w:tcPr>
            <w:tcW w:w="3408" w:type="dxa"/>
            <w:tcBorders>
              <w:top w:val="nil"/>
              <w:bottom w:val="nil"/>
              <w:right w:val="nil"/>
            </w:tcBorders>
            <w:textDirection w:val="btLr"/>
          </w:tcPr>
          <w:p w:rsidR="0032543F" w:rsidRDefault="0032543F" w:rsidP="00697E66">
            <w:pPr>
              <w:ind w:left="113" w:right="113"/>
              <w:rPr>
                <w:sz w:val="14"/>
                <w:szCs w:val="14"/>
              </w:rPr>
            </w:pPr>
          </w:p>
        </w:tc>
      </w:tr>
      <w:tr w:rsidR="0032543F" w:rsidRPr="00F810C6" w:rsidTr="00697E66">
        <w:trPr>
          <w:trHeight w:val="890"/>
        </w:trPr>
        <w:tc>
          <w:tcPr>
            <w:tcW w:w="306" w:type="dxa"/>
            <w:tcBorders>
              <w:top w:val="nil"/>
              <w:left w:val="nil"/>
              <w:bottom w:val="nil"/>
            </w:tcBorders>
            <w:textDirection w:val="btLr"/>
          </w:tcPr>
          <w:p w:rsidR="0032543F" w:rsidRDefault="0032543F" w:rsidP="00697E66">
            <w:pPr>
              <w:ind w:left="113" w:right="113"/>
              <w:rPr>
                <w:sz w:val="16"/>
                <w:szCs w:val="16"/>
              </w:rPr>
            </w:pPr>
          </w:p>
        </w:tc>
        <w:tc>
          <w:tcPr>
            <w:tcW w:w="306" w:type="dxa"/>
            <w:tcBorders>
              <w:top w:val="nil"/>
              <w:bottom w:val="nil"/>
            </w:tcBorders>
            <w:noWrap/>
            <w:textDirection w:val="btLr"/>
          </w:tcPr>
          <w:p w:rsidR="0032543F" w:rsidRDefault="0032543F" w:rsidP="00697E66">
            <w:pPr>
              <w:ind w:left="113" w:right="113"/>
              <w:jc w:val="right"/>
              <w:rPr>
                <w:sz w:val="14"/>
                <w:szCs w:val="14"/>
              </w:rPr>
            </w:pPr>
            <w:r>
              <w:rPr>
                <w:sz w:val="14"/>
                <w:szCs w:val="14"/>
              </w:rPr>
              <w:t>Model 12</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Pr>
                <w:sz w:val="12"/>
                <w:szCs w:val="12"/>
              </w:rPr>
              <w:t>.002</w:t>
            </w:r>
          </w:p>
          <w:p w:rsidR="0032543F" w:rsidRDefault="0032543F" w:rsidP="00697E66">
            <w:pPr>
              <w:ind w:left="113" w:right="113"/>
              <w:jc w:val="right"/>
              <w:rPr>
                <w:sz w:val="12"/>
                <w:szCs w:val="12"/>
              </w:rPr>
            </w:pPr>
            <w:r>
              <w:rPr>
                <w:sz w:val="12"/>
                <w:szCs w:val="12"/>
              </w:rPr>
              <w:t>(.005)</w:t>
            </w:r>
          </w:p>
        </w:tc>
        <w:tc>
          <w:tcPr>
            <w:tcW w:w="450" w:type="dxa"/>
            <w:tcBorders>
              <w:top w:val="nil"/>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Pr>
                <w:sz w:val="12"/>
                <w:szCs w:val="12"/>
              </w:rPr>
              <w:t>-.47***</w:t>
            </w:r>
          </w:p>
          <w:p w:rsidR="0032543F" w:rsidRPr="00F810C6" w:rsidRDefault="0032543F" w:rsidP="00697E66">
            <w:pPr>
              <w:ind w:left="113" w:right="113"/>
              <w:jc w:val="right"/>
              <w:rPr>
                <w:sz w:val="12"/>
                <w:szCs w:val="12"/>
              </w:rPr>
            </w:pPr>
            <w:r>
              <w:rPr>
                <w:sz w:val="12"/>
                <w:szCs w:val="12"/>
              </w:rPr>
              <w:t>(.10)</w:t>
            </w:r>
          </w:p>
        </w:tc>
        <w:tc>
          <w:tcPr>
            <w:tcW w:w="450" w:type="dxa"/>
            <w:tcBorders>
              <w:top w:val="nil"/>
              <w:left w:val="nil"/>
              <w:bottom w:val="nil"/>
              <w:right w:val="nil"/>
            </w:tcBorders>
            <w:noWrap/>
            <w:textDirection w:val="btLr"/>
          </w:tcPr>
          <w:p w:rsidR="0032543F" w:rsidRDefault="0032543F" w:rsidP="00697E66">
            <w:pPr>
              <w:ind w:left="113" w:right="113"/>
              <w:jc w:val="right"/>
              <w:rPr>
                <w:sz w:val="12"/>
                <w:szCs w:val="12"/>
              </w:rPr>
            </w:pPr>
            <w:r>
              <w:rPr>
                <w:sz w:val="12"/>
                <w:szCs w:val="12"/>
              </w:rPr>
              <w:t>.07*</w:t>
            </w:r>
          </w:p>
          <w:p w:rsidR="0032543F" w:rsidRPr="00F810C6" w:rsidRDefault="0032543F" w:rsidP="00697E66">
            <w:pPr>
              <w:ind w:left="113" w:right="113"/>
              <w:jc w:val="right"/>
              <w:rPr>
                <w:sz w:val="12"/>
                <w:szCs w:val="12"/>
              </w:rPr>
            </w:pPr>
            <w:r>
              <w:rPr>
                <w:sz w:val="12"/>
                <w:szCs w:val="12"/>
              </w:rPr>
              <w:t>(.03)</w:t>
            </w:r>
          </w:p>
        </w:tc>
        <w:tc>
          <w:tcPr>
            <w:tcW w:w="450" w:type="dxa"/>
            <w:tcBorders>
              <w:top w:val="nil"/>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Pr>
                <w:sz w:val="12"/>
                <w:szCs w:val="12"/>
              </w:rPr>
              <w:t>.04**</w:t>
            </w:r>
          </w:p>
          <w:p w:rsidR="0032543F" w:rsidRPr="00F810C6" w:rsidRDefault="0032543F" w:rsidP="00697E66">
            <w:pPr>
              <w:ind w:left="113" w:right="113"/>
              <w:jc w:val="right"/>
              <w:rPr>
                <w:sz w:val="12"/>
                <w:szCs w:val="12"/>
              </w:rPr>
            </w:pPr>
            <w:r>
              <w:rPr>
                <w:sz w:val="12"/>
                <w:szCs w:val="12"/>
              </w:rPr>
              <w:t>(.01)</w:t>
            </w:r>
          </w:p>
        </w:tc>
        <w:tc>
          <w:tcPr>
            <w:tcW w:w="450" w:type="dxa"/>
            <w:tcBorders>
              <w:top w:val="nil"/>
              <w:left w:val="nil"/>
              <w:bottom w:val="nil"/>
              <w:right w:val="nil"/>
            </w:tcBorders>
            <w:noWrap/>
            <w:textDirection w:val="btLr"/>
          </w:tcPr>
          <w:p w:rsidR="0032543F" w:rsidRDefault="0032543F" w:rsidP="00697E66">
            <w:pPr>
              <w:ind w:left="113" w:right="113"/>
              <w:jc w:val="right"/>
              <w:rPr>
                <w:sz w:val="12"/>
                <w:szCs w:val="12"/>
              </w:rPr>
            </w:pPr>
            <w:r>
              <w:rPr>
                <w:sz w:val="12"/>
                <w:szCs w:val="12"/>
              </w:rPr>
              <w:t>.02***</w:t>
            </w:r>
          </w:p>
          <w:p w:rsidR="0032543F" w:rsidRPr="00F810C6" w:rsidRDefault="0032543F" w:rsidP="00697E66">
            <w:pPr>
              <w:ind w:left="113" w:right="113"/>
              <w:jc w:val="right"/>
              <w:rPr>
                <w:sz w:val="12"/>
                <w:szCs w:val="12"/>
              </w:rPr>
            </w:pPr>
            <w:r>
              <w:rPr>
                <w:sz w:val="12"/>
                <w:szCs w:val="12"/>
              </w:rPr>
              <w:t>(.004)</w:t>
            </w:r>
          </w:p>
        </w:tc>
        <w:tc>
          <w:tcPr>
            <w:tcW w:w="450" w:type="dxa"/>
            <w:tcBorders>
              <w:top w:val="nil"/>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Pr>
                <w:sz w:val="12"/>
                <w:szCs w:val="12"/>
              </w:rPr>
              <w:t>.01</w:t>
            </w:r>
          </w:p>
          <w:p w:rsidR="0032543F" w:rsidRPr="00F810C6" w:rsidRDefault="0032543F" w:rsidP="00697E66">
            <w:pPr>
              <w:ind w:left="113" w:right="113"/>
              <w:jc w:val="right"/>
              <w:rPr>
                <w:sz w:val="12"/>
                <w:szCs w:val="12"/>
              </w:rPr>
            </w:pPr>
            <w:r>
              <w:rPr>
                <w:sz w:val="12"/>
                <w:szCs w:val="12"/>
              </w:rPr>
              <w:t>(.01)</w:t>
            </w:r>
          </w:p>
        </w:tc>
        <w:tc>
          <w:tcPr>
            <w:tcW w:w="450" w:type="dxa"/>
            <w:tcBorders>
              <w:top w:val="nil"/>
              <w:left w:val="nil"/>
              <w:bottom w:val="nil"/>
              <w:right w:val="nil"/>
            </w:tcBorders>
            <w:noWrap/>
            <w:textDirection w:val="btLr"/>
          </w:tcPr>
          <w:p w:rsidR="0032543F" w:rsidRDefault="0032543F" w:rsidP="00697E66">
            <w:pPr>
              <w:ind w:left="113" w:right="113"/>
              <w:jc w:val="right"/>
              <w:rPr>
                <w:sz w:val="12"/>
                <w:szCs w:val="12"/>
              </w:rPr>
            </w:pPr>
            <w:r>
              <w:rPr>
                <w:sz w:val="12"/>
                <w:szCs w:val="12"/>
              </w:rPr>
              <w:t>.01*</w:t>
            </w:r>
          </w:p>
          <w:p w:rsidR="0032543F" w:rsidRPr="00F810C6" w:rsidRDefault="0032543F" w:rsidP="00697E66">
            <w:pPr>
              <w:ind w:left="113" w:right="113"/>
              <w:jc w:val="right"/>
              <w:rPr>
                <w:sz w:val="12"/>
                <w:szCs w:val="12"/>
              </w:rPr>
            </w:pPr>
            <w:r>
              <w:rPr>
                <w:sz w:val="12"/>
                <w:szCs w:val="12"/>
              </w:rPr>
              <w:t>(.003)</w:t>
            </w:r>
          </w:p>
        </w:tc>
        <w:tc>
          <w:tcPr>
            <w:tcW w:w="450" w:type="dxa"/>
            <w:tcBorders>
              <w:top w:val="nil"/>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Pr>
                <w:sz w:val="12"/>
                <w:szCs w:val="12"/>
              </w:rPr>
              <w:t>.03</w:t>
            </w:r>
          </w:p>
          <w:p w:rsidR="0032543F" w:rsidRPr="00F810C6" w:rsidRDefault="0032543F" w:rsidP="00697E66">
            <w:pPr>
              <w:ind w:left="113" w:right="113"/>
              <w:jc w:val="right"/>
              <w:rPr>
                <w:sz w:val="12"/>
                <w:szCs w:val="12"/>
              </w:rPr>
            </w:pPr>
            <w:r>
              <w:rPr>
                <w:sz w:val="12"/>
                <w:szCs w:val="12"/>
              </w:rPr>
              <w:t>(.05)</w:t>
            </w:r>
          </w:p>
        </w:tc>
        <w:tc>
          <w:tcPr>
            <w:tcW w:w="450" w:type="dxa"/>
            <w:tcBorders>
              <w:top w:val="nil"/>
              <w:left w:val="nil"/>
              <w:bottom w:val="nil"/>
              <w:right w:val="nil"/>
            </w:tcBorders>
            <w:textDirection w:val="btLr"/>
          </w:tcPr>
          <w:p w:rsidR="0032543F" w:rsidRDefault="0032543F" w:rsidP="00697E66">
            <w:pPr>
              <w:ind w:left="113" w:right="113"/>
              <w:jc w:val="right"/>
              <w:rPr>
                <w:sz w:val="12"/>
                <w:szCs w:val="12"/>
              </w:rPr>
            </w:pPr>
            <w:r>
              <w:rPr>
                <w:sz w:val="12"/>
                <w:szCs w:val="12"/>
              </w:rPr>
              <w:t>.08***</w:t>
            </w:r>
          </w:p>
          <w:p w:rsidR="0032543F" w:rsidRPr="00F05BC7" w:rsidRDefault="0032543F" w:rsidP="00697E66">
            <w:pPr>
              <w:ind w:left="113" w:right="113"/>
              <w:jc w:val="right"/>
              <w:rPr>
                <w:sz w:val="12"/>
                <w:szCs w:val="12"/>
              </w:rPr>
            </w:pPr>
            <w:r>
              <w:rPr>
                <w:sz w:val="12"/>
                <w:szCs w:val="12"/>
              </w:rPr>
              <w:t>(.02)</w:t>
            </w: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2"/>
                <w:szCs w:val="12"/>
              </w:rPr>
            </w:pPr>
            <w:r>
              <w:rPr>
                <w:sz w:val="12"/>
                <w:szCs w:val="12"/>
              </w:rPr>
              <w:t>-.10*</w:t>
            </w:r>
          </w:p>
          <w:p w:rsidR="0032543F" w:rsidRPr="00F810C6" w:rsidRDefault="0032543F" w:rsidP="00697E66">
            <w:pPr>
              <w:ind w:left="113" w:right="113"/>
              <w:jc w:val="right"/>
              <w:rPr>
                <w:sz w:val="12"/>
                <w:szCs w:val="12"/>
              </w:rPr>
            </w:pPr>
            <w:r>
              <w:rPr>
                <w:sz w:val="12"/>
                <w:szCs w:val="12"/>
              </w:rPr>
              <w:t>(.04)</w:t>
            </w:r>
          </w:p>
        </w:tc>
        <w:tc>
          <w:tcPr>
            <w:tcW w:w="450" w:type="dxa"/>
            <w:tcBorders>
              <w:top w:val="nil"/>
              <w:left w:val="nil"/>
              <w:bottom w:val="nil"/>
              <w:right w:val="nil"/>
            </w:tcBorders>
            <w:shd w:val="clear" w:color="auto" w:fill="FFFFFF" w:themeFill="background1"/>
            <w:noWrap/>
            <w:textDirection w:val="btLr"/>
          </w:tcPr>
          <w:p w:rsidR="0032543F" w:rsidRDefault="0032543F" w:rsidP="00697E66">
            <w:pPr>
              <w:ind w:left="113" w:right="113"/>
              <w:jc w:val="right"/>
              <w:rPr>
                <w:sz w:val="12"/>
                <w:szCs w:val="12"/>
              </w:rPr>
            </w:pPr>
            <w:r>
              <w:rPr>
                <w:sz w:val="12"/>
                <w:szCs w:val="12"/>
              </w:rPr>
              <w:t>.57*</w:t>
            </w:r>
          </w:p>
          <w:p w:rsidR="0032543F" w:rsidRDefault="0032543F" w:rsidP="00697E66">
            <w:pPr>
              <w:ind w:left="113" w:right="113"/>
              <w:jc w:val="right"/>
              <w:rPr>
                <w:sz w:val="12"/>
                <w:szCs w:val="12"/>
              </w:rPr>
            </w:pPr>
            <w:r>
              <w:rPr>
                <w:sz w:val="12"/>
                <w:szCs w:val="12"/>
              </w:rPr>
              <w:t>(.27)</w:t>
            </w: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Default="0032543F" w:rsidP="00697E66">
            <w:pPr>
              <w:ind w:left="113" w:right="113"/>
              <w:jc w:val="right"/>
              <w:rPr>
                <w:sz w:val="12"/>
                <w:szCs w:val="12"/>
              </w:rPr>
            </w:pPr>
            <w:r>
              <w:rPr>
                <w:sz w:val="12"/>
                <w:szCs w:val="12"/>
              </w:rPr>
              <w:t>.33</w:t>
            </w:r>
          </w:p>
          <w:p w:rsidR="0032543F" w:rsidRDefault="0032543F" w:rsidP="00697E66">
            <w:pPr>
              <w:ind w:left="113" w:right="113"/>
              <w:jc w:val="right"/>
              <w:rPr>
                <w:sz w:val="12"/>
                <w:szCs w:val="12"/>
              </w:rPr>
            </w:pPr>
            <w:r>
              <w:rPr>
                <w:sz w:val="12"/>
                <w:szCs w:val="12"/>
              </w:rPr>
              <w:t>.19</w:t>
            </w:r>
          </w:p>
          <w:p w:rsidR="0032543F" w:rsidRPr="00372E97" w:rsidRDefault="0032543F" w:rsidP="00697E66">
            <w:pPr>
              <w:ind w:left="113" w:right="113"/>
              <w:jc w:val="right"/>
              <w:rPr>
                <w:sz w:val="12"/>
                <w:szCs w:val="12"/>
              </w:rPr>
            </w:pPr>
            <w:r>
              <w:rPr>
                <w:sz w:val="12"/>
                <w:szCs w:val="12"/>
              </w:rPr>
              <w:t>.35</w:t>
            </w:r>
          </w:p>
        </w:tc>
        <w:tc>
          <w:tcPr>
            <w:tcW w:w="3408" w:type="dxa"/>
            <w:tcBorders>
              <w:top w:val="nil"/>
              <w:bottom w:val="nil"/>
              <w:right w:val="nil"/>
            </w:tcBorders>
            <w:textDirection w:val="btLr"/>
          </w:tcPr>
          <w:p w:rsidR="0032543F" w:rsidRDefault="0032543F" w:rsidP="00697E66">
            <w:pPr>
              <w:ind w:left="113" w:right="115"/>
              <w:contextualSpacing/>
              <w:rPr>
                <w:sz w:val="14"/>
                <w:szCs w:val="14"/>
              </w:rPr>
            </w:pPr>
          </w:p>
        </w:tc>
      </w:tr>
      <w:tr w:rsidR="0032543F" w:rsidRPr="00F810C6" w:rsidTr="00697E66">
        <w:trPr>
          <w:trHeight w:val="890"/>
        </w:trPr>
        <w:tc>
          <w:tcPr>
            <w:tcW w:w="306" w:type="dxa"/>
            <w:vMerge w:val="restart"/>
            <w:tcBorders>
              <w:top w:val="nil"/>
              <w:left w:val="nil"/>
              <w:bottom w:val="nil"/>
            </w:tcBorders>
            <w:textDirection w:val="btLr"/>
          </w:tcPr>
          <w:p w:rsidR="0032543F" w:rsidRPr="006425A0" w:rsidRDefault="00295E9C" w:rsidP="00697E66">
            <w:pPr>
              <w:ind w:left="113" w:right="113"/>
              <w:rPr>
                <w:sz w:val="16"/>
                <w:szCs w:val="16"/>
              </w:rPr>
            </w:pPr>
            <w:r>
              <w:rPr>
                <w:sz w:val="16"/>
                <w:szCs w:val="16"/>
              </w:rPr>
              <w:t>Table 14</w:t>
            </w:r>
            <w:r w:rsidR="0032543F">
              <w:rPr>
                <w:sz w:val="16"/>
                <w:szCs w:val="16"/>
              </w:rPr>
              <w:t xml:space="preserve">. RE Regression for each Explanatory Variables. </w:t>
            </w: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Pr>
                <w:sz w:val="14"/>
                <w:szCs w:val="14"/>
              </w:rPr>
              <w:t>Model 11</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Pr>
                <w:sz w:val="12"/>
                <w:szCs w:val="12"/>
              </w:rPr>
              <w:t>-.001</w:t>
            </w:r>
          </w:p>
          <w:p w:rsidR="0032543F" w:rsidRPr="00F810C6" w:rsidRDefault="0032543F" w:rsidP="0032543F">
            <w:pPr>
              <w:ind w:left="113" w:right="113"/>
              <w:jc w:val="right"/>
              <w:rPr>
                <w:sz w:val="12"/>
                <w:szCs w:val="12"/>
              </w:rPr>
            </w:pPr>
            <w:r>
              <w:rPr>
                <w:sz w:val="12"/>
                <w:szCs w:val="12"/>
              </w:rPr>
              <w:t>(</w:t>
            </w:r>
            <w:r w:rsidRPr="00866505">
              <w:rPr>
                <w:sz w:val="12"/>
                <w:szCs w:val="12"/>
              </w:rPr>
              <w:t>.0</w:t>
            </w:r>
            <w:r>
              <w:rPr>
                <w:sz w:val="12"/>
                <w:szCs w:val="12"/>
              </w:rPr>
              <w:t>1)</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textDirection w:val="btLr"/>
          </w:tcPr>
          <w:p w:rsidR="0032543F" w:rsidRPr="00F05BC7"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FFFFFF" w:themeFill="background1"/>
            <w:noWrap/>
            <w:textDirection w:val="btLr"/>
          </w:tcPr>
          <w:p w:rsidR="0032543F" w:rsidRDefault="0032543F" w:rsidP="00697E66">
            <w:pPr>
              <w:ind w:left="113" w:right="113"/>
              <w:jc w:val="right"/>
              <w:rPr>
                <w:sz w:val="12"/>
                <w:szCs w:val="12"/>
              </w:rPr>
            </w:pPr>
            <w:r>
              <w:rPr>
                <w:sz w:val="12"/>
                <w:szCs w:val="12"/>
              </w:rPr>
              <w:t>.22</w:t>
            </w:r>
          </w:p>
          <w:p w:rsidR="0032543F" w:rsidRPr="00F810C6" w:rsidRDefault="0032543F" w:rsidP="0032543F">
            <w:pPr>
              <w:ind w:left="113" w:right="113"/>
              <w:jc w:val="right"/>
              <w:rPr>
                <w:sz w:val="12"/>
                <w:szCs w:val="12"/>
              </w:rPr>
            </w:pPr>
            <w:r>
              <w:rPr>
                <w:sz w:val="12"/>
                <w:szCs w:val="12"/>
              </w:rPr>
              <w:t>(</w:t>
            </w:r>
            <w:r w:rsidRPr="00866505">
              <w:rPr>
                <w:sz w:val="12"/>
                <w:szCs w:val="12"/>
              </w:rPr>
              <w:t>.</w:t>
            </w:r>
            <w:r>
              <w:rPr>
                <w:sz w:val="12"/>
                <w:szCs w:val="12"/>
              </w:rPr>
              <w:t>33</w:t>
            </w: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Pr="00372E97" w:rsidRDefault="0032543F" w:rsidP="00697E66">
            <w:pPr>
              <w:ind w:left="113" w:right="113"/>
              <w:jc w:val="right"/>
              <w:rPr>
                <w:sz w:val="12"/>
                <w:szCs w:val="12"/>
              </w:rPr>
            </w:pPr>
            <w:r w:rsidRPr="00372E97">
              <w:rPr>
                <w:sz w:val="12"/>
                <w:szCs w:val="12"/>
              </w:rPr>
              <w:t>.0</w:t>
            </w:r>
            <w:r>
              <w:rPr>
                <w:sz w:val="12"/>
                <w:szCs w:val="12"/>
              </w:rPr>
              <w:t>7</w:t>
            </w:r>
          </w:p>
          <w:p w:rsidR="0032543F" w:rsidRPr="00372E97" w:rsidRDefault="0032543F" w:rsidP="00697E66">
            <w:pPr>
              <w:ind w:left="113" w:right="113"/>
              <w:jc w:val="right"/>
              <w:rPr>
                <w:sz w:val="12"/>
                <w:szCs w:val="12"/>
              </w:rPr>
            </w:pPr>
            <w:r>
              <w:rPr>
                <w:sz w:val="12"/>
                <w:szCs w:val="12"/>
              </w:rPr>
              <w:t>.02</w:t>
            </w:r>
          </w:p>
          <w:p w:rsidR="0032543F" w:rsidRPr="00372E97" w:rsidRDefault="0032543F" w:rsidP="00697E66">
            <w:pPr>
              <w:ind w:left="113" w:right="113"/>
              <w:jc w:val="right"/>
              <w:rPr>
                <w:sz w:val="12"/>
                <w:szCs w:val="12"/>
              </w:rPr>
            </w:pPr>
            <w:r>
              <w:rPr>
                <w:sz w:val="12"/>
                <w:szCs w:val="12"/>
              </w:rPr>
              <w:t>.07</w:t>
            </w:r>
          </w:p>
        </w:tc>
        <w:tc>
          <w:tcPr>
            <w:tcW w:w="3408" w:type="dxa"/>
            <w:vMerge w:val="restart"/>
            <w:tcBorders>
              <w:top w:val="nil"/>
              <w:bottom w:val="nil"/>
              <w:right w:val="nil"/>
            </w:tcBorders>
            <w:textDirection w:val="btLr"/>
          </w:tcPr>
          <w:p w:rsidR="0032543F" w:rsidRDefault="0032543F" w:rsidP="00697E66">
            <w:pPr>
              <w:ind w:left="113" w:right="115"/>
              <w:contextualSpacing/>
              <w:rPr>
                <w:sz w:val="14"/>
                <w:szCs w:val="14"/>
              </w:rPr>
            </w:pPr>
            <w:r>
              <w:rPr>
                <w:sz w:val="14"/>
                <w:szCs w:val="14"/>
              </w:rPr>
              <w:t xml:space="preserve">Note: a = </w:t>
            </w:r>
            <w:r w:rsidRPr="00E30E81">
              <w:rPr>
                <w:sz w:val="14"/>
                <w:szCs w:val="14"/>
              </w:rPr>
              <w:t>variable lo</w:t>
            </w:r>
            <w:r>
              <w:rPr>
                <w:sz w:val="14"/>
                <w:szCs w:val="14"/>
              </w:rPr>
              <w:t>gged. +p&lt;.10; *p&lt;.05; **p&lt;.01; ***p&lt;.001. N=325 for each model.</w:t>
            </w:r>
          </w:p>
          <w:p w:rsidR="0032543F" w:rsidRPr="00F05BC7" w:rsidRDefault="0032543F" w:rsidP="00697E66">
            <w:pPr>
              <w:ind w:left="113" w:right="113"/>
              <w:rPr>
                <w:rFonts w:asciiTheme="minorHAnsi" w:hAnsiTheme="minorHAnsi" w:cstheme="minorBidi"/>
                <w:sz w:val="14"/>
                <w:szCs w:val="14"/>
              </w:rPr>
            </w:pPr>
          </w:p>
        </w:tc>
      </w:tr>
      <w:tr w:rsidR="0032543F" w:rsidRPr="00F810C6" w:rsidTr="00697E66">
        <w:trPr>
          <w:trHeight w:val="818"/>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Pr>
                <w:sz w:val="14"/>
                <w:szCs w:val="14"/>
              </w:rPr>
              <w:t>Model 10</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.00</w:t>
            </w:r>
            <w:r>
              <w:rPr>
                <w:sz w:val="12"/>
                <w:szCs w:val="12"/>
              </w:rPr>
              <w:t>3</w:t>
            </w:r>
          </w:p>
          <w:p w:rsidR="0032543F" w:rsidRPr="00F810C6" w:rsidRDefault="0032543F" w:rsidP="0032543F">
            <w:pPr>
              <w:ind w:left="113" w:right="113"/>
              <w:jc w:val="right"/>
              <w:rPr>
                <w:sz w:val="12"/>
                <w:szCs w:val="12"/>
              </w:rPr>
            </w:pPr>
            <w:r>
              <w:rPr>
                <w:sz w:val="12"/>
                <w:szCs w:val="12"/>
              </w:rPr>
              <w:t>(</w:t>
            </w:r>
            <w:r w:rsidRPr="00866505">
              <w:rPr>
                <w:sz w:val="12"/>
                <w:szCs w:val="12"/>
              </w:rPr>
              <w:t>.00</w:t>
            </w:r>
            <w:r>
              <w:rPr>
                <w:sz w:val="12"/>
                <w:szCs w:val="12"/>
              </w:rPr>
              <w:t>5)</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6425A0" w:rsidRDefault="0032543F" w:rsidP="00697E66">
            <w:pPr>
              <w:ind w:left="113" w:right="113"/>
              <w:jc w:val="right"/>
              <w:rPr>
                <w:sz w:val="12"/>
                <w:szCs w:val="12"/>
              </w:rPr>
            </w:pPr>
          </w:p>
        </w:tc>
        <w:tc>
          <w:tcPr>
            <w:tcW w:w="450" w:type="dxa"/>
            <w:tcBorders>
              <w:top w:val="nil"/>
              <w:left w:val="nil"/>
              <w:bottom w:val="nil"/>
              <w:right w:val="nil"/>
            </w:tcBorders>
            <w:textDirection w:val="btLr"/>
          </w:tcPr>
          <w:p w:rsidR="0032543F" w:rsidRPr="00EA3315"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2"/>
                <w:szCs w:val="12"/>
              </w:rPr>
            </w:pPr>
            <w:r w:rsidRPr="00866505">
              <w:rPr>
                <w:sz w:val="12"/>
                <w:szCs w:val="12"/>
              </w:rPr>
              <w:t>-.</w:t>
            </w:r>
            <w:r>
              <w:rPr>
                <w:sz w:val="12"/>
                <w:szCs w:val="12"/>
              </w:rPr>
              <w:t>20***</w:t>
            </w:r>
          </w:p>
          <w:p w:rsidR="0032543F" w:rsidRPr="00EA3315" w:rsidRDefault="0032543F" w:rsidP="00697E66">
            <w:pPr>
              <w:ind w:left="113" w:right="113"/>
              <w:jc w:val="right"/>
              <w:rPr>
                <w:sz w:val="12"/>
                <w:szCs w:val="12"/>
              </w:rPr>
            </w:pPr>
            <w:r>
              <w:rPr>
                <w:sz w:val="12"/>
                <w:szCs w:val="12"/>
              </w:rPr>
              <w:t>(.04)</w:t>
            </w:r>
          </w:p>
        </w:tc>
        <w:tc>
          <w:tcPr>
            <w:tcW w:w="450" w:type="dxa"/>
            <w:tcBorders>
              <w:top w:val="nil"/>
              <w:left w:val="nil"/>
              <w:bottom w:val="nil"/>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Pr="00372E97" w:rsidRDefault="0032543F" w:rsidP="00697E66">
            <w:pPr>
              <w:ind w:left="113" w:right="113"/>
              <w:jc w:val="right"/>
              <w:rPr>
                <w:sz w:val="12"/>
                <w:szCs w:val="12"/>
              </w:rPr>
            </w:pPr>
            <w:r>
              <w:rPr>
                <w:sz w:val="12"/>
                <w:szCs w:val="12"/>
              </w:rPr>
              <w:t>.21</w:t>
            </w:r>
          </w:p>
          <w:p w:rsidR="0032543F" w:rsidRPr="00372E97" w:rsidRDefault="0032543F" w:rsidP="00697E66">
            <w:pPr>
              <w:ind w:left="113" w:right="113"/>
              <w:jc w:val="right"/>
              <w:rPr>
                <w:sz w:val="12"/>
                <w:szCs w:val="12"/>
              </w:rPr>
            </w:pPr>
            <w:r>
              <w:rPr>
                <w:sz w:val="12"/>
                <w:szCs w:val="12"/>
              </w:rPr>
              <w:t>.03</w:t>
            </w:r>
          </w:p>
          <w:p w:rsidR="0032543F" w:rsidRPr="00372E97" w:rsidRDefault="0032543F" w:rsidP="0032543F">
            <w:pPr>
              <w:ind w:left="113" w:right="113"/>
              <w:jc w:val="right"/>
              <w:rPr>
                <w:sz w:val="12"/>
                <w:szCs w:val="12"/>
              </w:rPr>
            </w:pPr>
            <w:r>
              <w:rPr>
                <w:sz w:val="12"/>
                <w:szCs w:val="12"/>
              </w:rPr>
              <w:t>.22</w:t>
            </w: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818"/>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sidRPr="00F810C6">
              <w:rPr>
                <w:sz w:val="14"/>
                <w:szCs w:val="14"/>
              </w:rPr>
              <w:t>Model 9</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Pr>
                <w:sz w:val="12"/>
                <w:szCs w:val="12"/>
              </w:rPr>
              <w:t>.002</w:t>
            </w:r>
          </w:p>
          <w:p w:rsidR="0032543F" w:rsidRPr="00F810C6" w:rsidRDefault="0032543F" w:rsidP="00697E66">
            <w:pPr>
              <w:ind w:left="113" w:right="113"/>
              <w:jc w:val="right"/>
              <w:rPr>
                <w:sz w:val="12"/>
                <w:szCs w:val="12"/>
              </w:rPr>
            </w:pPr>
            <w:r>
              <w:rPr>
                <w:sz w:val="12"/>
                <w:szCs w:val="12"/>
              </w:rPr>
              <w:t>(.005)</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6425A0" w:rsidRDefault="0032543F" w:rsidP="00697E66">
            <w:pPr>
              <w:ind w:left="113" w:right="113"/>
              <w:jc w:val="right"/>
              <w:rPr>
                <w:sz w:val="12"/>
                <w:szCs w:val="12"/>
              </w:rPr>
            </w:pPr>
          </w:p>
        </w:tc>
        <w:tc>
          <w:tcPr>
            <w:tcW w:w="450" w:type="dxa"/>
            <w:tcBorders>
              <w:top w:val="nil"/>
              <w:left w:val="nil"/>
              <w:bottom w:val="nil"/>
              <w:right w:val="nil"/>
            </w:tcBorders>
            <w:textDirection w:val="btLr"/>
          </w:tcPr>
          <w:p w:rsidR="0032543F" w:rsidRDefault="0032543F" w:rsidP="00697E66">
            <w:pPr>
              <w:ind w:left="113" w:right="113"/>
              <w:jc w:val="right"/>
              <w:rPr>
                <w:sz w:val="12"/>
                <w:szCs w:val="12"/>
              </w:rPr>
            </w:pPr>
            <w:r w:rsidRPr="00866505">
              <w:rPr>
                <w:sz w:val="12"/>
                <w:szCs w:val="12"/>
              </w:rPr>
              <w:t>.0</w:t>
            </w:r>
            <w:r>
              <w:rPr>
                <w:sz w:val="12"/>
                <w:szCs w:val="12"/>
              </w:rPr>
              <w:t>8</w:t>
            </w:r>
          </w:p>
          <w:p w:rsidR="0032543F" w:rsidRPr="00F05BC7" w:rsidRDefault="0032543F" w:rsidP="0032543F">
            <w:pPr>
              <w:ind w:left="113" w:right="113"/>
              <w:jc w:val="right"/>
              <w:rPr>
                <w:sz w:val="12"/>
                <w:szCs w:val="12"/>
              </w:rPr>
            </w:pPr>
            <w:r>
              <w:rPr>
                <w:sz w:val="12"/>
                <w:szCs w:val="12"/>
              </w:rPr>
              <w:t>(.02)</w:t>
            </w:r>
          </w:p>
        </w:tc>
        <w:tc>
          <w:tcPr>
            <w:tcW w:w="450" w:type="dxa"/>
            <w:tcBorders>
              <w:top w:val="nil"/>
              <w:left w:val="nil"/>
              <w:bottom w:val="nil"/>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Pr="00372E97" w:rsidRDefault="0032543F" w:rsidP="00697E66">
            <w:pPr>
              <w:ind w:left="113" w:right="113"/>
              <w:jc w:val="right"/>
              <w:rPr>
                <w:sz w:val="12"/>
                <w:szCs w:val="12"/>
              </w:rPr>
            </w:pPr>
            <w:r>
              <w:rPr>
                <w:sz w:val="12"/>
                <w:szCs w:val="12"/>
              </w:rPr>
              <w:t>.02</w:t>
            </w:r>
          </w:p>
          <w:p w:rsidR="0032543F" w:rsidRPr="00372E97" w:rsidRDefault="0032543F" w:rsidP="00697E66">
            <w:pPr>
              <w:ind w:left="113" w:right="113"/>
              <w:jc w:val="right"/>
              <w:rPr>
                <w:sz w:val="12"/>
                <w:szCs w:val="12"/>
              </w:rPr>
            </w:pPr>
            <w:r>
              <w:rPr>
                <w:sz w:val="12"/>
                <w:szCs w:val="12"/>
              </w:rPr>
              <w:t>.08</w:t>
            </w:r>
          </w:p>
          <w:p w:rsidR="0032543F" w:rsidRPr="00372E97" w:rsidRDefault="0032543F" w:rsidP="00697E66">
            <w:pPr>
              <w:ind w:left="113" w:right="113"/>
              <w:jc w:val="right"/>
              <w:rPr>
                <w:sz w:val="12"/>
                <w:szCs w:val="12"/>
              </w:rPr>
            </w:pPr>
            <w:r>
              <w:rPr>
                <w:sz w:val="12"/>
                <w:szCs w:val="12"/>
              </w:rPr>
              <w:t>.07</w:t>
            </w: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890"/>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sidRPr="00F810C6">
              <w:rPr>
                <w:sz w:val="14"/>
                <w:szCs w:val="14"/>
              </w:rPr>
              <w:t>Model 8</w:t>
            </w:r>
          </w:p>
        </w:tc>
        <w:tc>
          <w:tcPr>
            <w:tcW w:w="378" w:type="dxa"/>
            <w:tcBorders>
              <w:top w:val="nil"/>
              <w:bottom w:val="nil"/>
              <w:right w:val="nil"/>
            </w:tcBorders>
            <w:shd w:val="clear" w:color="auto" w:fill="FFFFFF" w:themeFill="background1"/>
            <w:textDirection w:val="btLr"/>
          </w:tcPr>
          <w:p w:rsidR="0032543F" w:rsidRDefault="0032543F" w:rsidP="0032543F">
            <w:pPr>
              <w:ind w:left="113" w:right="113"/>
              <w:jc w:val="right"/>
              <w:rPr>
                <w:sz w:val="12"/>
                <w:szCs w:val="12"/>
              </w:rPr>
            </w:pPr>
            <w:r>
              <w:rPr>
                <w:sz w:val="12"/>
                <w:szCs w:val="12"/>
              </w:rPr>
              <w:t>-.0002</w:t>
            </w:r>
          </w:p>
          <w:p w:rsidR="0032543F" w:rsidRPr="00F810C6" w:rsidRDefault="0032543F" w:rsidP="0032543F">
            <w:pPr>
              <w:ind w:left="113" w:right="113"/>
              <w:jc w:val="right"/>
              <w:rPr>
                <w:sz w:val="12"/>
                <w:szCs w:val="12"/>
              </w:rPr>
            </w:pPr>
            <w:r>
              <w:rPr>
                <w:sz w:val="12"/>
                <w:szCs w:val="12"/>
              </w:rPr>
              <w:t>(.005)</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sidRPr="00866505">
              <w:rPr>
                <w:sz w:val="12"/>
                <w:szCs w:val="12"/>
              </w:rPr>
              <w:t>.</w:t>
            </w:r>
            <w:r>
              <w:rPr>
                <w:sz w:val="12"/>
                <w:szCs w:val="12"/>
              </w:rPr>
              <w:t>02</w:t>
            </w:r>
          </w:p>
          <w:p w:rsidR="0032543F" w:rsidRPr="00F810C6" w:rsidRDefault="0032543F" w:rsidP="00697E66">
            <w:pPr>
              <w:ind w:left="113" w:right="113"/>
              <w:jc w:val="right"/>
              <w:rPr>
                <w:sz w:val="12"/>
                <w:szCs w:val="12"/>
              </w:rPr>
            </w:pPr>
            <w:r>
              <w:rPr>
                <w:sz w:val="12"/>
                <w:szCs w:val="12"/>
              </w:rPr>
              <w:t>(.05)</w:t>
            </w:r>
          </w:p>
        </w:tc>
        <w:tc>
          <w:tcPr>
            <w:tcW w:w="450" w:type="dxa"/>
            <w:tcBorders>
              <w:top w:val="nil"/>
              <w:left w:val="nil"/>
              <w:bottom w:val="nil"/>
              <w:right w:val="nil"/>
            </w:tcBorders>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Pr="00372E97" w:rsidRDefault="0032543F" w:rsidP="00697E66">
            <w:pPr>
              <w:ind w:left="113" w:right="113"/>
              <w:jc w:val="right"/>
              <w:rPr>
                <w:sz w:val="12"/>
                <w:szCs w:val="12"/>
              </w:rPr>
            </w:pPr>
            <w:r>
              <w:rPr>
                <w:sz w:val="12"/>
                <w:szCs w:val="12"/>
              </w:rPr>
              <w:t>.17</w:t>
            </w:r>
          </w:p>
          <w:p w:rsidR="0032543F" w:rsidRPr="00372E97" w:rsidRDefault="0032543F" w:rsidP="00697E66">
            <w:pPr>
              <w:ind w:left="113" w:right="113"/>
              <w:jc w:val="right"/>
              <w:rPr>
                <w:sz w:val="12"/>
                <w:szCs w:val="12"/>
              </w:rPr>
            </w:pPr>
            <w:r>
              <w:rPr>
                <w:sz w:val="12"/>
                <w:szCs w:val="12"/>
              </w:rPr>
              <w:t>.04</w:t>
            </w:r>
          </w:p>
          <w:p w:rsidR="0032543F" w:rsidRPr="00372E97" w:rsidRDefault="0032543F" w:rsidP="00697E66">
            <w:pPr>
              <w:ind w:left="113" w:right="113"/>
              <w:jc w:val="right"/>
              <w:rPr>
                <w:sz w:val="12"/>
                <w:szCs w:val="12"/>
              </w:rPr>
            </w:pPr>
            <w:r>
              <w:rPr>
                <w:sz w:val="12"/>
                <w:szCs w:val="12"/>
              </w:rPr>
              <w:t>.10</w:t>
            </w:r>
          </w:p>
          <w:p w:rsidR="0032543F" w:rsidRPr="00372E97" w:rsidRDefault="0032543F" w:rsidP="00697E66">
            <w:pPr>
              <w:ind w:left="113" w:right="113"/>
              <w:jc w:val="center"/>
              <w:rPr>
                <w:sz w:val="12"/>
                <w:szCs w:val="12"/>
              </w:rPr>
            </w:pP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890"/>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sidRPr="00F810C6">
              <w:rPr>
                <w:sz w:val="14"/>
                <w:szCs w:val="14"/>
              </w:rPr>
              <w:t>Model 7</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.00</w:t>
            </w:r>
            <w:r>
              <w:rPr>
                <w:sz w:val="12"/>
                <w:szCs w:val="12"/>
              </w:rPr>
              <w:t>3</w:t>
            </w:r>
          </w:p>
          <w:p w:rsidR="0032543F" w:rsidRPr="00F810C6" w:rsidRDefault="0032543F" w:rsidP="0032543F">
            <w:pPr>
              <w:ind w:left="113" w:right="113"/>
              <w:jc w:val="right"/>
              <w:rPr>
                <w:sz w:val="12"/>
                <w:szCs w:val="12"/>
              </w:rPr>
            </w:pPr>
            <w:r>
              <w:rPr>
                <w:sz w:val="12"/>
                <w:szCs w:val="12"/>
              </w:rPr>
              <w:t>(</w:t>
            </w:r>
            <w:r w:rsidRPr="00866505">
              <w:rPr>
                <w:sz w:val="12"/>
                <w:szCs w:val="12"/>
              </w:rPr>
              <w:t>.004</w:t>
            </w:r>
            <w:r>
              <w:rPr>
                <w:sz w:val="12"/>
                <w:szCs w:val="12"/>
              </w:rPr>
              <w:t>)</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Default="0032543F" w:rsidP="00697E66">
            <w:pPr>
              <w:ind w:left="113" w:right="113"/>
              <w:jc w:val="right"/>
              <w:rPr>
                <w:sz w:val="12"/>
                <w:szCs w:val="12"/>
              </w:rPr>
            </w:pPr>
            <w:r w:rsidRPr="00866505">
              <w:rPr>
                <w:sz w:val="12"/>
                <w:szCs w:val="12"/>
              </w:rPr>
              <w:t>.0</w:t>
            </w:r>
            <w:r>
              <w:rPr>
                <w:sz w:val="12"/>
                <w:szCs w:val="12"/>
              </w:rPr>
              <w:t>1**</w:t>
            </w:r>
          </w:p>
          <w:p w:rsidR="0032543F" w:rsidRPr="00F810C6" w:rsidRDefault="0032543F" w:rsidP="0032543F">
            <w:pPr>
              <w:ind w:left="113" w:right="113"/>
              <w:jc w:val="right"/>
              <w:rPr>
                <w:sz w:val="12"/>
                <w:szCs w:val="12"/>
              </w:rPr>
            </w:pPr>
            <w:r>
              <w:rPr>
                <w:sz w:val="12"/>
                <w:szCs w:val="12"/>
              </w:rPr>
              <w:t>(</w:t>
            </w:r>
            <w:r w:rsidRPr="00866505">
              <w:rPr>
                <w:sz w:val="12"/>
                <w:szCs w:val="12"/>
              </w:rPr>
              <w:t>.00</w:t>
            </w:r>
            <w:r>
              <w:rPr>
                <w:sz w:val="12"/>
                <w:szCs w:val="12"/>
              </w:rPr>
              <w:t>3)</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Pr="00372E97" w:rsidRDefault="0032543F" w:rsidP="00697E66">
            <w:pPr>
              <w:ind w:left="113" w:right="113"/>
              <w:jc w:val="right"/>
              <w:rPr>
                <w:sz w:val="12"/>
                <w:szCs w:val="12"/>
              </w:rPr>
            </w:pPr>
            <w:r>
              <w:rPr>
                <w:sz w:val="12"/>
                <w:szCs w:val="12"/>
              </w:rPr>
              <w:t>.05</w:t>
            </w:r>
          </w:p>
          <w:p w:rsidR="0032543F" w:rsidRPr="00372E97" w:rsidRDefault="0032543F" w:rsidP="00697E66">
            <w:pPr>
              <w:ind w:left="113" w:right="113"/>
              <w:jc w:val="right"/>
              <w:rPr>
                <w:sz w:val="12"/>
                <w:szCs w:val="12"/>
              </w:rPr>
            </w:pPr>
            <w:r>
              <w:rPr>
                <w:sz w:val="12"/>
                <w:szCs w:val="12"/>
              </w:rPr>
              <w:t>.02</w:t>
            </w:r>
          </w:p>
          <w:p w:rsidR="0032543F" w:rsidRPr="00372E97" w:rsidRDefault="0032543F" w:rsidP="0032543F">
            <w:pPr>
              <w:ind w:left="113" w:right="113"/>
              <w:jc w:val="right"/>
              <w:rPr>
                <w:sz w:val="12"/>
                <w:szCs w:val="12"/>
              </w:rPr>
            </w:pPr>
            <w:r w:rsidRPr="00372E97">
              <w:rPr>
                <w:sz w:val="12"/>
                <w:szCs w:val="12"/>
              </w:rPr>
              <w:t>.0</w:t>
            </w:r>
            <w:r>
              <w:rPr>
                <w:sz w:val="12"/>
                <w:szCs w:val="12"/>
              </w:rPr>
              <w:t>8</w:t>
            </w: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818"/>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sidRPr="00F810C6">
              <w:rPr>
                <w:sz w:val="14"/>
                <w:szCs w:val="14"/>
              </w:rPr>
              <w:t>Model 6</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 xml:space="preserve">   .00</w:t>
            </w:r>
            <w:r>
              <w:rPr>
                <w:sz w:val="12"/>
                <w:szCs w:val="12"/>
              </w:rPr>
              <w:t>1</w:t>
            </w:r>
          </w:p>
          <w:p w:rsidR="0032543F" w:rsidRPr="00F810C6" w:rsidRDefault="0032543F" w:rsidP="0032543F">
            <w:pPr>
              <w:ind w:left="113" w:right="113"/>
              <w:jc w:val="right"/>
              <w:rPr>
                <w:sz w:val="12"/>
                <w:szCs w:val="12"/>
              </w:rPr>
            </w:pPr>
            <w:r>
              <w:rPr>
                <w:sz w:val="12"/>
                <w:szCs w:val="12"/>
              </w:rPr>
              <w:t>(</w:t>
            </w:r>
            <w:r w:rsidRPr="00866505">
              <w:rPr>
                <w:sz w:val="12"/>
                <w:szCs w:val="12"/>
              </w:rPr>
              <w:t>.00</w:t>
            </w:r>
            <w:r>
              <w:rPr>
                <w:sz w:val="12"/>
                <w:szCs w:val="12"/>
              </w:rPr>
              <w:t>5)</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Pr>
                <w:sz w:val="12"/>
                <w:szCs w:val="12"/>
              </w:rPr>
              <w:t>.01</w:t>
            </w:r>
          </w:p>
          <w:p w:rsidR="0032543F" w:rsidRPr="00F810C6" w:rsidRDefault="0032543F" w:rsidP="0032543F">
            <w:pPr>
              <w:ind w:left="113" w:right="113"/>
              <w:jc w:val="right"/>
              <w:rPr>
                <w:sz w:val="12"/>
                <w:szCs w:val="12"/>
              </w:rPr>
            </w:pPr>
            <w:r>
              <w:rPr>
                <w:sz w:val="12"/>
                <w:szCs w:val="12"/>
              </w:rPr>
              <w:t>(.01)</w:t>
            </w: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Pr="00372E97" w:rsidRDefault="0032543F" w:rsidP="00697E66">
            <w:pPr>
              <w:ind w:left="113" w:right="113"/>
              <w:jc w:val="right"/>
              <w:rPr>
                <w:sz w:val="12"/>
                <w:szCs w:val="12"/>
              </w:rPr>
            </w:pPr>
            <w:r w:rsidRPr="00372E97">
              <w:rPr>
                <w:sz w:val="12"/>
                <w:szCs w:val="12"/>
              </w:rPr>
              <w:t>.</w:t>
            </w:r>
            <w:r>
              <w:rPr>
                <w:sz w:val="12"/>
                <w:szCs w:val="12"/>
              </w:rPr>
              <w:t>01</w:t>
            </w:r>
          </w:p>
          <w:p w:rsidR="0032543F" w:rsidRPr="00372E97" w:rsidRDefault="0032543F" w:rsidP="00697E66">
            <w:pPr>
              <w:ind w:left="113" w:right="113"/>
              <w:jc w:val="right"/>
              <w:rPr>
                <w:sz w:val="12"/>
                <w:szCs w:val="12"/>
              </w:rPr>
            </w:pPr>
            <w:r>
              <w:rPr>
                <w:sz w:val="12"/>
                <w:szCs w:val="12"/>
              </w:rPr>
              <w:t>.02</w:t>
            </w:r>
          </w:p>
          <w:p w:rsidR="0032543F" w:rsidRPr="00372E97" w:rsidRDefault="0032543F" w:rsidP="00697E66">
            <w:pPr>
              <w:ind w:left="113" w:right="113"/>
              <w:jc w:val="right"/>
              <w:rPr>
                <w:sz w:val="12"/>
                <w:szCs w:val="12"/>
              </w:rPr>
            </w:pPr>
            <w:r>
              <w:rPr>
                <w:sz w:val="12"/>
                <w:szCs w:val="12"/>
              </w:rPr>
              <w:t>.04</w:t>
            </w: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890"/>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sidRPr="00F810C6">
              <w:rPr>
                <w:sz w:val="14"/>
                <w:szCs w:val="14"/>
              </w:rPr>
              <w:t>Model 5</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.00</w:t>
            </w:r>
            <w:r>
              <w:rPr>
                <w:sz w:val="12"/>
                <w:szCs w:val="12"/>
              </w:rPr>
              <w:t>3</w:t>
            </w:r>
          </w:p>
          <w:p w:rsidR="0032543F" w:rsidRPr="00F810C6" w:rsidRDefault="0032543F" w:rsidP="0032543F">
            <w:pPr>
              <w:ind w:left="113" w:right="113"/>
              <w:jc w:val="right"/>
              <w:rPr>
                <w:sz w:val="12"/>
                <w:szCs w:val="12"/>
              </w:rPr>
            </w:pPr>
            <w:r>
              <w:rPr>
                <w:sz w:val="12"/>
                <w:szCs w:val="12"/>
              </w:rPr>
              <w:t>(</w:t>
            </w:r>
            <w:r w:rsidRPr="00866505">
              <w:rPr>
                <w:sz w:val="12"/>
                <w:szCs w:val="12"/>
              </w:rPr>
              <w:t>.00</w:t>
            </w:r>
            <w:r>
              <w:rPr>
                <w:sz w:val="12"/>
                <w:szCs w:val="12"/>
              </w:rPr>
              <w:t>5)</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Default="0032543F" w:rsidP="00697E66">
            <w:pPr>
              <w:ind w:left="113" w:right="113"/>
              <w:jc w:val="right"/>
              <w:rPr>
                <w:sz w:val="12"/>
                <w:szCs w:val="12"/>
              </w:rPr>
            </w:pPr>
            <w:r>
              <w:rPr>
                <w:sz w:val="12"/>
                <w:szCs w:val="12"/>
              </w:rPr>
              <w:t>.01**</w:t>
            </w:r>
          </w:p>
          <w:p w:rsidR="0032543F" w:rsidRPr="00F810C6" w:rsidRDefault="0032543F" w:rsidP="0032543F">
            <w:pPr>
              <w:ind w:left="113" w:right="113"/>
              <w:jc w:val="right"/>
              <w:rPr>
                <w:sz w:val="12"/>
                <w:szCs w:val="12"/>
              </w:rPr>
            </w:pPr>
            <w:r>
              <w:rPr>
                <w:sz w:val="12"/>
                <w:szCs w:val="12"/>
              </w:rPr>
              <w:t>(</w:t>
            </w:r>
            <w:r w:rsidRPr="00866505">
              <w:rPr>
                <w:sz w:val="12"/>
                <w:szCs w:val="12"/>
              </w:rPr>
              <w:t>.003</w:t>
            </w:r>
            <w:r>
              <w:rPr>
                <w:sz w:val="12"/>
                <w:szCs w:val="12"/>
              </w:rPr>
              <w:t>)</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Pr="00372E97" w:rsidRDefault="0032543F" w:rsidP="00697E66">
            <w:pPr>
              <w:ind w:left="113" w:right="113"/>
              <w:jc w:val="right"/>
              <w:rPr>
                <w:sz w:val="12"/>
                <w:szCs w:val="12"/>
              </w:rPr>
            </w:pPr>
            <w:r>
              <w:rPr>
                <w:sz w:val="12"/>
                <w:szCs w:val="12"/>
              </w:rPr>
              <w:t>.01</w:t>
            </w:r>
          </w:p>
          <w:p w:rsidR="0032543F" w:rsidRPr="00372E97" w:rsidRDefault="0032543F" w:rsidP="00697E66">
            <w:pPr>
              <w:ind w:left="113" w:right="113"/>
              <w:jc w:val="right"/>
              <w:rPr>
                <w:sz w:val="12"/>
                <w:szCs w:val="12"/>
              </w:rPr>
            </w:pPr>
            <w:r>
              <w:rPr>
                <w:sz w:val="12"/>
                <w:szCs w:val="12"/>
              </w:rPr>
              <w:t>.12</w:t>
            </w:r>
          </w:p>
          <w:p w:rsidR="0032543F" w:rsidRPr="00372E97" w:rsidRDefault="0032543F" w:rsidP="00697E66">
            <w:pPr>
              <w:ind w:left="113" w:right="113"/>
              <w:jc w:val="right"/>
              <w:rPr>
                <w:sz w:val="12"/>
                <w:szCs w:val="12"/>
              </w:rPr>
            </w:pPr>
            <w:r>
              <w:rPr>
                <w:sz w:val="12"/>
                <w:szCs w:val="12"/>
              </w:rPr>
              <w:t>.04</w:t>
            </w:r>
          </w:p>
          <w:p w:rsidR="0032543F" w:rsidRPr="00372E97" w:rsidRDefault="0032543F" w:rsidP="00697E66">
            <w:pPr>
              <w:ind w:left="113" w:right="113"/>
              <w:jc w:val="right"/>
              <w:rPr>
                <w:sz w:val="12"/>
                <w:szCs w:val="12"/>
              </w:rPr>
            </w:pP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908"/>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sidRPr="00F810C6">
              <w:rPr>
                <w:sz w:val="14"/>
                <w:szCs w:val="14"/>
              </w:rPr>
              <w:t>Model 4</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.00</w:t>
            </w:r>
            <w:r>
              <w:rPr>
                <w:sz w:val="12"/>
                <w:szCs w:val="12"/>
              </w:rPr>
              <w:t>3</w:t>
            </w:r>
          </w:p>
          <w:p w:rsidR="0032543F" w:rsidRPr="00F810C6" w:rsidRDefault="0032543F" w:rsidP="0032543F">
            <w:pPr>
              <w:ind w:left="113" w:right="113"/>
              <w:jc w:val="right"/>
              <w:rPr>
                <w:sz w:val="12"/>
                <w:szCs w:val="12"/>
              </w:rPr>
            </w:pPr>
            <w:r>
              <w:rPr>
                <w:sz w:val="12"/>
                <w:szCs w:val="12"/>
              </w:rPr>
              <w:t>(.005)</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sidRPr="00866505">
              <w:rPr>
                <w:sz w:val="12"/>
                <w:szCs w:val="12"/>
              </w:rPr>
              <w:t>.0</w:t>
            </w:r>
            <w:r>
              <w:rPr>
                <w:sz w:val="12"/>
                <w:szCs w:val="12"/>
              </w:rPr>
              <w:t>2*</w:t>
            </w:r>
          </w:p>
          <w:p w:rsidR="0032543F" w:rsidRPr="00F810C6" w:rsidRDefault="0032543F" w:rsidP="0032543F">
            <w:pPr>
              <w:ind w:left="113" w:right="113"/>
              <w:jc w:val="right"/>
              <w:rPr>
                <w:sz w:val="12"/>
                <w:szCs w:val="12"/>
              </w:rPr>
            </w:pPr>
            <w:r>
              <w:rPr>
                <w:sz w:val="12"/>
                <w:szCs w:val="12"/>
              </w:rPr>
              <w:t>(</w:t>
            </w:r>
            <w:r w:rsidRPr="00866505">
              <w:rPr>
                <w:sz w:val="12"/>
                <w:szCs w:val="12"/>
              </w:rPr>
              <w:t>.0</w:t>
            </w:r>
            <w:r>
              <w:rPr>
                <w:sz w:val="12"/>
                <w:szCs w:val="12"/>
              </w:rPr>
              <w:t>1)</w:t>
            </w: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Default="0032543F" w:rsidP="00697E66">
            <w:pPr>
              <w:ind w:left="113" w:right="113"/>
              <w:jc w:val="right"/>
              <w:rPr>
                <w:sz w:val="12"/>
                <w:szCs w:val="12"/>
              </w:rPr>
            </w:pPr>
            <w:r>
              <w:rPr>
                <w:sz w:val="12"/>
                <w:szCs w:val="12"/>
              </w:rPr>
              <w:t>.06</w:t>
            </w:r>
          </w:p>
          <w:p w:rsidR="0032543F" w:rsidRPr="00372E97" w:rsidRDefault="0032543F" w:rsidP="00697E66">
            <w:pPr>
              <w:ind w:left="113" w:right="113"/>
              <w:jc w:val="right"/>
              <w:rPr>
                <w:sz w:val="12"/>
                <w:szCs w:val="12"/>
              </w:rPr>
            </w:pPr>
            <w:r w:rsidRPr="00372E97">
              <w:rPr>
                <w:sz w:val="12"/>
                <w:szCs w:val="12"/>
              </w:rPr>
              <w:t>.0002</w:t>
            </w:r>
          </w:p>
          <w:p w:rsidR="0032543F" w:rsidRPr="00372E97" w:rsidRDefault="0032543F" w:rsidP="00697E66">
            <w:pPr>
              <w:ind w:left="113" w:right="113"/>
              <w:jc w:val="right"/>
              <w:rPr>
                <w:sz w:val="12"/>
                <w:szCs w:val="12"/>
              </w:rPr>
            </w:pPr>
            <w:r>
              <w:rPr>
                <w:sz w:val="12"/>
                <w:szCs w:val="12"/>
              </w:rPr>
              <w:t>.08</w:t>
            </w: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773"/>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sidRPr="00F810C6">
              <w:rPr>
                <w:sz w:val="14"/>
                <w:szCs w:val="14"/>
              </w:rPr>
              <w:t>Model 3</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.00</w:t>
            </w:r>
            <w:r>
              <w:rPr>
                <w:sz w:val="12"/>
                <w:szCs w:val="12"/>
              </w:rPr>
              <w:t>1</w:t>
            </w:r>
          </w:p>
          <w:p w:rsidR="0032543F" w:rsidRPr="00F810C6" w:rsidRDefault="0032543F" w:rsidP="0032543F">
            <w:pPr>
              <w:ind w:left="113" w:right="113"/>
              <w:jc w:val="right"/>
              <w:rPr>
                <w:sz w:val="12"/>
                <w:szCs w:val="12"/>
              </w:rPr>
            </w:pPr>
            <w:r>
              <w:rPr>
                <w:sz w:val="12"/>
                <w:szCs w:val="12"/>
              </w:rPr>
              <w:t>(</w:t>
            </w:r>
            <w:r w:rsidRPr="00866505">
              <w:rPr>
                <w:sz w:val="12"/>
                <w:szCs w:val="12"/>
              </w:rPr>
              <w:t>.004</w:t>
            </w:r>
            <w:r>
              <w:rPr>
                <w:sz w:val="12"/>
                <w:szCs w:val="12"/>
              </w:rPr>
              <w:t>)</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Default="0032543F" w:rsidP="00697E66">
            <w:pPr>
              <w:ind w:left="113" w:right="113"/>
              <w:jc w:val="right"/>
              <w:rPr>
                <w:sz w:val="12"/>
                <w:szCs w:val="12"/>
              </w:rPr>
            </w:pPr>
            <w:r>
              <w:rPr>
                <w:sz w:val="12"/>
                <w:szCs w:val="12"/>
              </w:rPr>
              <w:t>.09</w:t>
            </w:r>
          </w:p>
          <w:p w:rsidR="0032543F" w:rsidRPr="00F810C6" w:rsidRDefault="0032543F" w:rsidP="0032543F">
            <w:pPr>
              <w:ind w:left="113" w:right="113"/>
              <w:jc w:val="right"/>
              <w:rPr>
                <w:sz w:val="12"/>
                <w:szCs w:val="12"/>
              </w:rPr>
            </w:pPr>
            <w:r>
              <w:rPr>
                <w:sz w:val="12"/>
                <w:szCs w:val="12"/>
              </w:rPr>
              <w:t>(</w:t>
            </w:r>
            <w:r w:rsidRPr="00866505">
              <w:rPr>
                <w:sz w:val="12"/>
                <w:szCs w:val="12"/>
              </w:rPr>
              <w:t>.0</w:t>
            </w:r>
            <w:r>
              <w:rPr>
                <w:sz w:val="12"/>
                <w:szCs w:val="12"/>
              </w:rPr>
              <w:t>3)</w:t>
            </w: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Pr="00372E97" w:rsidRDefault="0032543F" w:rsidP="00697E66">
            <w:pPr>
              <w:ind w:left="113" w:right="113"/>
              <w:jc w:val="right"/>
              <w:rPr>
                <w:sz w:val="12"/>
                <w:szCs w:val="12"/>
              </w:rPr>
            </w:pPr>
            <w:r>
              <w:rPr>
                <w:sz w:val="12"/>
                <w:szCs w:val="12"/>
              </w:rPr>
              <w:t>.01</w:t>
            </w:r>
          </w:p>
          <w:p w:rsidR="0032543F" w:rsidRPr="00372E97" w:rsidRDefault="0032543F" w:rsidP="00697E66">
            <w:pPr>
              <w:ind w:left="113" w:right="113"/>
              <w:jc w:val="right"/>
              <w:rPr>
                <w:sz w:val="12"/>
                <w:szCs w:val="12"/>
              </w:rPr>
            </w:pPr>
            <w:r>
              <w:rPr>
                <w:sz w:val="12"/>
                <w:szCs w:val="12"/>
              </w:rPr>
              <w:t>.11</w:t>
            </w:r>
          </w:p>
          <w:p w:rsidR="0032543F" w:rsidRPr="00372E97" w:rsidRDefault="0032543F" w:rsidP="00697E66">
            <w:pPr>
              <w:ind w:left="113" w:right="113"/>
              <w:jc w:val="right"/>
              <w:rPr>
                <w:sz w:val="12"/>
                <w:szCs w:val="12"/>
              </w:rPr>
            </w:pPr>
            <w:r>
              <w:rPr>
                <w:sz w:val="12"/>
                <w:szCs w:val="12"/>
              </w:rPr>
              <w:t>.001</w:t>
            </w: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917"/>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nil"/>
            </w:tcBorders>
            <w:noWrap/>
            <w:textDirection w:val="btLr"/>
          </w:tcPr>
          <w:p w:rsidR="0032543F" w:rsidRPr="00F810C6" w:rsidRDefault="0032543F" w:rsidP="00697E66">
            <w:pPr>
              <w:ind w:left="113" w:right="113"/>
              <w:jc w:val="right"/>
              <w:rPr>
                <w:sz w:val="14"/>
                <w:szCs w:val="14"/>
              </w:rPr>
            </w:pPr>
            <w:r w:rsidRPr="00F810C6">
              <w:rPr>
                <w:sz w:val="14"/>
                <w:szCs w:val="14"/>
              </w:rPr>
              <w:t>Model 2</w:t>
            </w:r>
          </w:p>
        </w:tc>
        <w:tc>
          <w:tcPr>
            <w:tcW w:w="378" w:type="dxa"/>
            <w:tcBorders>
              <w:top w:val="nil"/>
              <w:bottom w:val="nil"/>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.0</w:t>
            </w:r>
            <w:r>
              <w:rPr>
                <w:sz w:val="12"/>
                <w:szCs w:val="12"/>
              </w:rPr>
              <w:t>01</w:t>
            </w:r>
          </w:p>
          <w:p w:rsidR="0032543F" w:rsidRPr="00F810C6" w:rsidRDefault="0032543F" w:rsidP="0032543F">
            <w:pPr>
              <w:ind w:left="113" w:right="113"/>
              <w:jc w:val="right"/>
              <w:rPr>
                <w:sz w:val="12"/>
                <w:szCs w:val="12"/>
              </w:rPr>
            </w:pPr>
            <w:r>
              <w:rPr>
                <w:sz w:val="12"/>
                <w:szCs w:val="12"/>
              </w:rPr>
              <w:t>(</w:t>
            </w:r>
            <w:r w:rsidRPr="00866505">
              <w:rPr>
                <w:sz w:val="12"/>
                <w:szCs w:val="12"/>
              </w:rPr>
              <w:t>.</w:t>
            </w:r>
            <w:r>
              <w:rPr>
                <w:sz w:val="12"/>
                <w:szCs w:val="12"/>
              </w:rPr>
              <w:t>01)</w:t>
            </w:r>
          </w:p>
        </w:tc>
        <w:tc>
          <w:tcPr>
            <w:tcW w:w="450" w:type="dxa"/>
            <w:tcBorders>
              <w:top w:val="nil"/>
              <w:left w:val="nil"/>
              <w:bottom w:val="nil"/>
              <w:right w:val="nil"/>
            </w:tcBorders>
            <w:shd w:val="clear" w:color="auto" w:fill="E7E6E6" w:themeFill="background2"/>
            <w:noWrap/>
            <w:textDirection w:val="btLr"/>
          </w:tcPr>
          <w:p w:rsidR="0032543F" w:rsidRDefault="0032543F" w:rsidP="00697E66">
            <w:pPr>
              <w:ind w:left="113" w:right="113"/>
              <w:jc w:val="right"/>
              <w:rPr>
                <w:sz w:val="12"/>
                <w:szCs w:val="12"/>
              </w:rPr>
            </w:pPr>
            <w:r w:rsidRPr="00866505">
              <w:rPr>
                <w:sz w:val="12"/>
                <w:szCs w:val="12"/>
              </w:rPr>
              <w:t>.0</w:t>
            </w:r>
            <w:r>
              <w:rPr>
                <w:sz w:val="12"/>
                <w:szCs w:val="12"/>
              </w:rPr>
              <w:t>2</w:t>
            </w:r>
          </w:p>
          <w:p w:rsidR="0032543F" w:rsidRPr="00F810C6" w:rsidRDefault="0032543F" w:rsidP="00697E66">
            <w:pPr>
              <w:ind w:left="113" w:right="113"/>
              <w:jc w:val="right"/>
              <w:rPr>
                <w:sz w:val="12"/>
                <w:szCs w:val="12"/>
              </w:rPr>
            </w:pPr>
            <w:r>
              <w:rPr>
                <w:sz w:val="12"/>
                <w:szCs w:val="12"/>
              </w:rPr>
              <w:t>(.06)</w:t>
            </w: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nil"/>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nil"/>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nil"/>
            </w:tcBorders>
            <w:textDirection w:val="btLr"/>
          </w:tcPr>
          <w:p w:rsidR="0032543F" w:rsidRPr="00372E97" w:rsidRDefault="0032543F" w:rsidP="00697E66">
            <w:pPr>
              <w:ind w:left="113" w:right="113"/>
              <w:jc w:val="right"/>
              <w:rPr>
                <w:sz w:val="12"/>
                <w:szCs w:val="12"/>
              </w:rPr>
            </w:pPr>
            <w:r>
              <w:rPr>
                <w:sz w:val="12"/>
                <w:szCs w:val="12"/>
              </w:rPr>
              <w:t>.004</w:t>
            </w:r>
          </w:p>
          <w:p w:rsidR="0032543F" w:rsidRPr="00372E97" w:rsidRDefault="0032543F" w:rsidP="00697E66">
            <w:pPr>
              <w:ind w:left="113" w:right="113"/>
              <w:jc w:val="right"/>
              <w:rPr>
                <w:sz w:val="12"/>
                <w:szCs w:val="12"/>
              </w:rPr>
            </w:pPr>
            <w:r>
              <w:rPr>
                <w:sz w:val="12"/>
                <w:szCs w:val="12"/>
              </w:rPr>
              <w:t>.002</w:t>
            </w:r>
          </w:p>
          <w:p w:rsidR="0032543F" w:rsidRPr="00372E97" w:rsidRDefault="0032543F" w:rsidP="00697E66">
            <w:pPr>
              <w:ind w:left="113" w:right="113"/>
              <w:jc w:val="right"/>
              <w:rPr>
                <w:sz w:val="12"/>
                <w:szCs w:val="12"/>
              </w:rPr>
            </w:pPr>
            <w:r>
              <w:rPr>
                <w:sz w:val="12"/>
                <w:szCs w:val="12"/>
              </w:rPr>
              <w:t>.002</w:t>
            </w: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773"/>
        </w:trPr>
        <w:tc>
          <w:tcPr>
            <w:tcW w:w="306" w:type="dxa"/>
            <w:vMerge/>
            <w:tcBorders>
              <w:left w:val="nil"/>
              <w:bottom w:val="nil"/>
            </w:tcBorders>
            <w:textDirection w:val="btLr"/>
          </w:tcPr>
          <w:p w:rsidR="0032543F" w:rsidRPr="00F810C6" w:rsidRDefault="0032543F" w:rsidP="00697E66">
            <w:pPr>
              <w:ind w:left="113" w:right="113"/>
              <w:jc w:val="right"/>
              <w:rPr>
                <w:rFonts w:asciiTheme="minorHAnsi" w:hAnsiTheme="minorHAnsi" w:cstheme="minorBidi"/>
                <w:sz w:val="14"/>
                <w:szCs w:val="14"/>
              </w:rPr>
            </w:pPr>
          </w:p>
        </w:tc>
        <w:tc>
          <w:tcPr>
            <w:tcW w:w="306" w:type="dxa"/>
            <w:tcBorders>
              <w:top w:val="nil"/>
              <w:bottom w:val="single" w:sz="4" w:space="0" w:color="auto"/>
            </w:tcBorders>
            <w:noWrap/>
            <w:textDirection w:val="btLr"/>
          </w:tcPr>
          <w:p w:rsidR="0032543F" w:rsidRPr="00F810C6" w:rsidRDefault="0032543F" w:rsidP="00697E66">
            <w:pPr>
              <w:ind w:left="113" w:right="113"/>
              <w:jc w:val="right"/>
              <w:rPr>
                <w:sz w:val="14"/>
                <w:szCs w:val="14"/>
              </w:rPr>
            </w:pPr>
            <w:r w:rsidRPr="00F810C6">
              <w:rPr>
                <w:sz w:val="14"/>
                <w:szCs w:val="14"/>
              </w:rPr>
              <w:t>Model 1</w:t>
            </w:r>
          </w:p>
        </w:tc>
        <w:tc>
          <w:tcPr>
            <w:tcW w:w="378" w:type="dxa"/>
            <w:tcBorders>
              <w:top w:val="nil"/>
              <w:bottom w:val="single" w:sz="4" w:space="0" w:color="auto"/>
              <w:right w:val="nil"/>
            </w:tcBorders>
            <w:shd w:val="clear" w:color="auto" w:fill="FFFFFF" w:themeFill="background1"/>
            <w:textDirection w:val="btLr"/>
          </w:tcPr>
          <w:p w:rsidR="0032543F" w:rsidRDefault="0032543F" w:rsidP="00697E66">
            <w:pPr>
              <w:ind w:left="113" w:right="113"/>
              <w:jc w:val="right"/>
              <w:rPr>
                <w:sz w:val="12"/>
                <w:szCs w:val="12"/>
              </w:rPr>
            </w:pPr>
            <w:r w:rsidRPr="00866505">
              <w:rPr>
                <w:sz w:val="12"/>
                <w:szCs w:val="12"/>
              </w:rPr>
              <w:t>.00</w:t>
            </w:r>
            <w:r>
              <w:rPr>
                <w:sz w:val="12"/>
                <w:szCs w:val="12"/>
              </w:rPr>
              <w:t>04</w:t>
            </w:r>
          </w:p>
          <w:p w:rsidR="0032543F" w:rsidRPr="00F810C6" w:rsidRDefault="0032543F" w:rsidP="00697E66">
            <w:pPr>
              <w:ind w:left="113" w:right="113"/>
              <w:jc w:val="right"/>
              <w:rPr>
                <w:sz w:val="12"/>
                <w:szCs w:val="12"/>
              </w:rPr>
            </w:pPr>
            <w:r>
              <w:rPr>
                <w:sz w:val="12"/>
                <w:szCs w:val="12"/>
              </w:rPr>
              <w:t>(.005)</w:t>
            </w:r>
          </w:p>
        </w:tc>
        <w:tc>
          <w:tcPr>
            <w:tcW w:w="450" w:type="dxa"/>
            <w:tcBorders>
              <w:top w:val="nil"/>
              <w:left w:val="nil"/>
              <w:bottom w:val="single" w:sz="4" w:space="0" w:color="auto"/>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shd w:val="clear" w:color="auto" w:fill="E7E6E6" w:themeFill="background2"/>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shd w:val="clear" w:color="auto" w:fill="E7E6E6" w:themeFill="background2"/>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shd w:val="clear" w:color="auto" w:fill="FFFFFF" w:themeFill="background1"/>
            <w:noWrap/>
            <w:textDirection w:val="btLr"/>
          </w:tcPr>
          <w:p w:rsidR="0032543F" w:rsidRPr="00F810C6" w:rsidRDefault="0032543F" w:rsidP="00697E66">
            <w:pPr>
              <w:ind w:left="113" w:right="113"/>
              <w:jc w:val="right"/>
              <w:rPr>
                <w:sz w:val="12"/>
                <w:szCs w:val="12"/>
              </w:rPr>
            </w:pPr>
          </w:p>
        </w:tc>
        <w:tc>
          <w:tcPr>
            <w:tcW w:w="450" w:type="dxa"/>
            <w:tcBorders>
              <w:top w:val="nil"/>
              <w:left w:val="nil"/>
              <w:bottom w:val="single" w:sz="4" w:space="0" w:color="auto"/>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single" w:sz="4" w:space="0" w:color="auto"/>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single" w:sz="4" w:space="0" w:color="auto"/>
              <w:right w:val="nil"/>
            </w:tcBorders>
            <w:shd w:val="clear" w:color="auto" w:fill="E7E6E6" w:themeFill="background2"/>
            <w:textDirection w:val="btLr"/>
          </w:tcPr>
          <w:p w:rsidR="0032543F" w:rsidRDefault="0032543F" w:rsidP="00697E66">
            <w:pPr>
              <w:ind w:left="113" w:right="113"/>
              <w:jc w:val="right"/>
              <w:rPr>
                <w:sz w:val="14"/>
                <w:szCs w:val="14"/>
              </w:rPr>
            </w:pPr>
          </w:p>
        </w:tc>
        <w:tc>
          <w:tcPr>
            <w:tcW w:w="450" w:type="dxa"/>
            <w:tcBorders>
              <w:top w:val="nil"/>
              <w:left w:val="nil"/>
              <w:bottom w:val="single" w:sz="4" w:space="0" w:color="auto"/>
              <w:right w:val="nil"/>
            </w:tcBorders>
            <w:shd w:val="clear" w:color="auto" w:fill="FFFFFF" w:themeFill="background1"/>
            <w:textDirection w:val="btLr"/>
          </w:tcPr>
          <w:p w:rsidR="0032543F" w:rsidRDefault="0032543F" w:rsidP="00697E66">
            <w:pPr>
              <w:ind w:left="113" w:right="113"/>
              <w:jc w:val="right"/>
              <w:rPr>
                <w:sz w:val="14"/>
                <w:szCs w:val="14"/>
              </w:rPr>
            </w:pPr>
          </w:p>
        </w:tc>
        <w:tc>
          <w:tcPr>
            <w:tcW w:w="450" w:type="dxa"/>
            <w:tcBorders>
              <w:top w:val="nil"/>
              <w:left w:val="nil"/>
              <w:bottom w:val="single" w:sz="4" w:space="0" w:color="auto"/>
            </w:tcBorders>
            <w:shd w:val="clear" w:color="auto" w:fill="E7E6E6" w:themeFill="background2"/>
            <w:textDirection w:val="btLr"/>
          </w:tcPr>
          <w:p w:rsidR="0032543F" w:rsidRDefault="0032543F" w:rsidP="00697E66">
            <w:pPr>
              <w:ind w:left="113" w:right="113"/>
              <w:jc w:val="right"/>
              <w:rPr>
                <w:sz w:val="14"/>
                <w:szCs w:val="14"/>
              </w:rPr>
            </w:pPr>
          </w:p>
        </w:tc>
        <w:tc>
          <w:tcPr>
            <w:tcW w:w="540" w:type="dxa"/>
            <w:tcBorders>
              <w:top w:val="nil"/>
              <w:bottom w:val="single" w:sz="4" w:space="0" w:color="auto"/>
            </w:tcBorders>
            <w:textDirection w:val="btLr"/>
          </w:tcPr>
          <w:p w:rsidR="0032543F" w:rsidRPr="00372E97" w:rsidRDefault="0032543F" w:rsidP="00697E66">
            <w:pPr>
              <w:ind w:left="113" w:right="113"/>
              <w:jc w:val="right"/>
              <w:rPr>
                <w:sz w:val="12"/>
                <w:szCs w:val="12"/>
              </w:rPr>
            </w:pPr>
            <w:r>
              <w:rPr>
                <w:sz w:val="12"/>
                <w:szCs w:val="12"/>
              </w:rPr>
              <w:t>.02</w:t>
            </w:r>
          </w:p>
          <w:p w:rsidR="0032543F" w:rsidRPr="00372E97" w:rsidRDefault="0032543F" w:rsidP="00697E66">
            <w:pPr>
              <w:ind w:left="113" w:right="113"/>
              <w:jc w:val="right"/>
              <w:rPr>
                <w:sz w:val="12"/>
                <w:szCs w:val="12"/>
              </w:rPr>
            </w:pPr>
            <w:r>
              <w:rPr>
                <w:sz w:val="12"/>
                <w:szCs w:val="12"/>
              </w:rPr>
              <w:t>.02</w:t>
            </w:r>
          </w:p>
          <w:p w:rsidR="0032543F" w:rsidRPr="00372E97" w:rsidRDefault="0032543F" w:rsidP="00697E66">
            <w:pPr>
              <w:ind w:left="113" w:right="113"/>
              <w:jc w:val="right"/>
              <w:rPr>
                <w:sz w:val="12"/>
                <w:szCs w:val="12"/>
              </w:rPr>
            </w:pPr>
            <w:r>
              <w:rPr>
                <w:sz w:val="12"/>
                <w:szCs w:val="12"/>
              </w:rPr>
              <w:t>.002</w:t>
            </w: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r w:rsidR="0032543F" w:rsidRPr="00F810C6" w:rsidTr="00697E66">
        <w:trPr>
          <w:trHeight w:val="1403"/>
        </w:trPr>
        <w:tc>
          <w:tcPr>
            <w:tcW w:w="306" w:type="dxa"/>
            <w:vMerge/>
            <w:tcBorders>
              <w:left w:val="nil"/>
              <w:bottom w:val="nil"/>
            </w:tcBorders>
            <w:textDirection w:val="btLr"/>
          </w:tcPr>
          <w:p w:rsidR="0032543F" w:rsidRPr="00F810C6" w:rsidRDefault="0032543F" w:rsidP="00697E66">
            <w:pPr>
              <w:ind w:left="113" w:right="113"/>
              <w:rPr>
                <w:rFonts w:asciiTheme="minorHAnsi" w:hAnsiTheme="minorHAnsi" w:cstheme="minorBidi"/>
                <w:sz w:val="14"/>
                <w:szCs w:val="14"/>
              </w:rPr>
            </w:pPr>
          </w:p>
        </w:tc>
        <w:tc>
          <w:tcPr>
            <w:tcW w:w="306" w:type="dxa"/>
            <w:tcBorders>
              <w:right w:val="nil"/>
            </w:tcBorders>
            <w:noWrap/>
            <w:textDirection w:val="btLr"/>
          </w:tcPr>
          <w:p w:rsidR="0032543F" w:rsidRPr="00F810C6" w:rsidRDefault="0032543F" w:rsidP="00697E66">
            <w:pPr>
              <w:ind w:left="113" w:right="113"/>
              <w:rPr>
                <w:rFonts w:asciiTheme="minorHAnsi" w:hAnsiTheme="minorHAnsi" w:cstheme="minorBidi"/>
                <w:sz w:val="14"/>
                <w:szCs w:val="14"/>
              </w:rPr>
            </w:pPr>
          </w:p>
        </w:tc>
        <w:tc>
          <w:tcPr>
            <w:tcW w:w="378" w:type="dxa"/>
            <w:tcBorders>
              <w:right w:val="nil"/>
            </w:tcBorders>
            <w:shd w:val="clear" w:color="auto" w:fill="FFFFFF" w:themeFill="background1"/>
            <w:textDirection w:val="btLr"/>
          </w:tcPr>
          <w:p w:rsidR="0032543F" w:rsidRPr="00A110A1" w:rsidRDefault="0032543F" w:rsidP="00697E66">
            <w:pPr>
              <w:ind w:left="113" w:right="113"/>
              <w:rPr>
                <w:sz w:val="14"/>
                <w:szCs w:val="14"/>
                <w:vertAlign w:val="superscript"/>
              </w:rPr>
            </w:pPr>
            <w:r>
              <w:rPr>
                <w:sz w:val="14"/>
                <w:szCs w:val="14"/>
              </w:rPr>
              <w:t>Inequality</w:t>
            </w:r>
          </w:p>
        </w:tc>
        <w:tc>
          <w:tcPr>
            <w:tcW w:w="450" w:type="dxa"/>
            <w:tcBorders>
              <w:left w:val="nil"/>
              <w:right w:val="nil"/>
            </w:tcBorders>
            <w:shd w:val="clear" w:color="auto" w:fill="E7E6E6" w:themeFill="background2"/>
            <w:noWrap/>
            <w:textDirection w:val="btLr"/>
          </w:tcPr>
          <w:p w:rsidR="0032543F" w:rsidRPr="00F810C6" w:rsidRDefault="0032543F" w:rsidP="00697E66">
            <w:pPr>
              <w:ind w:left="113" w:right="113"/>
              <w:rPr>
                <w:sz w:val="14"/>
                <w:szCs w:val="14"/>
              </w:rPr>
            </w:pPr>
            <w:r w:rsidRPr="00F810C6">
              <w:rPr>
                <w:sz w:val="14"/>
                <w:szCs w:val="14"/>
              </w:rPr>
              <w:t>GDPPC</w:t>
            </w:r>
            <w:r>
              <w:rPr>
                <w:sz w:val="14"/>
                <w:szCs w:val="14"/>
                <w:vertAlign w:val="superscript"/>
              </w:rPr>
              <w:t>a</w:t>
            </w:r>
          </w:p>
        </w:tc>
        <w:tc>
          <w:tcPr>
            <w:tcW w:w="450" w:type="dxa"/>
            <w:tcBorders>
              <w:left w:val="nil"/>
              <w:right w:val="nil"/>
            </w:tcBorders>
            <w:noWrap/>
            <w:textDirection w:val="btLr"/>
          </w:tcPr>
          <w:p w:rsidR="0032543F" w:rsidRPr="00F810C6" w:rsidRDefault="0032543F" w:rsidP="00697E66">
            <w:pPr>
              <w:ind w:left="113" w:right="113"/>
              <w:rPr>
                <w:sz w:val="14"/>
                <w:szCs w:val="14"/>
                <w:vertAlign w:val="superscript"/>
              </w:rPr>
            </w:pPr>
            <w:r w:rsidRPr="00E13EC7">
              <w:rPr>
                <w:noProof/>
                <w:sz w:val="14"/>
                <w:szCs w:val="14"/>
              </w:rPr>
              <w:t>Democracy</w:t>
            </w:r>
          </w:p>
        </w:tc>
        <w:tc>
          <w:tcPr>
            <w:tcW w:w="450" w:type="dxa"/>
            <w:tcBorders>
              <w:left w:val="nil"/>
              <w:right w:val="nil"/>
            </w:tcBorders>
            <w:shd w:val="clear" w:color="auto" w:fill="E7E6E6" w:themeFill="background2"/>
            <w:noWrap/>
            <w:textDirection w:val="btLr"/>
          </w:tcPr>
          <w:p w:rsidR="0032543F" w:rsidRPr="00F810C6" w:rsidRDefault="0032543F" w:rsidP="00697E66">
            <w:pPr>
              <w:ind w:left="113" w:right="113"/>
              <w:rPr>
                <w:sz w:val="14"/>
                <w:szCs w:val="14"/>
              </w:rPr>
            </w:pPr>
            <w:r w:rsidRPr="00F810C6">
              <w:rPr>
                <w:sz w:val="14"/>
                <w:szCs w:val="14"/>
              </w:rPr>
              <w:t xml:space="preserve">Age </w:t>
            </w:r>
            <w:r w:rsidRPr="00E13EC7">
              <w:rPr>
                <w:noProof/>
                <w:sz w:val="14"/>
                <w:szCs w:val="14"/>
              </w:rPr>
              <w:t>Cohort</w:t>
            </w:r>
          </w:p>
        </w:tc>
        <w:tc>
          <w:tcPr>
            <w:tcW w:w="450" w:type="dxa"/>
            <w:tcBorders>
              <w:left w:val="nil"/>
              <w:right w:val="nil"/>
            </w:tcBorders>
            <w:noWrap/>
            <w:textDirection w:val="btLr"/>
          </w:tcPr>
          <w:p w:rsidR="0032543F" w:rsidRPr="00F810C6" w:rsidRDefault="0032543F" w:rsidP="00697E66">
            <w:pPr>
              <w:ind w:left="113" w:right="113"/>
              <w:rPr>
                <w:sz w:val="14"/>
                <w:szCs w:val="14"/>
              </w:rPr>
            </w:pPr>
            <w:r w:rsidRPr="00F810C6">
              <w:rPr>
                <w:sz w:val="14"/>
                <w:szCs w:val="14"/>
              </w:rPr>
              <w:t>Urban</w:t>
            </w:r>
          </w:p>
        </w:tc>
        <w:tc>
          <w:tcPr>
            <w:tcW w:w="450" w:type="dxa"/>
            <w:tcBorders>
              <w:left w:val="nil"/>
              <w:right w:val="nil"/>
            </w:tcBorders>
            <w:shd w:val="clear" w:color="auto" w:fill="E7E6E6" w:themeFill="background2"/>
            <w:noWrap/>
            <w:textDirection w:val="btLr"/>
          </w:tcPr>
          <w:p w:rsidR="0032543F" w:rsidRPr="00F810C6" w:rsidRDefault="0032543F" w:rsidP="00697E66">
            <w:pPr>
              <w:ind w:left="113" w:right="113"/>
              <w:rPr>
                <w:sz w:val="14"/>
                <w:szCs w:val="14"/>
              </w:rPr>
            </w:pPr>
            <w:r w:rsidRPr="00F810C6">
              <w:rPr>
                <w:sz w:val="14"/>
                <w:szCs w:val="14"/>
              </w:rPr>
              <w:t xml:space="preserve">Physical </w:t>
            </w:r>
            <w:r w:rsidRPr="00E13EC7">
              <w:rPr>
                <w:noProof/>
                <w:sz w:val="14"/>
                <w:szCs w:val="14"/>
              </w:rPr>
              <w:t>Integrity</w:t>
            </w:r>
          </w:p>
        </w:tc>
        <w:tc>
          <w:tcPr>
            <w:tcW w:w="450" w:type="dxa"/>
            <w:tcBorders>
              <w:left w:val="nil"/>
              <w:right w:val="nil"/>
            </w:tcBorders>
            <w:noWrap/>
            <w:textDirection w:val="btLr"/>
          </w:tcPr>
          <w:p w:rsidR="0032543F" w:rsidRPr="00F810C6" w:rsidRDefault="0032543F" w:rsidP="00697E66">
            <w:pPr>
              <w:ind w:left="113" w:right="113"/>
              <w:rPr>
                <w:sz w:val="14"/>
                <w:szCs w:val="14"/>
                <w:vertAlign w:val="superscript"/>
              </w:rPr>
            </w:pPr>
            <w:r w:rsidRPr="00F810C6">
              <w:rPr>
                <w:sz w:val="14"/>
                <w:szCs w:val="14"/>
              </w:rPr>
              <w:t>Sec</w:t>
            </w:r>
            <w:r>
              <w:rPr>
                <w:sz w:val="14"/>
                <w:szCs w:val="14"/>
              </w:rPr>
              <w:t>ondary</w:t>
            </w:r>
            <w:r w:rsidRPr="00F810C6">
              <w:rPr>
                <w:sz w:val="14"/>
                <w:szCs w:val="14"/>
              </w:rPr>
              <w:t xml:space="preserve"> </w:t>
            </w:r>
            <w:r w:rsidRPr="00E13EC7">
              <w:rPr>
                <w:noProof/>
                <w:sz w:val="14"/>
                <w:szCs w:val="14"/>
              </w:rPr>
              <w:t>Education</w:t>
            </w:r>
          </w:p>
        </w:tc>
        <w:tc>
          <w:tcPr>
            <w:tcW w:w="450" w:type="dxa"/>
            <w:tcBorders>
              <w:left w:val="nil"/>
              <w:right w:val="nil"/>
            </w:tcBorders>
            <w:shd w:val="clear" w:color="auto" w:fill="E7E6E6" w:themeFill="background2"/>
            <w:noWrap/>
            <w:textDirection w:val="btLr"/>
          </w:tcPr>
          <w:p w:rsidR="0032543F" w:rsidRPr="00F810C6" w:rsidRDefault="0032543F" w:rsidP="00697E66">
            <w:pPr>
              <w:ind w:left="113" w:right="113"/>
              <w:rPr>
                <w:sz w:val="14"/>
                <w:szCs w:val="14"/>
              </w:rPr>
            </w:pPr>
            <w:r w:rsidRPr="00F810C6">
              <w:rPr>
                <w:sz w:val="14"/>
                <w:szCs w:val="14"/>
              </w:rPr>
              <w:t xml:space="preserve">Homicide </w:t>
            </w:r>
            <w:r w:rsidRPr="00525FCF">
              <w:rPr>
                <w:noProof/>
                <w:sz w:val="14"/>
                <w:szCs w:val="14"/>
              </w:rPr>
              <w:t>Rate</w:t>
            </w:r>
            <w:r w:rsidRPr="00525FCF">
              <w:rPr>
                <w:noProof/>
                <w:sz w:val="14"/>
                <w:szCs w:val="14"/>
                <w:vertAlign w:val="superscript"/>
              </w:rPr>
              <w:t>a</w:t>
            </w:r>
            <w:r>
              <w:rPr>
                <w:sz w:val="14"/>
                <w:szCs w:val="14"/>
                <w:vertAlign w:val="superscript"/>
              </w:rPr>
              <w:t>,</w:t>
            </w:r>
          </w:p>
        </w:tc>
        <w:tc>
          <w:tcPr>
            <w:tcW w:w="450" w:type="dxa"/>
            <w:tcBorders>
              <w:left w:val="nil"/>
              <w:right w:val="nil"/>
            </w:tcBorders>
            <w:textDirection w:val="btLr"/>
          </w:tcPr>
          <w:p w:rsidR="0032543F" w:rsidRPr="00866505" w:rsidRDefault="0032543F" w:rsidP="00697E66">
            <w:pPr>
              <w:ind w:left="113" w:right="113"/>
              <w:rPr>
                <w:sz w:val="14"/>
                <w:szCs w:val="14"/>
                <w:vertAlign w:val="superscript"/>
              </w:rPr>
            </w:pPr>
            <w:r>
              <w:rPr>
                <w:sz w:val="14"/>
                <w:szCs w:val="14"/>
              </w:rPr>
              <w:t xml:space="preserve">Drug Offense </w:t>
            </w:r>
            <w:r w:rsidRPr="00525FCF">
              <w:rPr>
                <w:noProof/>
                <w:sz w:val="14"/>
                <w:szCs w:val="14"/>
              </w:rPr>
              <w:t>Rates</w:t>
            </w:r>
            <w:r w:rsidRPr="00525FCF">
              <w:rPr>
                <w:noProof/>
                <w:sz w:val="14"/>
                <w:szCs w:val="14"/>
                <w:vertAlign w:val="superscript"/>
              </w:rPr>
              <w:t>a</w:t>
            </w:r>
          </w:p>
        </w:tc>
        <w:tc>
          <w:tcPr>
            <w:tcW w:w="450" w:type="dxa"/>
            <w:tcBorders>
              <w:left w:val="nil"/>
              <w:right w:val="nil"/>
            </w:tcBorders>
            <w:shd w:val="clear" w:color="auto" w:fill="E7E6E6" w:themeFill="background2"/>
            <w:textDirection w:val="btLr"/>
          </w:tcPr>
          <w:p w:rsidR="0032543F" w:rsidRPr="00A110A1" w:rsidRDefault="0032543F" w:rsidP="00697E66">
            <w:pPr>
              <w:ind w:left="113" w:right="113"/>
              <w:rPr>
                <w:sz w:val="14"/>
                <w:szCs w:val="14"/>
                <w:vertAlign w:val="superscript"/>
              </w:rPr>
            </w:pPr>
            <w:r>
              <w:rPr>
                <w:sz w:val="14"/>
                <w:szCs w:val="14"/>
              </w:rPr>
              <w:t>Percentage Male</w:t>
            </w:r>
          </w:p>
        </w:tc>
        <w:tc>
          <w:tcPr>
            <w:tcW w:w="450" w:type="dxa"/>
            <w:tcBorders>
              <w:left w:val="nil"/>
              <w:right w:val="nil"/>
            </w:tcBorders>
            <w:shd w:val="clear" w:color="auto" w:fill="FFFFFF" w:themeFill="background1"/>
            <w:noWrap/>
            <w:textDirection w:val="btLr"/>
          </w:tcPr>
          <w:p w:rsidR="0032543F" w:rsidRPr="00EA3315" w:rsidRDefault="0032543F" w:rsidP="00697E66">
            <w:pPr>
              <w:ind w:left="113" w:right="113"/>
              <w:rPr>
                <w:sz w:val="14"/>
                <w:szCs w:val="14"/>
                <w:vertAlign w:val="superscript"/>
              </w:rPr>
            </w:pPr>
            <w:r w:rsidRPr="00F810C6">
              <w:rPr>
                <w:sz w:val="14"/>
                <w:szCs w:val="14"/>
              </w:rPr>
              <w:t xml:space="preserve">Ethnic </w:t>
            </w:r>
            <w:r w:rsidRPr="00E13EC7">
              <w:rPr>
                <w:noProof/>
                <w:sz w:val="14"/>
                <w:szCs w:val="14"/>
              </w:rPr>
              <w:t>Fractionalization</w:t>
            </w:r>
          </w:p>
        </w:tc>
        <w:tc>
          <w:tcPr>
            <w:tcW w:w="450" w:type="dxa"/>
            <w:tcBorders>
              <w:left w:val="nil"/>
              <w:right w:val="nil"/>
            </w:tcBorders>
            <w:shd w:val="clear" w:color="auto" w:fill="E7E6E6" w:themeFill="background2"/>
            <w:textDirection w:val="btLr"/>
          </w:tcPr>
          <w:p w:rsidR="0032543F" w:rsidRPr="00F05BC7" w:rsidRDefault="0032543F" w:rsidP="00697E66">
            <w:pPr>
              <w:ind w:left="113" w:right="113"/>
              <w:rPr>
                <w:sz w:val="14"/>
                <w:szCs w:val="14"/>
              </w:rPr>
            </w:pPr>
            <w:r>
              <w:rPr>
                <w:sz w:val="14"/>
                <w:szCs w:val="14"/>
              </w:rPr>
              <w:t>East Asia &amp; the Pacific</w:t>
            </w:r>
          </w:p>
        </w:tc>
        <w:tc>
          <w:tcPr>
            <w:tcW w:w="450" w:type="dxa"/>
            <w:tcBorders>
              <w:left w:val="nil"/>
              <w:right w:val="nil"/>
            </w:tcBorders>
            <w:shd w:val="clear" w:color="auto" w:fill="FFFFFF" w:themeFill="background1"/>
            <w:textDirection w:val="btLr"/>
          </w:tcPr>
          <w:p w:rsidR="0032543F" w:rsidRPr="00F05BC7" w:rsidRDefault="0032543F" w:rsidP="00697E66">
            <w:pPr>
              <w:ind w:left="113" w:right="113"/>
              <w:rPr>
                <w:sz w:val="14"/>
                <w:szCs w:val="14"/>
              </w:rPr>
            </w:pPr>
            <w:r>
              <w:rPr>
                <w:sz w:val="14"/>
                <w:szCs w:val="14"/>
              </w:rPr>
              <w:t>Eastern Europe &amp; Central Asia</w:t>
            </w:r>
          </w:p>
        </w:tc>
        <w:tc>
          <w:tcPr>
            <w:tcW w:w="450" w:type="dxa"/>
            <w:tcBorders>
              <w:left w:val="nil"/>
              <w:right w:val="nil"/>
            </w:tcBorders>
            <w:shd w:val="clear" w:color="auto" w:fill="E7E6E6" w:themeFill="background2"/>
            <w:textDirection w:val="btLr"/>
          </w:tcPr>
          <w:p w:rsidR="0032543F" w:rsidRPr="00F05BC7" w:rsidRDefault="0032543F" w:rsidP="00697E66">
            <w:pPr>
              <w:ind w:left="113" w:right="113"/>
              <w:rPr>
                <w:sz w:val="14"/>
                <w:szCs w:val="14"/>
              </w:rPr>
            </w:pPr>
            <w:r>
              <w:rPr>
                <w:sz w:val="14"/>
                <w:szCs w:val="14"/>
              </w:rPr>
              <w:t>Latin America</w:t>
            </w:r>
          </w:p>
        </w:tc>
        <w:tc>
          <w:tcPr>
            <w:tcW w:w="450" w:type="dxa"/>
            <w:tcBorders>
              <w:left w:val="nil"/>
              <w:right w:val="nil"/>
            </w:tcBorders>
            <w:shd w:val="clear" w:color="auto" w:fill="FFFFFF" w:themeFill="background1"/>
            <w:textDirection w:val="btLr"/>
          </w:tcPr>
          <w:p w:rsidR="0032543F" w:rsidRPr="00F05BC7" w:rsidRDefault="0032543F" w:rsidP="00697E66">
            <w:pPr>
              <w:ind w:left="113" w:right="113"/>
              <w:rPr>
                <w:sz w:val="14"/>
                <w:szCs w:val="14"/>
              </w:rPr>
            </w:pPr>
            <w:r w:rsidRPr="00525FCF">
              <w:rPr>
                <w:noProof/>
                <w:sz w:val="14"/>
                <w:szCs w:val="14"/>
              </w:rPr>
              <w:t>Middle East</w:t>
            </w:r>
            <w:r>
              <w:rPr>
                <w:sz w:val="14"/>
                <w:szCs w:val="14"/>
              </w:rPr>
              <w:t xml:space="preserve"> &amp; North Africa</w:t>
            </w:r>
          </w:p>
        </w:tc>
        <w:tc>
          <w:tcPr>
            <w:tcW w:w="450" w:type="dxa"/>
            <w:tcBorders>
              <w:left w:val="nil"/>
            </w:tcBorders>
            <w:shd w:val="clear" w:color="auto" w:fill="E7E6E6" w:themeFill="background2"/>
            <w:textDirection w:val="btLr"/>
          </w:tcPr>
          <w:p w:rsidR="0032543F" w:rsidRPr="00F05BC7" w:rsidRDefault="0032543F" w:rsidP="00697E66">
            <w:pPr>
              <w:ind w:left="113" w:right="113"/>
              <w:rPr>
                <w:sz w:val="14"/>
                <w:szCs w:val="14"/>
              </w:rPr>
            </w:pPr>
            <w:r>
              <w:rPr>
                <w:sz w:val="14"/>
                <w:szCs w:val="14"/>
              </w:rPr>
              <w:t>Sub-Saharan Africa</w:t>
            </w:r>
          </w:p>
        </w:tc>
        <w:tc>
          <w:tcPr>
            <w:tcW w:w="540" w:type="dxa"/>
            <w:tcBorders>
              <w:top w:val="single" w:sz="4" w:space="0" w:color="auto"/>
            </w:tcBorders>
            <w:textDirection w:val="btLr"/>
          </w:tcPr>
          <w:p w:rsidR="0032543F" w:rsidRPr="00372E97" w:rsidRDefault="0032543F" w:rsidP="00697E66">
            <w:pPr>
              <w:ind w:left="113" w:right="113"/>
              <w:rPr>
                <w:sz w:val="12"/>
                <w:szCs w:val="12"/>
              </w:rPr>
            </w:pPr>
            <w:r w:rsidRPr="00372E97">
              <w:rPr>
                <w:i/>
                <w:sz w:val="12"/>
                <w:szCs w:val="12"/>
              </w:rPr>
              <w:t>R</w:t>
            </w:r>
            <w:r w:rsidRPr="00372E97">
              <w:rPr>
                <w:sz w:val="12"/>
                <w:szCs w:val="12"/>
                <w:vertAlign w:val="superscript"/>
              </w:rPr>
              <w:t>2</w:t>
            </w:r>
            <w:r w:rsidRPr="00372E97">
              <w:rPr>
                <w:sz w:val="12"/>
                <w:szCs w:val="12"/>
              </w:rPr>
              <w:t xml:space="preserve"> Overall</w:t>
            </w:r>
          </w:p>
          <w:p w:rsidR="0032543F" w:rsidRPr="00372E97" w:rsidRDefault="0032543F" w:rsidP="00697E66">
            <w:pPr>
              <w:ind w:left="113" w:right="113"/>
              <w:rPr>
                <w:sz w:val="12"/>
                <w:szCs w:val="12"/>
              </w:rPr>
            </w:pPr>
            <w:r w:rsidRPr="00525FCF">
              <w:rPr>
                <w:i/>
                <w:noProof/>
                <w:sz w:val="12"/>
                <w:szCs w:val="12"/>
              </w:rPr>
              <w:t>R</w:t>
            </w:r>
            <w:r w:rsidR="00525FCF" w:rsidRPr="00525FCF">
              <w:rPr>
                <w:i/>
                <w:noProof/>
                <w:sz w:val="12"/>
                <w:szCs w:val="12"/>
                <w:vertAlign w:val="superscript"/>
              </w:rPr>
              <w:t>2</w:t>
            </w:r>
            <w:r w:rsidRPr="00372E97">
              <w:rPr>
                <w:i/>
                <w:sz w:val="12"/>
                <w:szCs w:val="12"/>
                <w:vertAlign w:val="superscript"/>
              </w:rPr>
              <w:t xml:space="preserve"> </w:t>
            </w:r>
            <w:r w:rsidRPr="00372E97">
              <w:rPr>
                <w:sz w:val="12"/>
                <w:szCs w:val="12"/>
              </w:rPr>
              <w:t xml:space="preserve"> Within</w:t>
            </w:r>
          </w:p>
          <w:p w:rsidR="0032543F" w:rsidRPr="00372E97" w:rsidRDefault="0032543F" w:rsidP="00697E66">
            <w:pPr>
              <w:ind w:left="113" w:right="113"/>
              <w:rPr>
                <w:sz w:val="12"/>
                <w:szCs w:val="12"/>
              </w:rPr>
            </w:pPr>
            <w:r w:rsidRPr="00525FCF">
              <w:rPr>
                <w:i/>
                <w:noProof/>
                <w:sz w:val="12"/>
                <w:szCs w:val="12"/>
              </w:rPr>
              <w:t>R</w:t>
            </w:r>
            <w:r w:rsidR="00525FCF" w:rsidRPr="00525FCF">
              <w:rPr>
                <w:i/>
                <w:noProof/>
                <w:sz w:val="12"/>
                <w:szCs w:val="12"/>
                <w:vertAlign w:val="superscript"/>
              </w:rPr>
              <w:t>2</w:t>
            </w:r>
            <w:r w:rsidRPr="00372E97">
              <w:rPr>
                <w:sz w:val="12"/>
                <w:szCs w:val="12"/>
              </w:rPr>
              <w:t xml:space="preserve"> Between</w:t>
            </w:r>
          </w:p>
          <w:p w:rsidR="0032543F" w:rsidRPr="00372E97" w:rsidRDefault="0032543F" w:rsidP="00697E66">
            <w:pPr>
              <w:ind w:left="113" w:right="113"/>
              <w:rPr>
                <w:sz w:val="12"/>
                <w:szCs w:val="12"/>
              </w:rPr>
            </w:pPr>
          </w:p>
        </w:tc>
        <w:tc>
          <w:tcPr>
            <w:tcW w:w="3408" w:type="dxa"/>
            <w:vMerge/>
            <w:tcBorders>
              <w:top w:val="nil"/>
              <w:bottom w:val="nil"/>
              <w:right w:val="nil"/>
            </w:tcBorders>
            <w:textDirection w:val="btLr"/>
          </w:tcPr>
          <w:p w:rsidR="0032543F" w:rsidRPr="00F810C6" w:rsidRDefault="0032543F" w:rsidP="00697E66">
            <w:pPr>
              <w:ind w:left="113" w:right="113"/>
              <w:rPr>
                <w:rFonts w:asciiTheme="minorHAnsi" w:hAnsiTheme="minorHAnsi" w:cstheme="minorBidi"/>
                <w:sz w:val="14"/>
                <w:szCs w:val="14"/>
              </w:rPr>
            </w:pPr>
          </w:p>
        </w:tc>
      </w:tr>
    </w:tbl>
    <w:p w:rsidR="00057B53" w:rsidRDefault="007F2FCC" w:rsidP="00057B53">
      <w:pPr>
        <w:spacing w:line="480" w:lineRule="auto"/>
        <w:ind w:firstLine="720"/>
        <w:contextualSpacing/>
      </w:pPr>
      <w:r>
        <w:lastRenderedPageBreak/>
        <w:t>The us</w:t>
      </w:r>
      <w:r w:rsidR="0032543F">
        <w:t>e of this global model over a 15</w:t>
      </w:r>
      <w:r>
        <w:t xml:space="preserve">-year period provides additional insight into the influence of inequality on incarceration rates. </w:t>
      </w:r>
      <w:r w:rsidR="0032543F">
        <w:t xml:space="preserve">The fixed-effects model </w:t>
      </w:r>
      <w:r w:rsidR="00412AD2">
        <w:t>demonstrates w</w:t>
      </w:r>
      <w:r>
        <w:t xml:space="preserve">hile inequality is related to incarceration rates in some ways and to some degree, </w:t>
      </w:r>
      <w:r w:rsidR="00EA3315">
        <w:t xml:space="preserve">as </w:t>
      </w:r>
      <w:r w:rsidR="00EA3315" w:rsidRPr="00932671">
        <w:rPr>
          <w:noProof/>
        </w:rPr>
        <w:t>demonstrated</w:t>
      </w:r>
      <w:r w:rsidR="00EA3315">
        <w:t xml:space="preserve"> by others and confirm</w:t>
      </w:r>
      <w:r w:rsidR="00A61BE5">
        <w:t>ed in this study.</w:t>
      </w:r>
      <w:r w:rsidR="00EA3315">
        <w:t xml:space="preserve"> </w:t>
      </w:r>
      <w:r w:rsidR="00A61BE5">
        <w:t xml:space="preserve">However, </w:t>
      </w:r>
      <w:r>
        <w:t xml:space="preserve">the strength of the relationship diminishes when additional factors </w:t>
      </w:r>
      <w:r w:rsidRPr="00932671">
        <w:rPr>
          <w:noProof/>
        </w:rPr>
        <w:t>are taken</w:t>
      </w:r>
      <w:r>
        <w:t xml:space="preserve"> into consideration. For example, </w:t>
      </w:r>
      <w:r w:rsidR="005831F5">
        <w:t xml:space="preserve">inequality no longer produces a significant coefficient when </w:t>
      </w:r>
      <w:r w:rsidR="005831F5" w:rsidRPr="00932671">
        <w:rPr>
          <w:noProof/>
        </w:rPr>
        <w:t>I</w:t>
      </w:r>
      <w:r w:rsidR="005831F5">
        <w:t xml:space="preserve"> control for </w:t>
      </w:r>
      <w:r>
        <w:t>countries’ wealth</w:t>
      </w:r>
      <w:r w:rsidR="005831F5">
        <w:t>.</w:t>
      </w:r>
      <w:r>
        <w:t xml:space="preserve"> </w:t>
      </w:r>
      <w:r w:rsidR="005831F5">
        <w:t>Controlling for d</w:t>
      </w:r>
      <w:r>
        <w:t>ifferences in the age demographic</w:t>
      </w:r>
      <w:r w:rsidR="0032543F">
        <w:t xml:space="preserve"> and level of urbanization</w:t>
      </w:r>
      <w:r>
        <w:t xml:space="preserve"> also </w:t>
      </w:r>
      <w:r w:rsidR="005831F5">
        <w:t>cause inequality to lose significance in the model</w:t>
      </w:r>
      <w:r w:rsidR="0032543F">
        <w:t>s</w:t>
      </w:r>
      <w:r w:rsidR="005831F5">
        <w:t>.</w:t>
      </w:r>
      <w:r>
        <w:t xml:space="preserve"> In the</w:t>
      </w:r>
      <w:r w:rsidR="00A61BE5">
        <w:t xml:space="preserve"> full model, income inequality </w:t>
      </w:r>
      <w:r>
        <w:t xml:space="preserve">is not statistically significant. This study provides additional information regarding some of the factors within countries that provide </w:t>
      </w:r>
      <w:r w:rsidRPr="00932671">
        <w:rPr>
          <w:noProof/>
        </w:rPr>
        <w:t>significant</w:t>
      </w:r>
      <w:r>
        <w:t xml:space="preserve"> influence on incarceration rates in addition to and perhaps in lieu of inequality.</w:t>
      </w:r>
      <w:r w:rsidR="00067ABA">
        <w:t xml:space="preserve"> The full</w:t>
      </w:r>
      <w:r w:rsidR="0032543F">
        <w:t xml:space="preserve"> model explains approximately 88</w:t>
      </w:r>
      <w:r w:rsidR="00067ABA">
        <w:t xml:space="preserve"> percent of the variation in incarceration rates</w:t>
      </w:r>
      <w:r w:rsidR="0032543F">
        <w:t xml:space="preserve"> within countries</w:t>
      </w:r>
      <w:r w:rsidR="0053363F">
        <w:t>.</w:t>
      </w:r>
      <w:r w:rsidR="00057B53">
        <w:t xml:space="preserve"> </w:t>
      </w:r>
      <w:r w:rsidR="00057B53" w:rsidRPr="00932671">
        <w:rPr>
          <w:noProof/>
        </w:rPr>
        <w:t>The random effects models provide less explanatory power.</w:t>
      </w:r>
      <w:r w:rsidR="00057B53">
        <w:t xml:space="preserve"> </w:t>
      </w:r>
    </w:p>
    <w:p w:rsidR="00D43EA6" w:rsidRPr="00067ABA" w:rsidRDefault="00B50716" w:rsidP="00BB5750">
      <w:pPr>
        <w:spacing w:line="480" w:lineRule="auto"/>
        <w:ind w:firstLine="720"/>
        <w:contextualSpacing/>
        <w:rPr>
          <w:i/>
        </w:rPr>
      </w:pPr>
      <w:r>
        <w:t xml:space="preserve">These results support </w:t>
      </w:r>
      <w:r w:rsidR="00D43EA6">
        <w:t xml:space="preserve">Hypothesis </w:t>
      </w:r>
      <w:r w:rsidR="0032543F" w:rsidRPr="00932671">
        <w:rPr>
          <w:noProof/>
        </w:rPr>
        <w:t>Two</w:t>
      </w:r>
      <w:r w:rsidR="00D43EA6" w:rsidRPr="00932671">
        <w:rPr>
          <w:noProof/>
        </w:rPr>
        <w:t>,</w:t>
      </w:r>
      <w:r w:rsidR="00516631" w:rsidRPr="00932671">
        <w:rPr>
          <w:noProof/>
        </w:rPr>
        <w:t xml:space="preserve"> </w:t>
      </w:r>
      <w:r w:rsidR="00A63DE0">
        <w:rPr>
          <w:noProof/>
        </w:rPr>
        <w:t>the positive relationship between inequality and incarceration rates is confirmed,</w:t>
      </w:r>
      <w:r w:rsidR="00057B53">
        <w:t xml:space="preserve"> but only</w:t>
      </w:r>
      <w:r>
        <w:t xml:space="preserve"> in part. A</w:t>
      </w:r>
      <w:r w:rsidR="00D43EA6">
        <w:t xml:space="preserve">s noted above, the impact </w:t>
      </w:r>
      <w:r>
        <w:t xml:space="preserve">of inequality </w:t>
      </w:r>
      <w:r w:rsidR="00D43EA6">
        <w:t xml:space="preserve">is attenuated </w:t>
      </w:r>
      <w:r>
        <w:t xml:space="preserve">when additional </w:t>
      </w:r>
      <w:r w:rsidR="00D43EA6">
        <w:t xml:space="preserve">societal components are held constant. </w:t>
      </w:r>
    </w:p>
    <w:p w:rsidR="0032543F" w:rsidRDefault="0032543F" w:rsidP="00BB5750">
      <w:pPr>
        <w:spacing w:line="480" w:lineRule="auto"/>
        <w:ind w:firstLine="720"/>
        <w:contextualSpacing/>
      </w:pPr>
    </w:p>
    <w:p w:rsidR="0032543F" w:rsidRDefault="0032543F" w:rsidP="00BB5750">
      <w:pPr>
        <w:spacing w:line="480" w:lineRule="auto"/>
        <w:ind w:firstLine="720"/>
        <w:contextualSpacing/>
      </w:pPr>
    </w:p>
    <w:p w:rsidR="0032543F" w:rsidRDefault="0032543F" w:rsidP="00BB5750">
      <w:pPr>
        <w:spacing w:line="480" w:lineRule="auto"/>
        <w:ind w:firstLine="720"/>
        <w:contextualSpacing/>
      </w:pPr>
    </w:p>
    <w:p w:rsidR="0032543F" w:rsidRDefault="0032543F" w:rsidP="00BB5750">
      <w:pPr>
        <w:spacing w:line="480" w:lineRule="auto"/>
        <w:ind w:firstLine="720"/>
        <w:contextualSpacing/>
      </w:pPr>
    </w:p>
    <w:p w:rsidR="0032543F" w:rsidRDefault="0032543F" w:rsidP="00BB5750">
      <w:pPr>
        <w:spacing w:line="480" w:lineRule="auto"/>
        <w:ind w:firstLine="720"/>
        <w:contextualSpacing/>
      </w:pPr>
    </w:p>
    <w:p w:rsidR="00A47A45" w:rsidRDefault="00A47A45" w:rsidP="000B44F9">
      <w:pPr>
        <w:spacing w:line="240" w:lineRule="auto"/>
        <w:contextualSpacing/>
      </w:pPr>
    </w:p>
    <w:p w:rsidR="00A47A45" w:rsidRDefault="00A47A45" w:rsidP="000B44F9">
      <w:pPr>
        <w:spacing w:line="240" w:lineRule="auto"/>
        <w:contextualSpacing/>
      </w:pPr>
    </w:p>
    <w:p w:rsidR="001C0318" w:rsidRDefault="00A23987" w:rsidP="00681110">
      <w:pPr>
        <w:spacing w:line="480" w:lineRule="auto"/>
        <w:contextualSpacing/>
      </w:pPr>
      <w:r>
        <w:lastRenderedPageBreak/>
        <w:t>CHAPTER 6.</w:t>
      </w:r>
      <w:r w:rsidR="00681110">
        <w:t xml:space="preserve"> CONCLUSION</w:t>
      </w:r>
    </w:p>
    <w:p w:rsidR="00E90606" w:rsidRDefault="00E90606" w:rsidP="00E90606">
      <w:pPr>
        <w:spacing w:line="480" w:lineRule="auto"/>
        <w:contextualSpacing/>
      </w:pPr>
      <w:r>
        <w:t xml:space="preserve">Rates of </w:t>
      </w:r>
      <w:r w:rsidRPr="007310A2">
        <w:rPr>
          <w:noProof/>
        </w:rPr>
        <w:t>i</w:t>
      </w:r>
      <w:r>
        <w:rPr>
          <w:noProof/>
        </w:rPr>
        <w:t>ncarceration</w:t>
      </w:r>
      <w:r>
        <w:t xml:space="preserve"> vary </w:t>
      </w:r>
      <w:r w:rsidRPr="007310A2">
        <w:rPr>
          <w:noProof/>
        </w:rPr>
        <w:t>a</w:t>
      </w:r>
      <w:r>
        <w:rPr>
          <w:noProof/>
        </w:rPr>
        <w:t>round</w:t>
      </w:r>
      <w:r>
        <w:t xml:space="preserve"> the world. Researchers have examined the links between various societal factors and incarceration rates and have come to </w:t>
      </w:r>
      <w:r w:rsidR="006F0D5D">
        <w:rPr>
          <w:noProof/>
        </w:rPr>
        <w:t>different</w:t>
      </w:r>
      <w:r>
        <w:t xml:space="preserve"> conclusions. While so</w:t>
      </w:r>
      <w:r w:rsidR="00A63DE0">
        <w:t xml:space="preserve">me scholars find a positive </w:t>
      </w:r>
      <w:r>
        <w:t xml:space="preserve">correlation between inequality and incarceration rates, others do not. In this study, </w:t>
      </w:r>
      <w:r w:rsidRPr="006F0D5D">
        <w:rPr>
          <w:noProof/>
        </w:rPr>
        <w:t>I</w:t>
      </w:r>
      <w:r>
        <w:t xml:space="preserve"> examine the impact of </w:t>
      </w:r>
      <w:r w:rsidR="00525FCF" w:rsidRPr="00525FCF">
        <w:rPr>
          <w:noProof/>
        </w:rPr>
        <w:t xml:space="preserve">income </w:t>
      </w:r>
      <w:r w:rsidRPr="00525FCF">
        <w:rPr>
          <w:noProof/>
        </w:rPr>
        <w:t>inequality</w:t>
      </w:r>
      <w:r>
        <w:t xml:space="preserve"> on incarceration rates</w:t>
      </w:r>
      <w:r w:rsidR="00932671">
        <w:t xml:space="preserve"> for 77</w:t>
      </w:r>
      <w:r>
        <w:t xml:space="preserve"> countries over the past </w:t>
      </w:r>
      <w:r w:rsidR="00932671">
        <w:t xml:space="preserve">15 years </w:t>
      </w:r>
      <w:r>
        <w:t xml:space="preserve">and provide evidence of factors mitigating the influence of </w:t>
      </w:r>
      <w:r w:rsidRPr="00525FCF">
        <w:rPr>
          <w:noProof/>
        </w:rPr>
        <w:t>inequality</w:t>
      </w:r>
      <w:r>
        <w:t xml:space="preserve">. </w:t>
      </w:r>
      <w:r w:rsidR="006F0D5D" w:rsidRPr="006F0D5D">
        <w:t xml:space="preserve">In this study, </w:t>
      </w:r>
      <w:r w:rsidR="006F0D5D" w:rsidRPr="006F0D5D">
        <w:rPr>
          <w:noProof/>
        </w:rPr>
        <w:t>I</w:t>
      </w:r>
      <w:r w:rsidR="006F0D5D" w:rsidRPr="006F0D5D">
        <w:t xml:space="preserve"> provide additional insight using panel data for a broad cross-section of countries from 1994 through 2008. Using longitudinal data with an autocorrelation correction shows the relative influence of each of the principal independent variables under consideration, along with the attenuating influences of various control variables. </w:t>
      </w:r>
    </w:p>
    <w:p w:rsidR="00E90606" w:rsidRDefault="00E90606" w:rsidP="00E90606">
      <w:pPr>
        <w:spacing w:line="480" w:lineRule="auto"/>
        <w:contextualSpacing/>
        <w:rPr>
          <w:noProof/>
        </w:rPr>
      </w:pPr>
      <w:r>
        <w:tab/>
      </w:r>
      <w:r w:rsidRPr="006F0D5D">
        <w:rPr>
          <w:noProof/>
        </w:rPr>
        <w:t>I</w:t>
      </w:r>
      <w:r>
        <w:t xml:space="preserve"> confirm the</w:t>
      </w:r>
      <w:r w:rsidR="00932671">
        <w:t xml:space="preserve"> positive </w:t>
      </w:r>
      <w:r>
        <w:t xml:space="preserve">relationship </w:t>
      </w:r>
      <w:r w:rsidR="00932671">
        <w:rPr>
          <w:noProof/>
        </w:rPr>
        <w:t>between</w:t>
      </w:r>
      <w:r>
        <w:rPr>
          <w:noProof/>
        </w:rPr>
        <w:t xml:space="preserve"> </w:t>
      </w:r>
      <w:r w:rsidRPr="007310A2">
        <w:rPr>
          <w:noProof/>
        </w:rPr>
        <w:t>inequality</w:t>
      </w:r>
      <w:r w:rsidR="00932671">
        <w:t xml:space="preserve"> and </w:t>
      </w:r>
      <w:r>
        <w:t xml:space="preserve">incarceration </w:t>
      </w:r>
      <w:r w:rsidRPr="00932671">
        <w:rPr>
          <w:noProof/>
        </w:rPr>
        <w:t>rates</w:t>
      </w:r>
      <w:r>
        <w:t xml:space="preserve"> but qualify the finding by noting </w:t>
      </w:r>
      <w:r w:rsidRPr="007310A2">
        <w:rPr>
          <w:noProof/>
        </w:rPr>
        <w:t xml:space="preserve">the </w:t>
      </w:r>
      <w:r w:rsidRPr="00525FCF">
        <w:rPr>
          <w:noProof/>
        </w:rPr>
        <w:t>influence</w:t>
      </w:r>
      <w:r>
        <w:rPr>
          <w:noProof/>
        </w:rPr>
        <w:t xml:space="preserve"> of countries’ wealth, </w:t>
      </w:r>
      <w:r w:rsidR="00563480">
        <w:rPr>
          <w:noProof/>
        </w:rPr>
        <w:t xml:space="preserve">the </w:t>
      </w:r>
      <w:r>
        <w:rPr>
          <w:noProof/>
        </w:rPr>
        <w:t xml:space="preserve">percentage of population ages 15-64,  </w:t>
      </w:r>
      <w:r w:rsidR="00A63DE0">
        <w:rPr>
          <w:noProof/>
        </w:rPr>
        <w:t xml:space="preserve">percent of the population residing in urban areas, and percent </w:t>
      </w:r>
      <w:r w:rsidR="00A63DE0" w:rsidRPr="006F0D5D">
        <w:rPr>
          <w:noProof/>
        </w:rPr>
        <w:t>male</w:t>
      </w:r>
      <w:r>
        <w:rPr>
          <w:noProof/>
        </w:rPr>
        <w:t xml:space="preserve"> on the relationship in fixed-effects models. </w:t>
      </w:r>
      <w:r w:rsidR="00563480">
        <w:rPr>
          <w:noProof/>
        </w:rPr>
        <w:t xml:space="preserve">Although inequality is no longer significant, </w:t>
      </w:r>
      <w:r w:rsidR="00A63DE0">
        <w:rPr>
          <w:noProof/>
        </w:rPr>
        <w:t>drug offense</w:t>
      </w:r>
      <w:r>
        <w:rPr>
          <w:noProof/>
        </w:rPr>
        <w:t xml:space="preserve"> rates are </w:t>
      </w:r>
      <w:r w:rsidRPr="006F0D5D">
        <w:rPr>
          <w:noProof/>
        </w:rPr>
        <w:t>significant</w:t>
      </w:r>
      <w:r>
        <w:rPr>
          <w:noProof/>
        </w:rPr>
        <w:t xml:space="preserve"> in the full model and approach significance when </w:t>
      </w:r>
      <w:r w:rsidR="006F0D5D" w:rsidRPr="006F0D5D">
        <w:rPr>
          <w:noProof/>
        </w:rPr>
        <w:t>I</w:t>
      </w:r>
      <w:r w:rsidR="006F0D5D">
        <w:rPr>
          <w:noProof/>
        </w:rPr>
        <w:t xml:space="preserve"> include </w:t>
      </w:r>
      <w:r w:rsidRPr="006F0D5D">
        <w:rPr>
          <w:noProof/>
        </w:rPr>
        <w:t>regional</w:t>
      </w:r>
      <w:r>
        <w:rPr>
          <w:noProof/>
        </w:rPr>
        <w:t xml:space="preserve"> controls</w:t>
      </w:r>
      <w:r w:rsidR="006F0D5D">
        <w:rPr>
          <w:noProof/>
        </w:rPr>
        <w:t xml:space="preserve">. Countries with higher percentages of their populations between the ages of 15 and 64, with greater urbanization, and higher </w:t>
      </w:r>
      <w:r w:rsidR="006F0D5D" w:rsidRPr="006F0D5D">
        <w:rPr>
          <w:noProof/>
        </w:rPr>
        <w:t>dru</w:t>
      </w:r>
      <w:r w:rsidR="006F0D5D">
        <w:rPr>
          <w:noProof/>
        </w:rPr>
        <w:t xml:space="preserve">g offense rates tend to have higher incarceration rates. </w:t>
      </w:r>
      <w:r w:rsidR="00E92D6D">
        <w:rPr>
          <w:noProof/>
        </w:rPr>
        <w:t xml:space="preserve">The other significant result in the full models is the negative and significant coefficient for country wealth, indicating at increased levels of wealth, incarceration rates decrease. </w:t>
      </w:r>
    </w:p>
    <w:p w:rsidR="00E90606" w:rsidRDefault="00E90606" w:rsidP="00E90606">
      <w:pPr>
        <w:spacing w:line="480" w:lineRule="auto"/>
        <w:contextualSpacing/>
      </w:pPr>
      <w:r>
        <w:rPr>
          <w:noProof/>
        </w:rPr>
        <w:tab/>
        <w:t xml:space="preserve">When </w:t>
      </w:r>
      <w:r w:rsidRPr="006F0D5D">
        <w:rPr>
          <w:noProof/>
        </w:rPr>
        <w:t>I</w:t>
      </w:r>
      <w:r>
        <w:rPr>
          <w:noProof/>
        </w:rPr>
        <w:t xml:space="preserve"> conduct random effects analysis using similar models for </w:t>
      </w:r>
      <w:r w:rsidRPr="00525FCF">
        <w:rPr>
          <w:noProof/>
        </w:rPr>
        <w:t xml:space="preserve">fixed-effects regression, </w:t>
      </w:r>
      <w:r w:rsidRPr="006F0D5D">
        <w:rPr>
          <w:noProof/>
        </w:rPr>
        <w:t>I</w:t>
      </w:r>
      <w:r w:rsidRPr="00525FCF">
        <w:rPr>
          <w:noProof/>
        </w:rPr>
        <w:t xml:space="preserve"> find no significant relationship between</w:t>
      </w:r>
      <w:r>
        <w:rPr>
          <w:noProof/>
        </w:rPr>
        <w:t xml:space="preserve"> inequality and incarceration rates</w:t>
      </w:r>
      <w:r w:rsidR="00A63DE0">
        <w:rPr>
          <w:noProof/>
        </w:rPr>
        <w:t xml:space="preserve">. </w:t>
      </w:r>
      <w:r>
        <w:rPr>
          <w:noProof/>
        </w:rPr>
        <w:lastRenderedPageBreak/>
        <w:t xml:space="preserve">While several variables produce </w:t>
      </w:r>
      <w:r w:rsidRPr="006F0D5D">
        <w:rPr>
          <w:noProof/>
        </w:rPr>
        <w:t>significant</w:t>
      </w:r>
      <w:r>
        <w:rPr>
          <w:noProof/>
        </w:rPr>
        <w:t xml:space="preserve"> results in preliminary models, when </w:t>
      </w:r>
      <w:r w:rsidRPr="00932671">
        <w:rPr>
          <w:noProof/>
        </w:rPr>
        <w:t>examined</w:t>
      </w:r>
      <w:r>
        <w:rPr>
          <w:noProof/>
        </w:rPr>
        <w:t xml:space="preserve"> in the full model with </w:t>
      </w:r>
      <w:r w:rsidRPr="00932671">
        <w:rPr>
          <w:noProof/>
        </w:rPr>
        <w:t>regional</w:t>
      </w:r>
      <w:r w:rsidR="00A63DE0">
        <w:rPr>
          <w:noProof/>
        </w:rPr>
        <w:t xml:space="preserve"> controls country wealth is negative and </w:t>
      </w:r>
      <w:r w:rsidR="00A63DE0" w:rsidRPr="006F0D5D">
        <w:rPr>
          <w:noProof/>
        </w:rPr>
        <w:t>significant</w:t>
      </w:r>
      <w:r w:rsidR="00A63DE0">
        <w:rPr>
          <w:noProof/>
        </w:rPr>
        <w:t>, while</w:t>
      </w:r>
      <w:r w:rsidR="006F0D5D">
        <w:rPr>
          <w:noProof/>
        </w:rPr>
        <w:t xml:space="preserve"> the</w:t>
      </w:r>
      <w:r w:rsidR="00A63DE0">
        <w:rPr>
          <w:noProof/>
        </w:rPr>
        <w:t xml:space="preserve"> </w:t>
      </w:r>
      <w:r w:rsidR="00A63DE0" w:rsidRPr="006F0D5D">
        <w:rPr>
          <w:noProof/>
        </w:rPr>
        <w:t>level</w:t>
      </w:r>
      <w:r w:rsidR="00A63DE0">
        <w:rPr>
          <w:noProof/>
        </w:rPr>
        <w:t xml:space="preserve"> of democracy,</w:t>
      </w:r>
      <w:r w:rsidR="006F0D5D">
        <w:rPr>
          <w:noProof/>
        </w:rPr>
        <w:t xml:space="preserve"> the</w:t>
      </w:r>
      <w:r w:rsidR="00A63DE0">
        <w:rPr>
          <w:noProof/>
        </w:rPr>
        <w:t xml:space="preserve"> </w:t>
      </w:r>
      <w:r w:rsidRPr="006F0D5D">
        <w:rPr>
          <w:noProof/>
        </w:rPr>
        <w:t>percentage</w:t>
      </w:r>
      <w:r>
        <w:rPr>
          <w:noProof/>
        </w:rPr>
        <w:t xml:space="preserve"> of the population between ages 15-64, the </w:t>
      </w:r>
      <w:r w:rsidRPr="006F0D5D">
        <w:rPr>
          <w:noProof/>
        </w:rPr>
        <w:t>percentage</w:t>
      </w:r>
      <w:r>
        <w:rPr>
          <w:noProof/>
        </w:rPr>
        <w:t xml:space="preserve"> of the population residing in urban areas, and homicide rates all produce </w:t>
      </w:r>
      <w:r w:rsidRPr="006F0D5D">
        <w:rPr>
          <w:noProof/>
        </w:rPr>
        <w:t>positive significant</w:t>
      </w:r>
      <w:r>
        <w:rPr>
          <w:noProof/>
        </w:rPr>
        <w:t xml:space="preserve"> results. Regionally, all regions except East Asia and the Pacific </w:t>
      </w:r>
      <w:r w:rsidR="00A63DE0">
        <w:rPr>
          <w:noProof/>
        </w:rPr>
        <w:t xml:space="preserve">and Latin America </w:t>
      </w:r>
      <w:r w:rsidRPr="00525FCF">
        <w:rPr>
          <w:noProof/>
        </w:rPr>
        <w:t>produce</w:t>
      </w:r>
      <w:r>
        <w:rPr>
          <w:noProof/>
        </w:rPr>
        <w:t xml:space="preserve"> </w:t>
      </w:r>
      <w:r w:rsidR="006F0D5D">
        <w:rPr>
          <w:noProof/>
        </w:rPr>
        <w:t>significant positive</w:t>
      </w:r>
      <w:r>
        <w:rPr>
          <w:noProof/>
        </w:rPr>
        <w:t xml:space="preserve"> results, indicating incarceration rates are higher in those regions than in the West. </w:t>
      </w:r>
      <w:r>
        <w:rPr>
          <w:noProof/>
        </w:rPr>
        <w:tab/>
      </w:r>
    </w:p>
    <w:p w:rsidR="00E90606" w:rsidRDefault="00E90606" w:rsidP="00E90606">
      <w:pPr>
        <w:spacing w:line="480" w:lineRule="auto"/>
        <w:contextualSpacing/>
      </w:pPr>
      <w:r>
        <w:tab/>
        <w:t xml:space="preserve">Increased inequality is one of the correlates of increased incarceration. Other cultural components of societal structure also impact incarceration rates. At the same time, the </w:t>
      </w:r>
      <w:r w:rsidRPr="00B50716">
        <w:rPr>
          <w:noProof/>
        </w:rPr>
        <w:t>i</w:t>
      </w:r>
      <w:r>
        <w:rPr>
          <w:noProof/>
        </w:rPr>
        <w:t>nfluence</w:t>
      </w:r>
      <w:r>
        <w:t xml:space="preserve"> of inequality is attenuated by other layers of </w:t>
      </w:r>
      <w:r w:rsidRPr="006F0D5D">
        <w:rPr>
          <w:noProof/>
        </w:rPr>
        <w:t>cultural</w:t>
      </w:r>
      <w:r>
        <w:t xml:space="preserve"> structure. </w:t>
      </w:r>
      <w:r w:rsidRPr="006F0D5D">
        <w:rPr>
          <w:noProof/>
        </w:rPr>
        <w:t>My</w:t>
      </w:r>
      <w:r>
        <w:t xml:space="preserve"> results support, with qualifications, </w:t>
      </w:r>
      <w:r w:rsidRPr="006F0D5D">
        <w:rPr>
          <w:noProof/>
        </w:rPr>
        <w:t>my</w:t>
      </w:r>
      <w:r>
        <w:t xml:space="preserve"> hypothesis: increased inequality </w:t>
      </w:r>
      <w:r w:rsidRPr="006F0D5D">
        <w:rPr>
          <w:noProof/>
        </w:rPr>
        <w:t>is associated</w:t>
      </w:r>
      <w:r>
        <w:t xml:space="preserve"> with increased incarceration. </w:t>
      </w:r>
      <w:r w:rsidRPr="006F0D5D">
        <w:rPr>
          <w:noProof/>
        </w:rPr>
        <w:t>These findings also confirm previous findings by Killias (1986), Wilkins and Pease (1987), Krus and Hoehl (1994), Wilkinson and Pickett (2007), Lappi-Seppälä (2008), Van Kesteren (2009), DeMichele (2010), Lappi-Seppälä (2010), Mille</w:t>
      </w:r>
      <w:r w:rsidR="00563480" w:rsidRPr="006F0D5D">
        <w:rPr>
          <w:noProof/>
        </w:rPr>
        <w:t xml:space="preserve">r (2011), and Healy et al. </w:t>
      </w:r>
      <w:r w:rsidRPr="006F0D5D">
        <w:rPr>
          <w:noProof/>
        </w:rPr>
        <w:t>(2013) that increased inequality is related to increased incarceration rates.</w:t>
      </w:r>
      <w:r>
        <w:t xml:space="preserve"> However, as noted, when </w:t>
      </w:r>
      <w:r w:rsidRPr="006F0D5D">
        <w:rPr>
          <w:noProof/>
        </w:rPr>
        <w:t>I</w:t>
      </w:r>
      <w:r>
        <w:t xml:space="preserve"> control for country wealth, the </w:t>
      </w:r>
      <w:r w:rsidRPr="00E90606">
        <w:rPr>
          <w:noProof/>
        </w:rPr>
        <w:t>level</w:t>
      </w:r>
      <w:r>
        <w:t xml:space="preserve"> of democracy, the </w:t>
      </w:r>
      <w:r w:rsidRPr="00E90606">
        <w:rPr>
          <w:noProof/>
        </w:rPr>
        <w:t>percentage</w:t>
      </w:r>
      <w:r>
        <w:t xml:space="preserve"> of the population of reproductive age, </w:t>
      </w:r>
      <w:r w:rsidR="00563480">
        <w:t xml:space="preserve">and the </w:t>
      </w:r>
      <w:r>
        <w:t>percent</w:t>
      </w:r>
      <w:r w:rsidR="00563480">
        <w:t xml:space="preserve">age residing in </w:t>
      </w:r>
      <w:r>
        <w:t xml:space="preserve">urban </w:t>
      </w:r>
      <w:r w:rsidR="00563480">
        <w:t xml:space="preserve">areas </w:t>
      </w:r>
      <w:r>
        <w:t xml:space="preserve">the impact of inequality </w:t>
      </w:r>
      <w:r w:rsidRPr="006F0D5D">
        <w:rPr>
          <w:noProof/>
        </w:rPr>
        <w:t>is diminished</w:t>
      </w:r>
      <w:r>
        <w:t xml:space="preserve">. </w:t>
      </w:r>
    </w:p>
    <w:p w:rsidR="00A63DE0" w:rsidRDefault="00E90606" w:rsidP="00E90606">
      <w:pPr>
        <w:spacing w:line="480" w:lineRule="auto"/>
        <w:ind w:firstLine="720"/>
        <w:contextualSpacing/>
      </w:pPr>
      <w:r>
        <w:t xml:space="preserve">The relationship between homicide rates and incarceration is mixed. Scholars often use homicide rates as a proxy for crime rates, and as correlates of and control variables for analyses regarding incarceration rates. In this study, </w:t>
      </w:r>
      <w:r w:rsidRPr="006F0D5D">
        <w:rPr>
          <w:noProof/>
        </w:rPr>
        <w:t>I</w:t>
      </w:r>
      <w:r>
        <w:t xml:space="preserve"> also use homicide rates as a proxy for crime rates. In initial</w:t>
      </w:r>
      <w:r w:rsidR="00A63DE0">
        <w:t xml:space="preserve"> FE analyses, homicide rates produce a</w:t>
      </w:r>
      <w:r>
        <w:t xml:space="preserve"> positive and</w:t>
      </w:r>
      <w:r w:rsidR="00A63DE0">
        <w:t xml:space="preserve"> significant coefficient when regressed on incarceration rates, and are positive and </w:t>
      </w:r>
      <w:r w:rsidR="00A63DE0">
        <w:lastRenderedPageBreak/>
        <w:t>approach significance a</w:t>
      </w:r>
      <w:r>
        <w:t xml:space="preserve">s </w:t>
      </w:r>
      <w:r w:rsidR="00A63DE0">
        <w:t xml:space="preserve">a </w:t>
      </w:r>
      <w:r>
        <w:t xml:space="preserve">control for inequality. However, in the FE full </w:t>
      </w:r>
      <w:r w:rsidRPr="006F0D5D">
        <w:rPr>
          <w:noProof/>
        </w:rPr>
        <w:t>models</w:t>
      </w:r>
      <w:r>
        <w:t xml:space="preserve"> homicide rates </w:t>
      </w:r>
      <w:r w:rsidR="00A63DE0">
        <w:t xml:space="preserve">fail </w:t>
      </w:r>
      <w:r w:rsidR="00A63DE0" w:rsidRPr="006F0D5D">
        <w:rPr>
          <w:noProof/>
        </w:rPr>
        <w:t xml:space="preserve">to </w:t>
      </w:r>
      <w:r w:rsidRPr="006F0D5D">
        <w:rPr>
          <w:noProof/>
        </w:rPr>
        <w:t>merely approach significance</w:t>
      </w:r>
      <w:r>
        <w:t xml:space="preserve">. In RE models, homicide rates </w:t>
      </w:r>
      <w:r w:rsidR="00A63DE0">
        <w:t xml:space="preserve">fail to attain </w:t>
      </w:r>
      <w:r w:rsidR="00A63DE0" w:rsidRPr="006F0D5D">
        <w:rPr>
          <w:noProof/>
        </w:rPr>
        <w:t>significance</w:t>
      </w:r>
      <w:r w:rsidR="00A63DE0">
        <w:t xml:space="preserve"> in any model.</w:t>
      </w:r>
    </w:p>
    <w:p w:rsidR="00E90606" w:rsidRDefault="00A63DE0" w:rsidP="00A63DE0">
      <w:pPr>
        <w:spacing w:line="480" w:lineRule="auto"/>
        <w:contextualSpacing/>
      </w:pPr>
      <w:r>
        <w:tab/>
        <w:t xml:space="preserve">When </w:t>
      </w:r>
      <w:r w:rsidRPr="006F0D5D">
        <w:rPr>
          <w:noProof/>
        </w:rPr>
        <w:t>I</w:t>
      </w:r>
      <w:r>
        <w:t xml:space="preserve"> evaluate the influence of drug offense rates on incarceration rates, </w:t>
      </w:r>
      <w:r w:rsidRPr="006F0D5D">
        <w:rPr>
          <w:noProof/>
        </w:rPr>
        <w:t>I</w:t>
      </w:r>
      <w:r>
        <w:t xml:space="preserve"> find positive, significant coefficients in virtually all models. As drug offenses increase within countries, incarceration rates tend to increase. As noted earlier, drug offenses are categorized as </w:t>
      </w:r>
      <w:r>
        <w:rPr>
          <w:i/>
        </w:rPr>
        <w:t>mala prohibita</w:t>
      </w:r>
      <w:r>
        <w:t xml:space="preserve"> offenses, or offenses only because they are deemed to be so by society, not because of their inherent wrongness. Drug offense rates are highest in the West </w:t>
      </w:r>
      <w:r w:rsidRPr="006F0D5D">
        <w:rPr>
          <w:noProof/>
        </w:rPr>
        <w:t>and</w:t>
      </w:r>
      <w:r>
        <w:t xml:space="preserve"> the core. Wealthier nations tend to have higher drug offense rates</w:t>
      </w:r>
      <w:r w:rsidR="006F0D5D">
        <w:t xml:space="preserve"> and lower homicide rates</w:t>
      </w:r>
      <w:r>
        <w:t xml:space="preserve">. </w:t>
      </w:r>
      <w:r w:rsidR="006F0D5D">
        <w:rPr>
          <w:noProof/>
        </w:rPr>
        <w:t>When countries experience fewer</w:t>
      </w:r>
      <w:r>
        <w:t xml:space="preserve"> serious </w:t>
      </w:r>
      <w:r w:rsidRPr="006F0D5D">
        <w:rPr>
          <w:noProof/>
        </w:rPr>
        <w:t>offenses</w:t>
      </w:r>
      <w:r w:rsidR="006F0D5D">
        <w:rPr>
          <w:noProof/>
        </w:rPr>
        <w:t>,</w:t>
      </w:r>
      <w:r w:rsidR="006F0D5D">
        <w:t xml:space="preserve"> they may reallocate </w:t>
      </w:r>
      <w:r>
        <w:t xml:space="preserve">resources </w:t>
      </w:r>
      <w:r w:rsidR="006F0D5D">
        <w:t>to</w:t>
      </w:r>
      <w:r>
        <w:t xml:space="preserve"> the prosecution of </w:t>
      </w:r>
      <w:r w:rsidRPr="006F0D5D">
        <w:rPr>
          <w:noProof/>
        </w:rPr>
        <w:t>less se</w:t>
      </w:r>
      <w:r w:rsidR="006F0D5D">
        <w:rPr>
          <w:noProof/>
        </w:rPr>
        <w:t>vere</w:t>
      </w:r>
      <w:r>
        <w:t xml:space="preserve"> offenses. Considering Durkheim’s words regarding “a society of saints” (1966:68), perhaps societies lacking sufficient serious offenses opt to turn less </w:t>
      </w:r>
      <w:r w:rsidRPr="006F0D5D">
        <w:rPr>
          <w:noProof/>
        </w:rPr>
        <w:t>se</w:t>
      </w:r>
      <w:r w:rsidR="006F0D5D">
        <w:rPr>
          <w:noProof/>
        </w:rPr>
        <w:t>vere</w:t>
      </w:r>
      <w:r>
        <w:t xml:space="preserve"> offenses into punishable crimes. </w:t>
      </w:r>
    </w:p>
    <w:p w:rsidR="00A63DE0" w:rsidRPr="00A63DE0" w:rsidRDefault="00A63DE0" w:rsidP="00A63DE0">
      <w:pPr>
        <w:spacing w:line="480" w:lineRule="auto"/>
        <w:contextualSpacing/>
      </w:pPr>
      <w:r>
        <w:tab/>
        <w:t xml:space="preserve">Knowing countries’ positions in the world-system </w:t>
      </w:r>
      <w:r w:rsidRPr="006F0D5D">
        <w:rPr>
          <w:noProof/>
        </w:rPr>
        <w:t>provide</w:t>
      </w:r>
      <w:r>
        <w:t xml:space="preserve"> little information about the differences in incarceration rates between countries. However, </w:t>
      </w:r>
      <w:r w:rsidRPr="006F0D5D">
        <w:rPr>
          <w:noProof/>
        </w:rPr>
        <w:t>I</w:t>
      </w:r>
      <w:r>
        <w:t xml:space="preserve"> confirm inequality is significantly greater in the periphery than in the core, as noted by others (Rubinson 1976; Crenshaw 1992; Howard et al. 2000; Mahutga et al. 2011). Core countries are wealthier, more urbanized countries with greater levels of democracy, as borne out by data used in this study. </w:t>
      </w:r>
    </w:p>
    <w:p w:rsidR="0053363F" w:rsidRDefault="00A63DE0" w:rsidP="00E90606">
      <w:pPr>
        <w:spacing w:line="480" w:lineRule="auto"/>
        <w:ind w:firstLine="720"/>
        <w:contextualSpacing/>
      </w:pPr>
      <w:r>
        <w:t>The panel data</w:t>
      </w:r>
      <w:r w:rsidR="0053363F">
        <w:t xml:space="preserve"> provide an</w:t>
      </w:r>
      <w:r>
        <w:t xml:space="preserve"> opportunity to observe trends for</w:t>
      </w:r>
      <w:r w:rsidR="0053363F">
        <w:t xml:space="preserve"> </w:t>
      </w:r>
      <w:r w:rsidR="006F0D5D">
        <w:rPr>
          <w:noProof/>
        </w:rPr>
        <w:t>some</w:t>
      </w:r>
      <w:r w:rsidR="0053363F">
        <w:t xml:space="preserve"> th</w:t>
      </w:r>
      <w:r w:rsidR="006F0D5D">
        <w:t xml:space="preserve">e variables </w:t>
      </w:r>
      <w:r w:rsidR="00E90606">
        <w:t>in this s</w:t>
      </w:r>
      <w:r>
        <w:t xml:space="preserve">tudy. The worldwide average for </w:t>
      </w:r>
      <w:r w:rsidR="00E90606">
        <w:t xml:space="preserve">incarceration rates </w:t>
      </w:r>
      <w:r>
        <w:t>remains relatively stable over the period</w:t>
      </w:r>
      <w:r w:rsidR="00E90606">
        <w:t xml:space="preserve">. Incarceration rates </w:t>
      </w:r>
      <w:r w:rsidR="0053363F">
        <w:t xml:space="preserve">vary from region to region, with little indication of a general trend. </w:t>
      </w:r>
      <w:r>
        <w:t xml:space="preserve">Incarceration is </w:t>
      </w:r>
      <w:r w:rsidRPr="006F0D5D">
        <w:rPr>
          <w:noProof/>
        </w:rPr>
        <w:t>generally</w:t>
      </w:r>
      <w:r>
        <w:t xml:space="preserve"> lower in the West and EAP and greater in </w:t>
      </w:r>
      <w:r>
        <w:lastRenderedPageBreak/>
        <w:t xml:space="preserve">MENA and EECA. Likewise, income inequality has, on average, remained </w:t>
      </w:r>
      <w:r w:rsidRPr="006F0D5D">
        <w:rPr>
          <w:noProof/>
        </w:rPr>
        <w:t>fairly</w:t>
      </w:r>
      <w:r>
        <w:t xml:space="preserve"> stable, generally lower in the West and EECA and higher in Latin America and EAP. </w:t>
      </w:r>
    </w:p>
    <w:p w:rsidR="00F72142" w:rsidRDefault="0053363F" w:rsidP="00681110">
      <w:pPr>
        <w:spacing w:line="480" w:lineRule="auto"/>
        <w:contextualSpacing/>
      </w:pPr>
      <w:r>
        <w:tab/>
        <w:t>Wealth, on average, has increased for th</w:t>
      </w:r>
      <w:r w:rsidR="00F72142">
        <w:t>e people of the world since the mid-1990s</w:t>
      </w:r>
      <w:r>
        <w:t>.</w:t>
      </w:r>
      <w:r w:rsidR="00F72142">
        <w:t xml:space="preserve"> Regionally, the West is by far the wealthiest region. The world’s people, on average, experience greater political rights and civil liberties at the end of the </w:t>
      </w:r>
      <w:r w:rsidR="00F72142" w:rsidRPr="006F0D5D">
        <w:rPr>
          <w:noProof/>
        </w:rPr>
        <w:t>period</w:t>
      </w:r>
      <w:r w:rsidR="00F72142">
        <w:t xml:space="preserve">. The West has the highest level of democracy of the world’s regions. </w:t>
      </w:r>
    </w:p>
    <w:p w:rsidR="0053363F" w:rsidRDefault="00F72142" w:rsidP="00F72142">
      <w:pPr>
        <w:spacing w:line="480" w:lineRule="auto"/>
        <w:ind w:firstLine="720"/>
        <w:contextualSpacing/>
      </w:pPr>
      <w:r>
        <w:t xml:space="preserve">Although physical integrity rights fail to provide explanatory value for differences in incarceration rates within countries, it seems appropriate to note the reduction in governmental respect for these rights in the second half of the period. Reductions </w:t>
      </w:r>
      <w:r w:rsidRPr="006F0D5D">
        <w:rPr>
          <w:noProof/>
        </w:rPr>
        <w:t>are specifically noted in the</w:t>
      </w:r>
      <w:r>
        <w:t xml:space="preserve"> West, EECA, and EAP. Governmental respect for physical integrity rights may have been negatively impacted by the terrorist attacks of 9/11. </w:t>
      </w:r>
    </w:p>
    <w:p w:rsidR="00346791" w:rsidRPr="00346791" w:rsidRDefault="00346791" w:rsidP="00346791">
      <w:pPr>
        <w:spacing w:line="480" w:lineRule="auto"/>
        <w:contextualSpacing/>
      </w:pPr>
      <w:r w:rsidRPr="00346791">
        <w:rPr>
          <w:i/>
        </w:rPr>
        <w:t>Limitations</w:t>
      </w:r>
    </w:p>
    <w:p w:rsidR="008C30A2" w:rsidRDefault="004D538C" w:rsidP="00346791">
      <w:pPr>
        <w:spacing w:line="480" w:lineRule="auto"/>
        <w:contextualSpacing/>
      </w:pPr>
      <w:r>
        <w:t xml:space="preserve">Variation in the type and quality of data used in cross-national </w:t>
      </w:r>
      <w:r w:rsidRPr="00BE2779">
        <w:rPr>
          <w:noProof/>
        </w:rPr>
        <w:t>analyses</w:t>
      </w:r>
      <w:r>
        <w:t xml:space="preserve"> is </w:t>
      </w:r>
      <w:r w:rsidR="00346791" w:rsidRPr="00346791">
        <w:t>problem</w:t>
      </w:r>
      <w:r>
        <w:t>atic</w:t>
      </w:r>
      <w:r w:rsidR="00E90606">
        <w:t xml:space="preserve"> in cross-national studies</w:t>
      </w:r>
      <w:r>
        <w:t xml:space="preserve">. </w:t>
      </w:r>
      <w:r w:rsidR="00346791" w:rsidRPr="00346791">
        <w:t xml:space="preserve">Data for this study come from a variety of quality sources. All of the data on incarceration rates come from Walmsley’s compilations over the past 20 years, which provide a measure of consistency. </w:t>
      </w:r>
      <w:r w:rsidR="006F0D5D">
        <w:rPr>
          <w:noProof/>
        </w:rPr>
        <w:t>However</w:t>
      </w:r>
      <w:r w:rsidRPr="006F0D5D">
        <w:rPr>
          <w:noProof/>
        </w:rPr>
        <w:t>,</w:t>
      </w:r>
      <w:r>
        <w:t xml:space="preserve"> as Walmsley </w:t>
      </w:r>
      <w:r w:rsidRPr="006F0D5D">
        <w:rPr>
          <w:noProof/>
        </w:rPr>
        <w:t>notes</w:t>
      </w:r>
      <w:r w:rsidR="006F0D5D">
        <w:rPr>
          <w:noProof/>
        </w:rPr>
        <w:t>,</w:t>
      </w:r>
      <w:r>
        <w:t xml:space="preserve"> </w:t>
      </w:r>
      <w:r w:rsidR="00346791" w:rsidRPr="00346791">
        <w:t xml:space="preserve">there are differences in the measures of incarceration provided by countries. Some countries count only those convicted and incarcerated. Others include those held in custody </w:t>
      </w:r>
      <w:r w:rsidR="006F0D5D">
        <w:rPr>
          <w:noProof/>
        </w:rPr>
        <w:t>before</w:t>
      </w:r>
      <w:r w:rsidR="00346791" w:rsidRPr="00346791">
        <w:t xml:space="preserve"> conviction and those in administrative detention. Those detained and receiving treatment for mental illness or chemical dependency may not be counted among the </w:t>
      </w:r>
      <w:r w:rsidR="00346791" w:rsidRPr="006F0D5D">
        <w:rPr>
          <w:noProof/>
        </w:rPr>
        <w:t>incarcerated</w:t>
      </w:r>
      <w:r w:rsidR="00346791" w:rsidRPr="00346791">
        <w:t xml:space="preserve"> if they are not under the supervision of prison administrators. </w:t>
      </w:r>
    </w:p>
    <w:p w:rsidR="004D538C" w:rsidRDefault="00346791" w:rsidP="00346791">
      <w:pPr>
        <w:spacing w:line="480" w:lineRule="auto"/>
        <w:contextualSpacing/>
      </w:pPr>
      <w:r w:rsidRPr="00346791">
        <w:lastRenderedPageBreak/>
        <w:tab/>
        <w:t xml:space="preserve">The inequality indices from SWIID 4.0 provide an extensive up-to-date measure computed by Solt. As noted earlier, Solt uses the UN’s World Income Inequality Database and uses the Luxembourg Income Study as the standard for his computations. </w:t>
      </w:r>
      <w:r w:rsidR="00A1270A">
        <w:t>Solt notes the issue of missing data as a limitation of his dataset.</w:t>
      </w:r>
      <w:r w:rsidR="004D538C">
        <w:t xml:space="preserve"> Countries of Latin America, the Caribbean, and of Africa have the largest standard errors in the SWIID database due to lack of data for much of the developing world (Solt 2009:10).</w:t>
      </w:r>
      <w:r w:rsidR="00A1270A">
        <w:t xml:space="preserve"> However, he imputes missing data using a logarithmic method that takes into account regional an</w:t>
      </w:r>
      <w:r w:rsidR="004D538C">
        <w:t>d</w:t>
      </w:r>
      <w:r w:rsidR="00A1270A">
        <w:t xml:space="preserve"> other variations. </w:t>
      </w:r>
    </w:p>
    <w:p w:rsidR="008C30A2" w:rsidRDefault="008C30A2" w:rsidP="00346791">
      <w:pPr>
        <w:spacing w:line="480" w:lineRule="auto"/>
        <w:contextualSpacing/>
      </w:pPr>
      <w:r>
        <w:tab/>
        <w:t>Although I choose income inequality as the measure indicating the concentration of power, I acknowledge the existence and importance of other social inequalities. Specifically, I note gender and racial inequalities, which are beyond the scope of this study.</w:t>
      </w:r>
    </w:p>
    <w:p w:rsidR="000C1BD6" w:rsidRDefault="000C1BD6" w:rsidP="008C30A2">
      <w:pPr>
        <w:spacing w:line="480" w:lineRule="auto"/>
        <w:ind w:firstLine="720"/>
        <w:contextualSpacing/>
      </w:pPr>
      <w:r>
        <w:t xml:space="preserve">When </w:t>
      </w:r>
      <w:r w:rsidRPr="006F0D5D">
        <w:rPr>
          <w:noProof/>
        </w:rPr>
        <w:t>I</w:t>
      </w:r>
      <w:r>
        <w:t xml:space="preserve"> use GDPPC as a variable, it provides an average amount of wealth for all of the individuals in a country, which may well overstate the wealth held by the poor and understate that </w:t>
      </w:r>
      <w:r w:rsidRPr="006F0D5D">
        <w:rPr>
          <w:noProof/>
        </w:rPr>
        <w:t>held</w:t>
      </w:r>
      <w:r>
        <w:t xml:space="preserve"> by the wealthy. </w:t>
      </w:r>
    </w:p>
    <w:p w:rsidR="00EA5D0B" w:rsidRDefault="00EA5D0B" w:rsidP="00346791">
      <w:pPr>
        <w:spacing w:line="480" w:lineRule="auto"/>
        <w:contextualSpacing/>
      </w:pPr>
      <w:r>
        <w:tab/>
      </w:r>
      <w:r w:rsidRPr="006F0D5D">
        <w:rPr>
          <w:noProof/>
        </w:rPr>
        <w:t>My</w:t>
      </w:r>
      <w:r>
        <w:t xml:space="preserve"> </w:t>
      </w:r>
      <w:r w:rsidRPr="00A23987">
        <w:rPr>
          <w:noProof/>
        </w:rPr>
        <w:t>ethnic fractionalization</w:t>
      </w:r>
      <w:r>
        <w:t xml:space="preserve"> variable by Fearon (2003) is time-invariant and only demonstrates the effect of ethnic fractionalization at the mid-point of the analysis</w:t>
      </w:r>
      <w:r w:rsidR="00E90606">
        <w:t xml:space="preserve"> in FE models</w:t>
      </w:r>
      <w:r>
        <w:t xml:space="preserve">. </w:t>
      </w:r>
      <w:r w:rsidRPr="006F0D5D">
        <w:rPr>
          <w:noProof/>
        </w:rPr>
        <w:t>Ideally</w:t>
      </w:r>
      <w:r w:rsidR="006F0D5D">
        <w:rPr>
          <w:noProof/>
        </w:rPr>
        <w:t>,</w:t>
      </w:r>
      <w:r>
        <w:t xml:space="preserve"> the </w:t>
      </w:r>
      <w:r w:rsidRPr="00A23987">
        <w:rPr>
          <w:noProof/>
        </w:rPr>
        <w:t>ethnic fractionalization</w:t>
      </w:r>
      <w:r>
        <w:t xml:space="preserve"> variable, while varying </w:t>
      </w:r>
      <w:r w:rsidRPr="006F0D5D">
        <w:rPr>
          <w:noProof/>
        </w:rPr>
        <w:t>slowly</w:t>
      </w:r>
      <w:r>
        <w:t xml:space="preserve">, would reflect ethnic changes experienced due to migration and changing birth rates among minorities. </w:t>
      </w:r>
    </w:p>
    <w:p w:rsidR="009A77CE" w:rsidRDefault="009A77CE" w:rsidP="00346791">
      <w:pPr>
        <w:spacing w:line="480" w:lineRule="auto"/>
        <w:contextualSpacing/>
      </w:pPr>
      <w:r>
        <w:tab/>
      </w:r>
      <w:r w:rsidRPr="006F0D5D">
        <w:rPr>
          <w:noProof/>
        </w:rPr>
        <w:t>I</w:t>
      </w:r>
      <w:r>
        <w:t xml:space="preserve"> note the presence of historical, political, and cultural differences for countries around the world. In attempting to use variables that are consistent across all countries, </w:t>
      </w:r>
      <w:r>
        <w:lastRenderedPageBreak/>
        <w:t>the nuanced variations within countries may be understated</w:t>
      </w:r>
      <w:r w:rsidR="00F55818">
        <w:t xml:space="preserve">, even within those variables. </w:t>
      </w:r>
      <w:r>
        <w:t xml:space="preserve"> </w:t>
      </w:r>
    </w:p>
    <w:p w:rsidR="00E90606" w:rsidRDefault="004D538C" w:rsidP="00E90606">
      <w:pPr>
        <w:spacing w:line="480" w:lineRule="auto"/>
        <w:contextualSpacing/>
      </w:pPr>
      <w:r>
        <w:tab/>
      </w:r>
      <w:r w:rsidR="00346791" w:rsidRPr="00346791">
        <w:t xml:space="preserve">Though not exhaustive in the listing of data sources, the above reflects the quality and consistency of data used in this study. </w:t>
      </w:r>
      <w:r w:rsidR="00E90606">
        <w:tab/>
      </w:r>
    </w:p>
    <w:p w:rsidR="00E90606" w:rsidRPr="00346791" w:rsidRDefault="00E90606" w:rsidP="00E90606">
      <w:pPr>
        <w:spacing w:line="480" w:lineRule="auto"/>
        <w:ind w:firstLine="720"/>
        <w:contextualSpacing/>
      </w:pPr>
      <w:r w:rsidRPr="006F0D5D">
        <w:rPr>
          <w:noProof/>
        </w:rPr>
        <w:t>I</w:t>
      </w:r>
      <w:r>
        <w:t xml:space="preserve"> conduct two types of analyses on the data, fixed- and random-effects modeling. Fixed-effects regression is problematic when using time-invariant variables, and when interacted with standardized time, shows the effect of the variable only at the mid-point of the analysis. Random-effects models examine the influence of time-invariant variables without requiring an interaction term. </w:t>
      </w:r>
    </w:p>
    <w:p w:rsidR="00227106" w:rsidRDefault="00A1270A" w:rsidP="00346791">
      <w:pPr>
        <w:spacing w:line="480" w:lineRule="auto"/>
        <w:contextualSpacing/>
        <w:rPr>
          <w:i/>
        </w:rPr>
      </w:pPr>
      <w:r>
        <w:rPr>
          <w:i/>
        </w:rPr>
        <w:t>Future Research</w:t>
      </w:r>
    </w:p>
    <w:p w:rsidR="009A77CE" w:rsidRDefault="00EA5D0B" w:rsidP="00346791">
      <w:pPr>
        <w:spacing w:line="480" w:lineRule="auto"/>
        <w:contextualSpacing/>
      </w:pPr>
      <w:r>
        <w:tab/>
      </w:r>
      <w:r w:rsidR="009A77CE">
        <w:t xml:space="preserve">Whether increased wealth </w:t>
      </w:r>
      <w:r w:rsidR="009A77CE" w:rsidRPr="006F0D5D">
        <w:rPr>
          <w:noProof/>
        </w:rPr>
        <w:t>is associated</w:t>
      </w:r>
      <w:r w:rsidR="009A77CE">
        <w:t xml:space="preserve"> with greater incarceration is similar at all levels of development is an </w:t>
      </w:r>
      <w:r w:rsidR="008C30A2">
        <w:t xml:space="preserve">area for </w:t>
      </w:r>
      <w:r w:rsidR="006F0D5D">
        <w:rPr>
          <w:noProof/>
        </w:rPr>
        <w:t>further</w:t>
      </w:r>
      <w:r w:rsidR="008C30A2">
        <w:t xml:space="preserve"> exploration. Additional research into the potential for a curvilinear relationship between wealth and incarceration rates is warranted, noting Lappi-Seppälä’s (2010) findings </w:t>
      </w:r>
      <w:r w:rsidR="008C30A2" w:rsidRPr="006F0D5D">
        <w:rPr>
          <w:noProof/>
        </w:rPr>
        <w:t>relative to</w:t>
      </w:r>
      <w:r w:rsidR="008C30A2">
        <w:t xml:space="preserve"> increased incarceration rates in poorer countries as GDPPC increased, and lower incarceration rates in wealthier countries as GDPPC increased. </w:t>
      </w:r>
    </w:p>
    <w:p w:rsidR="000C1BD6" w:rsidRDefault="00EA5D0B" w:rsidP="009A77CE">
      <w:pPr>
        <w:spacing w:line="480" w:lineRule="auto"/>
        <w:ind w:firstLine="720"/>
        <w:contextualSpacing/>
      </w:pPr>
      <w:r>
        <w:t xml:space="preserve">Although this study controls for the impact of ethnic fractionalization, additional research on the </w:t>
      </w:r>
      <w:r w:rsidRPr="006F0D5D">
        <w:rPr>
          <w:noProof/>
        </w:rPr>
        <w:t>imp</w:t>
      </w:r>
      <w:r w:rsidR="006F0D5D">
        <w:rPr>
          <w:noProof/>
        </w:rPr>
        <w:t>lications</w:t>
      </w:r>
      <w:r>
        <w:t xml:space="preserve"> of the growth of ethnic minorities on incarceration rates would shed additional light on cultural reaction</w:t>
      </w:r>
      <w:r w:rsidR="009A77CE">
        <w:t>s</w:t>
      </w:r>
      <w:r>
        <w:t xml:space="preserve"> to changing demographics. </w:t>
      </w:r>
      <w:r w:rsidR="006F0D5D" w:rsidRPr="006F0D5D">
        <w:rPr>
          <w:noProof/>
        </w:rPr>
        <w:t>The e</w:t>
      </w:r>
      <w:r w:rsidR="006F0D5D">
        <w:rPr>
          <w:noProof/>
        </w:rPr>
        <w:t>xamination of changing demographic</w:t>
      </w:r>
      <w:r w:rsidR="008C30A2" w:rsidRPr="006F0D5D">
        <w:rPr>
          <w:noProof/>
        </w:rPr>
        <w:t xml:space="preserve"> would</w:t>
      </w:r>
      <w:r w:rsidR="008C30A2">
        <w:t xml:space="preserve"> provide an opportunity to examine the impact of racial inequality </w:t>
      </w:r>
      <w:r w:rsidR="006F0D5D">
        <w:rPr>
          <w:noProof/>
        </w:rPr>
        <w:t>o</w:t>
      </w:r>
      <w:r w:rsidR="008C30A2" w:rsidRPr="006F0D5D">
        <w:rPr>
          <w:noProof/>
        </w:rPr>
        <w:t>n</w:t>
      </w:r>
      <w:r w:rsidR="008C30A2">
        <w:t xml:space="preserve"> societies. </w:t>
      </w:r>
      <w:r w:rsidR="009A77CE">
        <w:t xml:space="preserve">Increasing immigration and </w:t>
      </w:r>
      <w:r w:rsidR="00563480">
        <w:t xml:space="preserve">the </w:t>
      </w:r>
      <w:r w:rsidR="009A77CE">
        <w:t xml:space="preserve">perception of minority threat may lead to increases in the level of social control exercised. </w:t>
      </w:r>
    </w:p>
    <w:p w:rsidR="008C30A2" w:rsidRDefault="008C30A2" w:rsidP="009A77CE">
      <w:pPr>
        <w:spacing w:line="480" w:lineRule="auto"/>
        <w:ind w:firstLine="720"/>
        <w:contextualSpacing/>
      </w:pPr>
      <w:r>
        <w:lastRenderedPageBreak/>
        <w:t xml:space="preserve">Another are of needed study has to do with the use of private prisons. In numerous countries, the use of private prisons has increased over the past 20 years (Mason 2013). Exploring the relationship between inequality and incarceration rates in countries using private prisons could provide additional insight into within differences in the use of </w:t>
      </w:r>
      <w:r w:rsidRPr="006F0D5D">
        <w:rPr>
          <w:noProof/>
        </w:rPr>
        <w:t>imprisonment</w:t>
      </w:r>
      <w:r>
        <w:t xml:space="preserve">. Growth in </w:t>
      </w:r>
      <w:r w:rsidRPr="006F0D5D">
        <w:rPr>
          <w:noProof/>
        </w:rPr>
        <w:t>prison</w:t>
      </w:r>
      <w:r>
        <w:t xml:space="preserve"> privatization appears to occur mainly in western countries, to date, but increases in the industry and the study of its impact on within </w:t>
      </w:r>
      <w:r w:rsidRPr="006F0D5D">
        <w:rPr>
          <w:noProof/>
        </w:rPr>
        <w:t>country</w:t>
      </w:r>
      <w:r>
        <w:t xml:space="preserve"> incarceration rates is needed. </w:t>
      </w:r>
    </w:p>
    <w:p w:rsidR="00563480" w:rsidRDefault="00563480" w:rsidP="009A77CE">
      <w:pPr>
        <w:spacing w:line="480" w:lineRule="auto"/>
        <w:ind w:firstLine="720"/>
        <w:contextualSpacing/>
      </w:pPr>
    </w:p>
    <w:p w:rsidR="00CA2241" w:rsidRPr="00CA2241" w:rsidRDefault="00CA2241" w:rsidP="009A77CE">
      <w:pPr>
        <w:spacing w:line="480" w:lineRule="auto"/>
        <w:ind w:firstLine="720"/>
        <w:contextualSpacing/>
      </w:pPr>
      <w:r>
        <w:tab/>
      </w:r>
    </w:p>
    <w:p w:rsidR="00D43EA6" w:rsidRPr="00FC4EB1" w:rsidRDefault="00D43EA6" w:rsidP="00681110">
      <w:pPr>
        <w:spacing w:line="480" w:lineRule="auto"/>
        <w:contextualSpacing/>
      </w:pPr>
      <w:r>
        <w:tab/>
      </w:r>
    </w:p>
    <w:p w:rsidR="001C0318" w:rsidRDefault="001C0318">
      <w:r>
        <w:br w:type="page"/>
      </w:r>
    </w:p>
    <w:p w:rsidR="00BB5750" w:rsidRDefault="00D04082" w:rsidP="00D41425">
      <w:pPr>
        <w:spacing w:line="240" w:lineRule="auto"/>
        <w:contextualSpacing/>
      </w:pPr>
      <w:bookmarkStart w:id="0" w:name="_GoBack"/>
      <w:bookmarkEnd w:id="0"/>
      <w:r>
        <w:lastRenderedPageBreak/>
        <w:t>References</w:t>
      </w:r>
    </w:p>
    <w:p w:rsidR="00EA3315" w:rsidRDefault="00EA3315" w:rsidP="00D41425">
      <w:pPr>
        <w:spacing w:line="240" w:lineRule="auto"/>
        <w:contextualSpacing/>
      </w:pPr>
    </w:p>
    <w:p w:rsidR="001C1CE8" w:rsidRDefault="001C1CE8" w:rsidP="00D41425">
      <w:pPr>
        <w:spacing w:line="240" w:lineRule="auto"/>
        <w:contextualSpacing/>
      </w:pPr>
      <w:r>
        <w:t>Abouharb, M. Rodwan</w:t>
      </w:r>
      <w:r w:rsidR="00572D83">
        <w:t>,</w:t>
      </w:r>
      <w:r w:rsidRPr="005C5CDF">
        <w:t xml:space="preserve"> and David L. Cingranelli. 2006. “The Human Rights Effects of World Bank Structural Adjustment, 1981-2000.” </w:t>
      </w:r>
      <w:r w:rsidRPr="005C5CDF">
        <w:rPr>
          <w:i/>
        </w:rPr>
        <w:t>International Studies Quarterly</w:t>
      </w:r>
      <w:r w:rsidRPr="005C5CDF">
        <w:t xml:space="preserve"> 50:233-62.</w:t>
      </w:r>
    </w:p>
    <w:p w:rsidR="001C1CE8" w:rsidRDefault="001C1CE8" w:rsidP="00D41425">
      <w:pPr>
        <w:spacing w:line="240" w:lineRule="auto"/>
        <w:contextualSpacing/>
      </w:pPr>
    </w:p>
    <w:p w:rsidR="001C1CE8" w:rsidRDefault="00B50716" w:rsidP="00D41425">
      <w:pPr>
        <w:spacing w:line="240" w:lineRule="auto"/>
        <w:contextualSpacing/>
      </w:pPr>
      <w:r>
        <w:t>Agnew, Robert. 1992</w:t>
      </w:r>
      <w:r w:rsidR="001C1CE8">
        <w:t xml:space="preserve">. </w:t>
      </w:r>
      <w:r>
        <w:t xml:space="preserve">“Foundations for </w:t>
      </w:r>
      <w:r w:rsidRPr="006F0D5D">
        <w:rPr>
          <w:noProof/>
        </w:rPr>
        <w:t>a General Strain Theory of Crime and Delinquency.</w:t>
      </w:r>
      <w:r>
        <w:t xml:space="preserve">” </w:t>
      </w:r>
      <w:r>
        <w:rPr>
          <w:i/>
        </w:rPr>
        <w:t>Criminology</w:t>
      </w:r>
      <w:r>
        <w:t xml:space="preserve"> 30(1):47-87</w:t>
      </w:r>
      <w:r w:rsidR="003A38B0">
        <w:t>.</w:t>
      </w:r>
    </w:p>
    <w:p w:rsidR="00572D83" w:rsidRDefault="00572D83" w:rsidP="00D41425">
      <w:pPr>
        <w:spacing w:line="240" w:lineRule="auto"/>
        <w:contextualSpacing/>
      </w:pPr>
    </w:p>
    <w:p w:rsidR="00572D83" w:rsidRPr="00572D83" w:rsidRDefault="00572D83" w:rsidP="00D41425">
      <w:pPr>
        <w:spacing w:line="240" w:lineRule="auto"/>
        <w:contextualSpacing/>
      </w:pPr>
      <w:r>
        <w:t xml:space="preserve">Arrighi, Giovanni, and Jessica Drangel. 1986. “The Stratification of the World-Economy: An Exploration of the Semiperipheral Zone.” </w:t>
      </w:r>
      <w:r>
        <w:rPr>
          <w:i/>
        </w:rPr>
        <w:t>Review</w:t>
      </w:r>
      <w:r>
        <w:t xml:space="preserve"> 10:9-74.</w:t>
      </w:r>
    </w:p>
    <w:p w:rsidR="001C1CE8" w:rsidRPr="001C1CE8" w:rsidRDefault="001C1CE8" w:rsidP="00D41425">
      <w:pPr>
        <w:spacing w:line="240" w:lineRule="auto"/>
        <w:contextualSpacing/>
      </w:pPr>
      <w:r>
        <w:rPr>
          <w:i/>
        </w:rPr>
        <w:t xml:space="preserve"> </w:t>
      </w:r>
    </w:p>
    <w:p w:rsidR="003E4401" w:rsidRDefault="003E4401" w:rsidP="00D41425">
      <w:pPr>
        <w:spacing w:line="240" w:lineRule="auto"/>
        <w:contextualSpacing/>
      </w:pPr>
      <w:r>
        <w:t xml:space="preserve">Babones, Salvatore J. 2005. “The Country-Level Income Structure of the World-Economy.” </w:t>
      </w:r>
      <w:r>
        <w:rPr>
          <w:i/>
        </w:rPr>
        <w:t>Journal of World-Systems Research</w:t>
      </w:r>
      <w:r>
        <w:t xml:space="preserve"> 11(1):28-55.</w:t>
      </w:r>
    </w:p>
    <w:p w:rsidR="00D41425" w:rsidRDefault="00D41425" w:rsidP="00D41425">
      <w:pPr>
        <w:spacing w:line="240" w:lineRule="auto"/>
        <w:contextualSpacing/>
      </w:pPr>
    </w:p>
    <w:p w:rsidR="00D41425" w:rsidRPr="00D41425" w:rsidRDefault="00D41425" w:rsidP="00D41425">
      <w:pPr>
        <w:spacing w:line="240" w:lineRule="auto"/>
        <w:contextualSpacing/>
      </w:pPr>
      <w:r>
        <w:t xml:space="preserve">Babones, Salvatore J. 2008. “Income Inequality and Population Health: Correlation and causality.” </w:t>
      </w:r>
      <w:r>
        <w:rPr>
          <w:i/>
        </w:rPr>
        <w:t>Social Science and Medicine</w:t>
      </w:r>
      <w:r>
        <w:t xml:space="preserve"> 66:1614-26.</w:t>
      </w:r>
    </w:p>
    <w:p w:rsidR="003E4401" w:rsidRDefault="003E4401" w:rsidP="00D41425">
      <w:pPr>
        <w:spacing w:line="240" w:lineRule="auto"/>
        <w:contextualSpacing/>
      </w:pPr>
    </w:p>
    <w:p w:rsidR="003A38B0" w:rsidRDefault="003A38B0" w:rsidP="003A38B0">
      <w:pPr>
        <w:spacing w:after="200" w:line="240" w:lineRule="auto"/>
        <w:contextualSpacing/>
        <w:rPr>
          <w:rFonts w:eastAsia="Calibri"/>
        </w:rPr>
      </w:pPr>
      <w:r w:rsidRPr="001166E9">
        <w:rPr>
          <w:rFonts w:eastAsia="Calibri"/>
        </w:rPr>
        <w:t>Barro, Robert J.</w:t>
      </w:r>
      <w:r>
        <w:rPr>
          <w:rFonts w:eastAsia="Calibri"/>
        </w:rPr>
        <w:t>,</w:t>
      </w:r>
      <w:r w:rsidRPr="001166E9">
        <w:rPr>
          <w:rFonts w:eastAsia="Calibri"/>
        </w:rPr>
        <w:t xml:space="preserve"> and </w:t>
      </w:r>
      <w:r w:rsidRPr="006F0D5D">
        <w:rPr>
          <w:rFonts w:eastAsia="Calibri"/>
          <w:noProof/>
        </w:rPr>
        <w:t>Jong Wha</w:t>
      </w:r>
      <w:r w:rsidRPr="001166E9">
        <w:rPr>
          <w:rFonts w:eastAsia="Calibri"/>
        </w:rPr>
        <w:t xml:space="preserve"> Lee. 2013</w:t>
      </w:r>
      <w:r>
        <w:rPr>
          <w:rFonts w:eastAsia="Calibri"/>
        </w:rPr>
        <w:t>a</w:t>
      </w:r>
      <w:r w:rsidRPr="001166E9">
        <w:rPr>
          <w:rFonts w:eastAsia="Calibri"/>
        </w:rPr>
        <w:t xml:space="preserve">. “Educational Attainment </w:t>
      </w:r>
      <w:r w:rsidRPr="00A23987">
        <w:rPr>
          <w:rFonts w:eastAsia="Calibri"/>
          <w:noProof/>
        </w:rPr>
        <w:t>for</w:t>
      </w:r>
      <w:r w:rsidRPr="001166E9">
        <w:rPr>
          <w:rFonts w:eastAsia="Calibri"/>
        </w:rPr>
        <w:t xml:space="preserve"> Total Population, 1950-2010,</w:t>
      </w:r>
      <w:r w:rsidR="008D6BD4">
        <w:rPr>
          <w:rFonts w:eastAsia="Calibri"/>
        </w:rPr>
        <w:t xml:space="preserve"> </w:t>
      </w:r>
      <w:r w:rsidRPr="001166E9">
        <w:rPr>
          <w:rFonts w:eastAsia="Calibri"/>
        </w:rPr>
        <w:t xml:space="preserve">v. 2.0.” Database </w:t>
      </w:r>
      <w:r w:rsidRPr="006F0D5D">
        <w:rPr>
          <w:rFonts w:eastAsia="Calibri"/>
          <w:noProof/>
        </w:rPr>
        <w:t>retrieved</w:t>
      </w:r>
      <w:r w:rsidRPr="001166E9">
        <w:rPr>
          <w:rFonts w:eastAsia="Calibri"/>
        </w:rPr>
        <w:t xml:space="preserve"> June 16, 2014 (</w:t>
      </w:r>
      <w:r w:rsidRPr="003E4401">
        <w:t>http://www.barrolee.com/data/yrsch.htm</w:t>
      </w:r>
      <w:r w:rsidRPr="001166E9">
        <w:rPr>
          <w:rFonts w:eastAsia="Calibri"/>
        </w:rPr>
        <w:t xml:space="preserve">). </w:t>
      </w:r>
    </w:p>
    <w:p w:rsidR="003A38B0" w:rsidRPr="001166E9" w:rsidRDefault="003A38B0" w:rsidP="003A38B0">
      <w:pPr>
        <w:spacing w:after="200" w:line="240" w:lineRule="auto"/>
        <w:contextualSpacing/>
        <w:rPr>
          <w:rFonts w:eastAsia="Calibri"/>
        </w:rPr>
      </w:pPr>
    </w:p>
    <w:p w:rsidR="000B44F9" w:rsidRDefault="000B44F9" w:rsidP="00D41425">
      <w:pPr>
        <w:spacing w:after="200" w:line="240" w:lineRule="auto"/>
        <w:contextualSpacing/>
        <w:rPr>
          <w:rFonts w:eastAsia="Calibri"/>
        </w:rPr>
      </w:pPr>
      <w:r w:rsidRPr="001166E9">
        <w:rPr>
          <w:rFonts w:eastAsia="Calibri"/>
        </w:rPr>
        <w:t>Barro, Robert J.</w:t>
      </w:r>
      <w:r>
        <w:rPr>
          <w:rFonts w:eastAsia="Calibri"/>
        </w:rPr>
        <w:t>,</w:t>
      </w:r>
      <w:r w:rsidRPr="001166E9">
        <w:rPr>
          <w:rFonts w:eastAsia="Calibri"/>
        </w:rPr>
        <w:t xml:space="preserve"> and </w:t>
      </w:r>
      <w:r w:rsidRPr="006F0D5D">
        <w:rPr>
          <w:rFonts w:eastAsia="Calibri"/>
          <w:noProof/>
        </w:rPr>
        <w:t>Jong Wha</w:t>
      </w:r>
      <w:r w:rsidRPr="001166E9">
        <w:rPr>
          <w:rFonts w:eastAsia="Calibri"/>
        </w:rPr>
        <w:t xml:space="preserve"> Lee. 2013</w:t>
      </w:r>
      <w:r w:rsidR="003A38B0">
        <w:rPr>
          <w:rFonts w:eastAsia="Calibri"/>
        </w:rPr>
        <w:t>b</w:t>
      </w:r>
      <w:r w:rsidRPr="001166E9">
        <w:rPr>
          <w:rFonts w:eastAsia="Calibri"/>
        </w:rPr>
        <w:t>. “</w:t>
      </w:r>
      <w:r w:rsidRPr="00747F5D">
        <w:rPr>
          <w:rFonts w:eastAsia="Calibri"/>
          <w:noProof/>
        </w:rPr>
        <w:t>A New Data Set of Educational Attainment in the World, 1950-2010.</w:t>
      </w:r>
      <w:r w:rsidRPr="001166E9">
        <w:rPr>
          <w:rFonts w:eastAsia="Calibri"/>
        </w:rPr>
        <w:t xml:space="preserve">” </w:t>
      </w:r>
      <w:r w:rsidRPr="001166E9">
        <w:rPr>
          <w:rFonts w:eastAsia="Calibri"/>
          <w:i/>
        </w:rPr>
        <w:t>Journal of Development Economics</w:t>
      </w:r>
      <w:r w:rsidRPr="001166E9">
        <w:rPr>
          <w:rFonts w:eastAsia="Calibri"/>
        </w:rPr>
        <w:t xml:space="preserve"> 104:184-98.</w:t>
      </w:r>
    </w:p>
    <w:p w:rsidR="008D6BD4" w:rsidRDefault="008D6BD4" w:rsidP="00D41425">
      <w:pPr>
        <w:spacing w:after="200" w:line="240" w:lineRule="auto"/>
        <w:contextualSpacing/>
        <w:rPr>
          <w:rFonts w:eastAsia="Calibri"/>
        </w:rPr>
      </w:pPr>
    </w:p>
    <w:p w:rsidR="008D6BD4" w:rsidRPr="008D6BD4" w:rsidRDefault="008D6BD4" w:rsidP="008D6BD4">
      <w:pPr>
        <w:spacing w:line="240" w:lineRule="auto"/>
        <w:contextualSpacing/>
        <w:rPr>
          <w:rFonts w:eastAsia="Calibri"/>
        </w:rPr>
      </w:pPr>
      <w:r w:rsidRPr="008D6BD4">
        <w:rPr>
          <w:rFonts w:eastAsia="Calibri"/>
        </w:rPr>
        <w:t xml:space="preserve">Bourguignon, F. 2001. “Crime as a Social </w:t>
      </w:r>
      <w:r w:rsidRPr="006F0D5D">
        <w:rPr>
          <w:rFonts w:eastAsia="Calibri"/>
          <w:noProof/>
        </w:rPr>
        <w:t>Cost of Poverty and Inequality: A Review Focusing</w:t>
      </w:r>
      <w:r w:rsidRPr="008D6BD4">
        <w:rPr>
          <w:rFonts w:eastAsia="Calibri"/>
        </w:rPr>
        <w:t xml:space="preserve"> on Developing Countries.” Pp. 171-91 in </w:t>
      </w:r>
      <w:r w:rsidRPr="008D6BD4">
        <w:rPr>
          <w:rFonts w:eastAsia="Calibri"/>
          <w:i/>
        </w:rPr>
        <w:t xml:space="preserve">Facts of Globalization: International and Local Dimensions of Development </w:t>
      </w:r>
      <w:r w:rsidRPr="008D6BD4">
        <w:rPr>
          <w:rFonts w:eastAsia="Calibri"/>
        </w:rPr>
        <w:t>edited by S. Yusuf, S. Evenett, and W. Wu. Washington, D.C.: The World Bank.</w:t>
      </w:r>
    </w:p>
    <w:p w:rsidR="001C1CE8" w:rsidRDefault="001C1CE8" w:rsidP="00D41425">
      <w:pPr>
        <w:spacing w:line="240" w:lineRule="auto"/>
        <w:contextualSpacing/>
      </w:pPr>
    </w:p>
    <w:p w:rsidR="001C1CE8" w:rsidRPr="001C1CE8" w:rsidRDefault="001C1CE8" w:rsidP="00D41425">
      <w:pPr>
        <w:spacing w:line="240" w:lineRule="auto"/>
        <w:contextualSpacing/>
      </w:pPr>
      <w:r w:rsidRPr="006F0D5D">
        <w:rPr>
          <w:noProof/>
        </w:rPr>
        <w:t>Buchman, Claudia. 1996. “The Debt Crisis, Structural Adjustment</w:t>
      </w:r>
      <w:r w:rsidRPr="001C1CE8">
        <w:t xml:space="preserve"> and Women’s Education: Implications for Status and Social Development.” </w:t>
      </w:r>
      <w:r w:rsidRPr="001C1CE8">
        <w:rPr>
          <w:i/>
        </w:rPr>
        <w:t>International Journal of Comparative Sociology</w:t>
      </w:r>
      <w:r w:rsidRPr="001C1CE8">
        <w:t xml:space="preserve"> 37(1/2):5-30.</w:t>
      </w:r>
    </w:p>
    <w:p w:rsidR="000B44F9" w:rsidRDefault="000B44F9" w:rsidP="00D41425">
      <w:pPr>
        <w:spacing w:line="240" w:lineRule="auto"/>
        <w:contextualSpacing/>
      </w:pPr>
    </w:p>
    <w:p w:rsidR="000B44F9" w:rsidRDefault="000B44F9" w:rsidP="00D41425">
      <w:pPr>
        <w:spacing w:line="240" w:lineRule="auto"/>
        <w:contextualSpacing/>
      </w:pPr>
      <w:r w:rsidRPr="00F652E7">
        <w:rPr>
          <w:noProof/>
        </w:rPr>
        <w:t xml:space="preserve">Burns, Thomas J., Byron L. Davis, </w:t>
      </w:r>
      <w:r w:rsidRPr="00DE31C9">
        <w:rPr>
          <w:noProof/>
        </w:rPr>
        <w:t xml:space="preserve">and Edward L. Kick. </w:t>
      </w:r>
      <w:r w:rsidRPr="006F0D5D">
        <w:rPr>
          <w:noProof/>
        </w:rPr>
        <w:t>1997. “Position in the World-System and National Emission</w:t>
      </w:r>
      <w:r>
        <w:t xml:space="preserve"> of Greenhouse Gases.” </w:t>
      </w:r>
      <w:r>
        <w:rPr>
          <w:i/>
        </w:rPr>
        <w:t>Journal of World-Systems Research</w:t>
      </w:r>
      <w:r>
        <w:t xml:space="preserve"> 3(3):432-66.</w:t>
      </w:r>
    </w:p>
    <w:p w:rsidR="000B44F9" w:rsidRDefault="000B44F9" w:rsidP="00D41425">
      <w:pPr>
        <w:spacing w:line="240" w:lineRule="auto"/>
        <w:contextualSpacing/>
        <w:rPr>
          <w:noProof/>
        </w:rPr>
      </w:pPr>
    </w:p>
    <w:p w:rsidR="000B44F9" w:rsidRDefault="000B44F9" w:rsidP="00D41425">
      <w:pPr>
        <w:spacing w:line="240" w:lineRule="auto"/>
        <w:contextualSpacing/>
      </w:pPr>
      <w:r w:rsidRPr="00F652E7">
        <w:rPr>
          <w:noProof/>
        </w:rPr>
        <w:t xml:space="preserve">Burns, Thomas J., Edward L. Kick, </w:t>
      </w:r>
      <w:r w:rsidRPr="00DE31C9">
        <w:rPr>
          <w:noProof/>
        </w:rPr>
        <w:t>David A. Murray, and Dixie A. Murray. 1994.</w:t>
      </w:r>
      <w:r w:rsidRPr="00F652E7">
        <w:rPr>
          <w:noProof/>
        </w:rPr>
        <w:t xml:space="preserve"> “Demography, Development and Deforestation in a World-System Perspective.” </w:t>
      </w:r>
      <w:r w:rsidRPr="00F652E7">
        <w:rPr>
          <w:i/>
          <w:noProof/>
        </w:rPr>
        <w:t>International Journal of Comparative Sociology</w:t>
      </w:r>
      <w:r w:rsidRPr="00F652E7">
        <w:rPr>
          <w:noProof/>
        </w:rPr>
        <w:t xml:space="preserve"> 35:</w:t>
      </w:r>
      <w:r>
        <w:t>221-39.</w:t>
      </w:r>
    </w:p>
    <w:p w:rsidR="00BB07B1" w:rsidRDefault="00BB07B1" w:rsidP="00D41425">
      <w:pPr>
        <w:spacing w:line="240" w:lineRule="auto"/>
        <w:contextualSpacing/>
      </w:pPr>
    </w:p>
    <w:p w:rsidR="00BB07B1" w:rsidRPr="00BB07B1" w:rsidRDefault="00BB07B1" w:rsidP="00D41425">
      <w:pPr>
        <w:spacing w:line="240" w:lineRule="auto"/>
        <w:contextualSpacing/>
      </w:pPr>
      <w:r>
        <w:t>Central Intelligence Agency</w:t>
      </w:r>
      <w:r w:rsidR="003A38B0">
        <w:t>. N.</w:t>
      </w:r>
      <w:r w:rsidR="003A38B0" w:rsidRPr="006F0D5D">
        <w:rPr>
          <w:noProof/>
        </w:rPr>
        <w:t>d.</w:t>
      </w:r>
      <w:r w:rsidRPr="006F0D5D">
        <w:rPr>
          <w:noProof/>
        </w:rPr>
        <w:t xml:space="preserve"> </w:t>
      </w:r>
      <w:r w:rsidRPr="006F0D5D">
        <w:rPr>
          <w:i/>
          <w:noProof/>
        </w:rPr>
        <w:t>The World Factbook</w:t>
      </w:r>
      <w:r w:rsidRPr="006F0D5D">
        <w:rPr>
          <w:noProof/>
        </w:rPr>
        <w:t>. Retrieved March 17, 2014</w:t>
      </w:r>
      <w:r>
        <w:t xml:space="preserve"> (</w:t>
      </w:r>
      <w:r w:rsidRPr="00BB07B1">
        <w:t>https://www.cia.gov/library/publications/the-world-factbook/</w:t>
      </w:r>
      <w:r>
        <w:t>).</w:t>
      </w:r>
    </w:p>
    <w:p w:rsidR="001C1CE8" w:rsidRDefault="001C1CE8" w:rsidP="00D41425">
      <w:pPr>
        <w:spacing w:line="240" w:lineRule="auto"/>
        <w:contextualSpacing/>
      </w:pPr>
    </w:p>
    <w:p w:rsidR="001C1CE8" w:rsidRPr="001C1CE8" w:rsidRDefault="001C1CE8" w:rsidP="00D41425">
      <w:pPr>
        <w:spacing w:line="240" w:lineRule="auto"/>
        <w:contextualSpacing/>
      </w:pPr>
      <w:r>
        <w:lastRenderedPageBreak/>
        <w:t xml:space="preserve">Chambliss, William J. 1964. “Sociological </w:t>
      </w:r>
      <w:r w:rsidRPr="006F0D5D">
        <w:rPr>
          <w:noProof/>
        </w:rPr>
        <w:t xml:space="preserve">Analysis of the Law of Vagrancy.” </w:t>
      </w:r>
      <w:r w:rsidRPr="006F0D5D">
        <w:rPr>
          <w:i/>
          <w:noProof/>
        </w:rPr>
        <w:t>Social Problems</w:t>
      </w:r>
      <w:r>
        <w:t xml:space="preserve"> 12(1):67-77.</w:t>
      </w:r>
    </w:p>
    <w:p w:rsidR="000B44F9" w:rsidRDefault="000B44F9" w:rsidP="00D41425">
      <w:pPr>
        <w:spacing w:line="240" w:lineRule="auto"/>
        <w:contextualSpacing/>
      </w:pPr>
    </w:p>
    <w:p w:rsidR="000B44F9" w:rsidRDefault="000B44F9" w:rsidP="00D41425">
      <w:pPr>
        <w:spacing w:line="240" w:lineRule="auto"/>
        <w:contextualSpacing/>
      </w:pPr>
      <w:r>
        <w:t xml:space="preserve">Chase-Dunn, Christopher. 1998. </w:t>
      </w:r>
      <w:r>
        <w:rPr>
          <w:i/>
        </w:rPr>
        <w:t>Global Formation: Structures of the World-Economy</w:t>
      </w:r>
      <w:r>
        <w:t>. 2</w:t>
      </w:r>
      <w:r w:rsidRPr="00A547B8">
        <w:rPr>
          <w:vertAlign w:val="superscript"/>
        </w:rPr>
        <w:t>nd</w:t>
      </w:r>
      <w:r>
        <w:t xml:space="preserve"> ed. Lanham, MD: Rowman and Littlefield Publishers, Inc.</w:t>
      </w:r>
    </w:p>
    <w:p w:rsidR="0053487E" w:rsidRDefault="0053487E" w:rsidP="00D41425">
      <w:pPr>
        <w:spacing w:line="240" w:lineRule="auto"/>
        <w:contextualSpacing/>
      </w:pPr>
    </w:p>
    <w:p w:rsidR="0053487E" w:rsidRPr="0053487E" w:rsidRDefault="0053487E" w:rsidP="00D41425">
      <w:pPr>
        <w:spacing w:line="240" w:lineRule="auto"/>
        <w:contextualSpacing/>
      </w:pPr>
      <w:r>
        <w:t xml:space="preserve">Chase-Dunn, Christopher, and Peter Grimes. 1995. “World-Systems Analysis.” </w:t>
      </w:r>
      <w:r>
        <w:rPr>
          <w:i/>
        </w:rPr>
        <w:t>Annual Review of Sociology</w:t>
      </w:r>
      <w:r>
        <w:t xml:space="preserve"> 21:387-417.</w:t>
      </w:r>
    </w:p>
    <w:p w:rsidR="000B44F9" w:rsidRDefault="000B44F9" w:rsidP="00D41425">
      <w:pPr>
        <w:spacing w:line="240" w:lineRule="auto"/>
        <w:contextualSpacing/>
      </w:pPr>
    </w:p>
    <w:p w:rsidR="000B44F9" w:rsidRPr="006F0D5D" w:rsidRDefault="000B44F9" w:rsidP="00D41425">
      <w:pPr>
        <w:spacing w:after="200" w:line="240" w:lineRule="auto"/>
        <w:contextualSpacing/>
        <w:rPr>
          <w:rFonts w:eastAsia="Calibri"/>
          <w:noProof/>
        </w:rPr>
      </w:pPr>
      <w:r w:rsidRPr="001166E9">
        <w:rPr>
          <w:rFonts w:eastAsia="Calibri"/>
        </w:rPr>
        <w:t xml:space="preserve">Cingranelli, David </w:t>
      </w:r>
      <w:r w:rsidRPr="006F0D5D">
        <w:rPr>
          <w:rFonts w:eastAsia="Calibri"/>
          <w:noProof/>
        </w:rPr>
        <w:t>L., and David L. Richards. 1999. “Measuring the</w:t>
      </w:r>
      <w:r w:rsidRPr="00747F5D">
        <w:rPr>
          <w:rFonts w:eastAsia="Calibri"/>
          <w:noProof/>
        </w:rPr>
        <w:t xml:space="preserve"> Level, Pattern, and Sequence of Government Respect for Physical Integrity Rights.</w:t>
      </w:r>
      <w:r w:rsidRPr="001166E9">
        <w:rPr>
          <w:rFonts w:eastAsia="Calibri"/>
        </w:rPr>
        <w:t xml:space="preserve">” </w:t>
      </w:r>
      <w:r w:rsidRPr="001166E9">
        <w:rPr>
          <w:rFonts w:eastAsia="Calibri"/>
          <w:i/>
        </w:rPr>
        <w:t xml:space="preserve">International Studies Quarterly </w:t>
      </w:r>
      <w:r w:rsidRPr="001166E9">
        <w:rPr>
          <w:rFonts w:eastAsia="Calibri"/>
        </w:rPr>
        <w:t>43:</w:t>
      </w:r>
      <w:r w:rsidRPr="006F0D5D">
        <w:rPr>
          <w:rFonts w:eastAsia="Calibri"/>
          <w:noProof/>
        </w:rPr>
        <w:t>407-17.</w:t>
      </w:r>
    </w:p>
    <w:p w:rsidR="003A38B0" w:rsidRPr="006F0D5D" w:rsidRDefault="003A38B0" w:rsidP="00D41425">
      <w:pPr>
        <w:spacing w:after="200" w:line="240" w:lineRule="auto"/>
        <w:contextualSpacing/>
        <w:rPr>
          <w:rFonts w:eastAsia="Calibri"/>
          <w:noProof/>
        </w:rPr>
      </w:pPr>
    </w:p>
    <w:p w:rsidR="000B44F9" w:rsidRPr="001166E9" w:rsidRDefault="000B44F9" w:rsidP="00D41425">
      <w:pPr>
        <w:spacing w:after="200" w:line="240" w:lineRule="auto"/>
        <w:contextualSpacing/>
        <w:rPr>
          <w:rFonts w:eastAsia="Calibri"/>
        </w:rPr>
      </w:pPr>
      <w:r w:rsidRPr="006F0D5D">
        <w:rPr>
          <w:rFonts w:eastAsia="Calibri"/>
          <w:noProof/>
        </w:rPr>
        <w:t>Cingranelli, David L., David L. Richards, and</w:t>
      </w:r>
      <w:r w:rsidRPr="00747F5D">
        <w:rPr>
          <w:rFonts w:eastAsia="Calibri"/>
          <w:noProof/>
        </w:rPr>
        <w:t xml:space="preserve"> K. Chad Clay. 2014.</w:t>
      </w:r>
      <w:r w:rsidRPr="001166E9">
        <w:rPr>
          <w:rFonts w:eastAsia="Calibri"/>
        </w:rPr>
        <w:t xml:space="preserve"> </w:t>
      </w:r>
      <w:r w:rsidRPr="001166E9">
        <w:rPr>
          <w:rFonts w:eastAsia="Calibri"/>
          <w:i/>
        </w:rPr>
        <w:t xml:space="preserve">CIRI Human Rights Data Project: Short Variable Descriptions for Indicators in the Cingranelli-Richards (CIRI) Human Rights </w:t>
      </w:r>
      <w:r w:rsidRPr="006F0D5D">
        <w:rPr>
          <w:rFonts w:eastAsia="Calibri"/>
          <w:i/>
          <w:noProof/>
        </w:rPr>
        <w:t>Dataset.</w:t>
      </w:r>
      <w:r w:rsidRPr="006F0D5D">
        <w:rPr>
          <w:rFonts w:eastAsia="Calibri"/>
          <w:noProof/>
        </w:rPr>
        <w:t xml:space="preserve"> Retrieved August 22, 2014 (</w:t>
      </w:r>
      <w:r w:rsidRPr="006F0D5D">
        <w:rPr>
          <w:noProof/>
        </w:rPr>
        <w:t>http://www.humanrightsdata.</w:t>
      </w:r>
      <w:r w:rsidRPr="003E4401">
        <w:t>com/</w:t>
      </w:r>
      <w:r w:rsidRPr="001166E9">
        <w:rPr>
          <w:rFonts w:eastAsia="Calibri"/>
        </w:rPr>
        <w:t xml:space="preserve">) </w:t>
      </w:r>
    </w:p>
    <w:p w:rsidR="000B44F9" w:rsidRDefault="000B44F9"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sidRPr="001166E9">
        <w:rPr>
          <w:rFonts w:eastAsia="Calibri"/>
        </w:rPr>
        <w:t>Clark, Rob. 2011. “World Health Inequality: Convergence, Divergence, and Development.”</w:t>
      </w:r>
      <w:r w:rsidRPr="001166E9">
        <w:rPr>
          <w:rFonts w:eastAsia="Calibri"/>
          <w:i/>
        </w:rPr>
        <w:t xml:space="preserve"> Social Science &amp; Medicine</w:t>
      </w:r>
      <w:r w:rsidRPr="001166E9">
        <w:rPr>
          <w:rFonts w:eastAsia="Calibri"/>
        </w:rPr>
        <w:t xml:space="preserve"> 72:617-24.</w:t>
      </w:r>
    </w:p>
    <w:p w:rsidR="000B44F9" w:rsidRDefault="000B44F9" w:rsidP="00D41425">
      <w:pPr>
        <w:spacing w:after="200" w:line="240" w:lineRule="auto"/>
        <w:contextualSpacing/>
        <w:rPr>
          <w:rFonts w:eastAsia="Calibri"/>
        </w:rPr>
      </w:pPr>
    </w:p>
    <w:p w:rsidR="000B44F9" w:rsidRPr="0022145F" w:rsidRDefault="000B44F9" w:rsidP="00D41425">
      <w:pPr>
        <w:spacing w:line="240" w:lineRule="auto"/>
        <w:contextualSpacing/>
      </w:pPr>
      <w:r>
        <w:t xml:space="preserve">Clark, Rob. 2012. “World-system Position and Democracy, 1972-2008.” </w:t>
      </w:r>
      <w:r>
        <w:rPr>
          <w:i/>
        </w:rPr>
        <w:t xml:space="preserve">International Journal of Comparative Sociology </w:t>
      </w:r>
      <w:r>
        <w:t>53:367-99.</w:t>
      </w:r>
    </w:p>
    <w:p w:rsidR="000B44F9" w:rsidRDefault="000B44F9" w:rsidP="00D41425">
      <w:pPr>
        <w:spacing w:line="240" w:lineRule="auto"/>
        <w:contextualSpacing/>
      </w:pPr>
    </w:p>
    <w:p w:rsidR="000B44F9" w:rsidRDefault="000B44F9" w:rsidP="00D41425">
      <w:pPr>
        <w:spacing w:line="240" w:lineRule="auto"/>
        <w:contextualSpacing/>
      </w:pPr>
      <w:r>
        <w:t>Clark, Rob</w:t>
      </w:r>
      <w:r w:rsidR="00572D83">
        <w:t>,</w:t>
      </w:r>
      <w:r>
        <w:t xml:space="preserve"> and Jason Beckfield. 2009. “</w:t>
      </w:r>
      <w:r w:rsidRPr="00F652E7">
        <w:rPr>
          <w:noProof/>
        </w:rPr>
        <w:t xml:space="preserve">A New Trichotomous Measure of World-system </w:t>
      </w:r>
      <w:r w:rsidRPr="00DE31C9">
        <w:rPr>
          <w:noProof/>
        </w:rPr>
        <w:t xml:space="preserve">Position Using the International Trade Network.” </w:t>
      </w:r>
      <w:r w:rsidRPr="00DE31C9">
        <w:rPr>
          <w:i/>
          <w:noProof/>
        </w:rPr>
        <w:t>International Journal</w:t>
      </w:r>
      <w:r>
        <w:rPr>
          <w:i/>
        </w:rPr>
        <w:t xml:space="preserve"> of Comparative Sociology</w:t>
      </w:r>
      <w:r>
        <w:t xml:space="preserve"> 50:5-38.</w:t>
      </w:r>
    </w:p>
    <w:p w:rsidR="000B44F9" w:rsidRDefault="000B44F9" w:rsidP="00D41425">
      <w:pPr>
        <w:spacing w:line="240" w:lineRule="auto"/>
        <w:contextualSpacing/>
      </w:pPr>
    </w:p>
    <w:p w:rsidR="000B44F9" w:rsidRPr="00A9480E" w:rsidRDefault="000B44F9" w:rsidP="00D41425">
      <w:pPr>
        <w:spacing w:line="240" w:lineRule="auto"/>
        <w:contextualSpacing/>
      </w:pPr>
      <w:r>
        <w:t xml:space="preserve">Copley, Lauren. 2014. “What Does Policy Have to do With It? The Political Economy of Latino Sex Trafficking in the United States.” </w:t>
      </w:r>
      <w:r>
        <w:rPr>
          <w:i/>
        </w:rPr>
        <w:t>Crime, Law and Social Change</w:t>
      </w:r>
      <w:r>
        <w:t xml:space="preserve"> 62:571-84.</w:t>
      </w:r>
    </w:p>
    <w:p w:rsidR="00141162" w:rsidRDefault="00141162" w:rsidP="00D41425">
      <w:pPr>
        <w:spacing w:line="240" w:lineRule="auto"/>
        <w:contextualSpacing/>
      </w:pPr>
    </w:p>
    <w:p w:rsidR="003E4401" w:rsidRDefault="003E4401" w:rsidP="00D41425">
      <w:pPr>
        <w:spacing w:line="240" w:lineRule="auto"/>
        <w:contextualSpacing/>
      </w:pPr>
      <w:r>
        <w:t xml:space="preserve">Crenshaw, Edward. </w:t>
      </w:r>
      <w:r w:rsidRPr="00E50734">
        <w:rPr>
          <w:noProof/>
        </w:rPr>
        <w:t>1992. “Cross-National Determinants of Income Inequality: A Replication</w:t>
      </w:r>
      <w:r w:rsidRPr="001B410B">
        <w:rPr>
          <w:noProof/>
        </w:rPr>
        <w:t xml:space="preserve"> and </w:t>
      </w:r>
      <w:r w:rsidRPr="006F0D5D">
        <w:rPr>
          <w:noProof/>
        </w:rPr>
        <w:t xml:space="preserve">Extension Using Ecological-Evolutionary Theory.” </w:t>
      </w:r>
      <w:r w:rsidRPr="006F0D5D">
        <w:rPr>
          <w:i/>
          <w:noProof/>
        </w:rPr>
        <w:t xml:space="preserve">Social Forces </w:t>
      </w:r>
      <w:r w:rsidRPr="006F0D5D">
        <w:rPr>
          <w:noProof/>
        </w:rPr>
        <w:t>71(2</w:t>
      </w:r>
      <w:r>
        <w:t xml:space="preserve">):339-63. </w:t>
      </w:r>
    </w:p>
    <w:p w:rsidR="003E4401" w:rsidRDefault="003E4401" w:rsidP="00D41425">
      <w:pPr>
        <w:spacing w:line="240" w:lineRule="auto"/>
        <w:contextualSpacing/>
      </w:pPr>
    </w:p>
    <w:p w:rsidR="007F1704" w:rsidRDefault="000B44F9" w:rsidP="00D41425">
      <w:pPr>
        <w:spacing w:line="240" w:lineRule="auto"/>
        <w:contextualSpacing/>
      </w:pPr>
      <w:r w:rsidRPr="00E50734">
        <w:rPr>
          <w:noProof/>
        </w:rPr>
        <w:t>DeMichele, Matthew. 2010. “Three Worlds of Western Punishment:</w:t>
      </w:r>
      <w:r w:rsidRPr="00543F01">
        <w:rPr>
          <w:noProof/>
        </w:rPr>
        <w:t xml:space="preserve"> A </w:t>
      </w:r>
      <w:r w:rsidRPr="006F0D5D">
        <w:rPr>
          <w:noProof/>
        </w:rPr>
        <w:t>Regime Theory of Cross-National Incarceration Rate Variation, 1960-2002.</w:t>
      </w:r>
      <w:r>
        <w:t xml:space="preserve">” </w:t>
      </w:r>
      <w:r w:rsidRPr="006F0D5D">
        <w:rPr>
          <w:noProof/>
        </w:rPr>
        <w:t>PhD</w:t>
      </w:r>
      <w:r>
        <w:t xml:space="preserve"> dissertation, Department of Sociology, University of Kentucky, Lexington. </w:t>
      </w:r>
    </w:p>
    <w:p w:rsidR="007F1704" w:rsidRDefault="007F1704" w:rsidP="00D41425">
      <w:pPr>
        <w:spacing w:line="240" w:lineRule="auto"/>
        <w:contextualSpacing/>
      </w:pPr>
    </w:p>
    <w:p w:rsidR="007F1704" w:rsidRDefault="007F1704" w:rsidP="00D41425">
      <w:pPr>
        <w:spacing w:line="240" w:lineRule="auto"/>
        <w:contextualSpacing/>
      </w:pPr>
      <w:r>
        <w:t>Drug War Facts. N.d. “Crime, Arrests, and US Law Enforcement.” Retrieved January 11, 2016 (</w:t>
      </w:r>
      <w:r w:rsidRPr="007F1704">
        <w:t>http://www.drugwarfacts.org/cms/Crime#sthash.J8Nuttuu.dpbs</w:t>
      </w:r>
      <w:r>
        <w:t xml:space="preserve">) </w:t>
      </w:r>
    </w:p>
    <w:p w:rsidR="007F1704" w:rsidRDefault="007F1704" w:rsidP="00D41425">
      <w:pPr>
        <w:spacing w:line="240" w:lineRule="auto"/>
        <w:contextualSpacing/>
      </w:pPr>
    </w:p>
    <w:p w:rsidR="00B646B7" w:rsidRPr="00B646B7" w:rsidRDefault="00B646B7" w:rsidP="00D41425">
      <w:pPr>
        <w:spacing w:line="240" w:lineRule="auto"/>
        <w:contextualSpacing/>
      </w:pPr>
      <w:r>
        <w:t xml:space="preserve">Durkheim, Emile. [1933] 1960. </w:t>
      </w:r>
      <w:r>
        <w:rPr>
          <w:i/>
        </w:rPr>
        <w:t>The Division of Labor in Society</w:t>
      </w:r>
      <w:r>
        <w:t>. Translated by G. Simpson. Glencoe, IL: The Free Press.</w:t>
      </w:r>
    </w:p>
    <w:p w:rsidR="000B44F9" w:rsidRDefault="000B44F9" w:rsidP="00D41425">
      <w:pPr>
        <w:spacing w:line="240" w:lineRule="auto"/>
        <w:contextualSpacing/>
      </w:pPr>
    </w:p>
    <w:p w:rsidR="000B44F9" w:rsidRDefault="003B7C61" w:rsidP="00D41425">
      <w:pPr>
        <w:spacing w:line="240" w:lineRule="auto"/>
        <w:contextualSpacing/>
      </w:pPr>
      <w:r>
        <w:lastRenderedPageBreak/>
        <w:t>Durkheim, Emile. 1966</w:t>
      </w:r>
      <w:r w:rsidR="000B44F9">
        <w:t xml:space="preserve">. </w:t>
      </w:r>
      <w:r w:rsidR="000B44F9" w:rsidRPr="006F0D5D">
        <w:rPr>
          <w:i/>
          <w:noProof/>
        </w:rPr>
        <w:t>The Rules</w:t>
      </w:r>
      <w:r w:rsidR="000B44F9">
        <w:rPr>
          <w:i/>
        </w:rPr>
        <w:t xml:space="preserve"> of Sociological Method</w:t>
      </w:r>
      <w:r w:rsidR="000B44F9">
        <w:t xml:space="preserve">. </w:t>
      </w:r>
      <w:r>
        <w:t>8</w:t>
      </w:r>
      <w:r w:rsidRPr="003B7C61">
        <w:rPr>
          <w:vertAlign w:val="superscript"/>
        </w:rPr>
        <w:t>th</w:t>
      </w:r>
      <w:r>
        <w:t xml:space="preserve"> ed. </w:t>
      </w:r>
      <w:r w:rsidR="000B44F9">
        <w:t xml:space="preserve">Translated by </w:t>
      </w:r>
      <w:r w:rsidR="000B44F9" w:rsidRPr="006F0D5D">
        <w:rPr>
          <w:noProof/>
        </w:rPr>
        <w:t>S. A. Solovay and J. H. Mueller. New</w:t>
      </w:r>
      <w:r w:rsidR="000B44F9">
        <w:t xml:space="preserve"> York: Free Press. </w:t>
      </w:r>
    </w:p>
    <w:p w:rsidR="000B44F9" w:rsidRDefault="000B44F9" w:rsidP="00D41425">
      <w:pPr>
        <w:spacing w:line="240" w:lineRule="auto"/>
        <w:ind w:left="720"/>
        <w:contextualSpacing/>
      </w:pPr>
    </w:p>
    <w:p w:rsidR="000B44F9" w:rsidRPr="00E50734" w:rsidRDefault="000B44F9" w:rsidP="00D41425">
      <w:pPr>
        <w:spacing w:line="240" w:lineRule="auto"/>
        <w:contextualSpacing/>
        <w:rPr>
          <w:noProof/>
        </w:rPr>
      </w:pPr>
      <w:r>
        <w:t>Durkheim, Emile. [1900] 1973. “</w:t>
      </w:r>
      <w:r w:rsidRPr="00E50734">
        <w:rPr>
          <w:noProof/>
        </w:rPr>
        <w:t xml:space="preserve">Two Laws of Penal Evolution.” Translated by </w:t>
      </w:r>
      <w:r w:rsidRPr="006F0D5D">
        <w:rPr>
          <w:noProof/>
        </w:rPr>
        <w:t xml:space="preserve">T. A. Jones and A. T. Scull. </w:t>
      </w:r>
      <w:r w:rsidRPr="006F0D5D">
        <w:rPr>
          <w:i/>
          <w:noProof/>
        </w:rPr>
        <w:t>Economy</w:t>
      </w:r>
      <w:r>
        <w:rPr>
          <w:i/>
        </w:rPr>
        <w:t xml:space="preserve"> and Society</w:t>
      </w:r>
      <w:r>
        <w:t xml:space="preserve"> 2(3): 285-308. doi: </w:t>
      </w:r>
      <w:r w:rsidRPr="003E4401">
        <w:t>http://</w:t>
      </w:r>
      <w:r w:rsidRPr="00E50734">
        <w:rPr>
          <w:noProof/>
        </w:rPr>
        <w:t xml:space="preserve">dx.doi.org/10.1080/03085147300000014 </w:t>
      </w:r>
    </w:p>
    <w:p w:rsidR="000B44F9" w:rsidRPr="00E50734" w:rsidRDefault="000B44F9" w:rsidP="00D41425">
      <w:pPr>
        <w:spacing w:line="240" w:lineRule="auto"/>
        <w:contextualSpacing/>
        <w:rPr>
          <w:noProof/>
        </w:rPr>
      </w:pPr>
    </w:p>
    <w:p w:rsidR="000B44F9" w:rsidRDefault="000B44F9" w:rsidP="00D41425">
      <w:pPr>
        <w:spacing w:line="240" w:lineRule="auto"/>
        <w:contextualSpacing/>
      </w:pPr>
      <w:r w:rsidRPr="00E50734">
        <w:rPr>
          <w:noProof/>
        </w:rPr>
        <w:t>Durkheim, Emile.</w:t>
      </w:r>
      <w:r>
        <w:t xml:space="preserve"> 1979. </w:t>
      </w:r>
      <w:r>
        <w:rPr>
          <w:i/>
        </w:rPr>
        <w:t xml:space="preserve">Suicide: A Study in Sociology. </w:t>
      </w:r>
      <w:r w:rsidRPr="006F0D5D">
        <w:rPr>
          <w:noProof/>
        </w:rPr>
        <w:t>Translated by J. A. Spaulding and G. Simpson.</w:t>
      </w:r>
      <w:r>
        <w:t xml:space="preserve"> New York: Free Press.</w:t>
      </w:r>
    </w:p>
    <w:p w:rsidR="000B44F9" w:rsidRDefault="000B44F9" w:rsidP="00D41425">
      <w:pPr>
        <w:spacing w:line="240" w:lineRule="auto"/>
        <w:contextualSpacing/>
      </w:pPr>
    </w:p>
    <w:p w:rsidR="000B44F9" w:rsidRPr="00E50734" w:rsidRDefault="000B44F9" w:rsidP="00D41425">
      <w:pPr>
        <w:spacing w:line="240" w:lineRule="auto"/>
        <w:contextualSpacing/>
        <w:rPr>
          <w:noProof/>
        </w:rPr>
      </w:pPr>
      <w:r>
        <w:t>Dyches, Hayne</w:t>
      </w:r>
      <w:r w:rsidR="00572D83">
        <w:t>,</w:t>
      </w:r>
      <w:r>
        <w:t xml:space="preserve"> and </w:t>
      </w:r>
      <w:r w:rsidRPr="00E50734">
        <w:rPr>
          <w:noProof/>
        </w:rPr>
        <w:t xml:space="preserve">Beth Rushing. 1996. “International Stratification </w:t>
      </w:r>
      <w:r w:rsidRPr="006F0D5D">
        <w:rPr>
          <w:noProof/>
        </w:rPr>
        <w:t>and the Health of Women: An Empirical Comparison of</w:t>
      </w:r>
      <w:r w:rsidRPr="00DE31C9">
        <w:rPr>
          <w:noProof/>
        </w:rPr>
        <w:t xml:space="preserve"> Alternative Models of</w:t>
      </w:r>
      <w:r w:rsidRPr="00F652E7">
        <w:rPr>
          <w:noProof/>
        </w:rPr>
        <w:t xml:space="preserve"> World-System Position.</w:t>
      </w:r>
      <w:r>
        <w:t xml:space="preserve">” </w:t>
      </w:r>
      <w:r>
        <w:rPr>
          <w:i/>
        </w:rPr>
        <w:t xml:space="preserve">Social </w:t>
      </w:r>
      <w:r w:rsidRPr="00E50734">
        <w:rPr>
          <w:i/>
          <w:noProof/>
        </w:rPr>
        <w:t>Science and Medicine</w:t>
      </w:r>
      <w:r w:rsidRPr="00E50734">
        <w:rPr>
          <w:noProof/>
        </w:rPr>
        <w:t xml:space="preserve"> 43(3):1063-72.</w:t>
      </w:r>
    </w:p>
    <w:p w:rsidR="000B44F9" w:rsidRPr="00E50734" w:rsidRDefault="000B44F9" w:rsidP="00D41425">
      <w:pPr>
        <w:spacing w:line="240" w:lineRule="auto"/>
        <w:contextualSpacing/>
        <w:rPr>
          <w:noProof/>
        </w:rPr>
      </w:pPr>
    </w:p>
    <w:p w:rsidR="000B44F9" w:rsidRDefault="000B44F9" w:rsidP="00D41425">
      <w:pPr>
        <w:spacing w:line="240" w:lineRule="auto"/>
        <w:contextualSpacing/>
      </w:pPr>
      <w:r w:rsidRPr="00E50734">
        <w:rPr>
          <w:noProof/>
        </w:rPr>
        <w:t>Ergas, Christina</w:t>
      </w:r>
      <w:r w:rsidR="00572D83" w:rsidRPr="00E50734">
        <w:rPr>
          <w:noProof/>
        </w:rPr>
        <w:t>,</w:t>
      </w:r>
      <w:r>
        <w:t xml:space="preserve"> and Richard York. 2012. “Women’s Status and Carbon Dioxide Emission: A Quantitative Cross-national Analysis.” </w:t>
      </w:r>
      <w:r>
        <w:rPr>
          <w:i/>
        </w:rPr>
        <w:t>Social Science Research</w:t>
      </w:r>
      <w:r>
        <w:t xml:space="preserve"> 41:965-76.</w:t>
      </w:r>
    </w:p>
    <w:p w:rsidR="000B44F9" w:rsidRDefault="000B44F9" w:rsidP="00D41425">
      <w:pPr>
        <w:spacing w:line="240" w:lineRule="auto"/>
        <w:contextualSpacing/>
      </w:pPr>
    </w:p>
    <w:p w:rsidR="000B44F9" w:rsidRPr="001166E9" w:rsidRDefault="000B44F9" w:rsidP="00D41425">
      <w:pPr>
        <w:spacing w:after="200" w:line="240" w:lineRule="auto"/>
        <w:contextualSpacing/>
        <w:rPr>
          <w:rFonts w:eastAsia="Calibri"/>
        </w:rPr>
      </w:pPr>
      <w:r w:rsidRPr="001166E9">
        <w:rPr>
          <w:rFonts w:eastAsia="Calibri"/>
        </w:rPr>
        <w:t>Fearon, James D. 2</w:t>
      </w:r>
      <w:r>
        <w:rPr>
          <w:rFonts w:eastAsia="Calibri"/>
        </w:rPr>
        <w:t>0</w:t>
      </w:r>
      <w:r w:rsidRPr="001166E9">
        <w:rPr>
          <w:rFonts w:eastAsia="Calibri"/>
        </w:rPr>
        <w:t xml:space="preserve">03. “Ethnic and Cultural Diversity by Country.” </w:t>
      </w:r>
      <w:r w:rsidRPr="001166E9">
        <w:rPr>
          <w:rFonts w:eastAsia="Calibri"/>
          <w:i/>
        </w:rPr>
        <w:t>Journal of Economic G</w:t>
      </w:r>
      <w:r>
        <w:rPr>
          <w:rFonts w:eastAsia="Calibri"/>
          <w:i/>
        </w:rPr>
        <w:t>r</w:t>
      </w:r>
      <w:r w:rsidRPr="001166E9">
        <w:rPr>
          <w:rFonts w:eastAsia="Calibri"/>
          <w:i/>
        </w:rPr>
        <w:t>owth</w:t>
      </w:r>
      <w:r w:rsidRPr="001166E9">
        <w:rPr>
          <w:rFonts w:eastAsia="Calibri"/>
        </w:rPr>
        <w:t xml:space="preserve"> 8:195-222.</w:t>
      </w:r>
    </w:p>
    <w:p w:rsidR="000B44F9" w:rsidRDefault="000B44F9" w:rsidP="00D41425">
      <w:pPr>
        <w:spacing w:line="240" w:lineRule="auto"/>
        <w:contextualSpacing/>
      </w:pPr>
    </w:p>
    <w:p w:rsidR="000B44F9" w:rsidRDefault="000B44F9" w:rsidP="00D41425">
      <w:pPr>
        <w:spacing w:line="240" w:lineRule="auto"/>
        <w:contextualSpacing/>
      </w:pPr>
      <w:r>
        <w:t>Felson, Marcus</w:t>
      </w:r>
      <w:r w:rsidR="00572D83">
        <w:t>,</w:t>
      </w:r>
      <w:r>
        <w:t xml:space="preserve"> and Rachel Boba. 2010. </w:t>
      </w:r>
      <w:r>
        <w:rPr>
          <w:i/>
        </w:rPr>
        <w:t>Crime and Everyday Life</w:t>
      </w:r>
      <w:r>
        <w:t>. 4</w:t>
      </w:r>
      <w:r w:rsidRPr="00075812">
        <w:rPr>
          <w:vertAlign w:val="superscript"/>
        </w:rPr>
        <w:t>th</w:t>
      </w:r>
      <w:r>
        <w:t xml:space="preserve"> ed. Thousand Oaks, CA: SAGE Publications.</w:t>
      </w:r>
    </w:p>
    <w:p w:rsidR="000B44F9" w:rsidRDefault="000B44F9" w:rsidP="00D41425">
      <w:pPr>
        <w:spacing w:line="240" w:lineRule="auto"/>
        <w:contextualSpacing/>
      </w:pPr>
    </w:p>
    <w:p w:rsidR="000B44F9" w:rsidRDefault="000B44F9" w:rsidP="00D41425">
      <w:pPr>
        <w:spacing w:line="240" w:lineRule="auto"/>
        <w:contextualSpacing/>
      </w:pPr>
      <w:r>
        <w:t xml:space="preserve">Foucault, </w:t>
      </w:r>
      <w:r w:rsidRPr="006F0D5D">
        <w:rPr>
          <w:noProof/>
        </w:rPr>
        <w:t xml:space="preserve">Michel. [1977] 1995. </w:t>
      </w:r>
      <w:r w:rsidRPr="006F0D5D">
        <w:rPr>
          <w:i/>
          <w:noProof/>
        </w:rPr>
        <w:t>Discipline &amp; Punish: The Birth of</w:t>
      </w:r>
      <w:r>
        <w:rPr>
          <w:i/>
        </w:rPr>
        <w:t xml:space="preserve"> the Prison</w:t>
      </w:r>
      <w:r>
        <w:t xml:space="preserve">. Translated by A. Sheridan. New York: Random House. </w:t>
      </w:r>
    </w:p>
    <w:p w:rsidR="000B44F9" w:rsidRDefault="000B44F9" w:rsidP="00D41425">
      <w:pPr>
        <w:spacing w:after="200" w:line="240" w:lineRule="auto"/>
        <w:contextualSpacing/>
        <w:rPr>
          <w:rFonts w:eastAsia="Calibri"/>
        </w:rPr>
      </w:pPr>
    </w:p>
    <w:p w:rsidR="000B44F9" w:rsidRPr="00E50734" w:rsidRDefault="000B44F9" w:rsidP="00D41425">
      <w:pPr>
        <w:spacing w:after="200" w:line="240" w:lineRule="auto"/>
        <w:contextualSpacing/>
        <w:rPr>
          <w:rFonts w:eastAsia="Calibri"/>
          <w:noProof/>
        </w:rPr>
      </w:pPr>
      <w:r w:rsidRPr="001166E9">
        <w:rPr>
          <w:rFonts w:eastAsia="Calibri"/>
        </w:rPr>
        <w:t>Freedom House. 2014</w:t>
      </w:r>
      <w:r w:rsidR="003A38B0">
        <w:rPr>
          <w:rFonts w:eastAsia="Calibri"/>
        </w:rPr>
        <w:t>a</w:t>
      </w:r>
      <w:r w:rsidRPr="001166E9">
        <w:rPr>
          <w:rFonts w:eastAsia="Calibri"/>
        </w:rPr>
        <w:t xml:space="preserve">. </w:t>
      </w:r>
      <w:r w:rsidRPr="00747F5D">
        <w:rPr>
          <w:rFonts w:eastAsia="Calibri"/>
          <w:i/>
          <w:noProof/>
        </w:rPr>
        <w:t>Freedom in the World 2014: The Democratic Leadership Gap</w:t>
      </w:r>
      <w:r w:rsidRPr="00747F5D">
        <w:rPr>
          <w:rFonts w:eastAsia="Calibri"/>
          <w:noProof/>
        </w:rPr>
        <w:t>.</w:t>
      </w:r>
      <w:r w:rsidRPr="001166E9">
        <w:rPr>
          <w:rFonts w:eastAsia="Calibri"/>
        </w:rPr>
        <w:t xml:space="preserve"> Retrieved March 17, 2014 (</w:t>
      </w:r>
      <w:r w:rsidRPr="003E4401">
        <w:t>http://freedomhouse.org/sites/default/files/Freedom%20in%20the%20World%</w:t>
      </w:r>
      <w:r w:rsidRPr="00E50734">
        <w:rPr>
          <w:noProof/>
        </w:rPr>
        <w:t>202014%20Booklet.pdf</w:t>
      </w:r>
      <w:r w:rsidRPr="00E50734">
        <w:rPr>
          <w:rFonts w:eastAsia="Calibri"/>
          <w:noProof/>
        </w:rPr>
        <w:t>).</w:t>
      </w:r>
    </w:p>
    <w:p w:rsidR="000B44F9" w:rsidRPr="00E50734" w:rsidRDefault="000B44F9" w:rsidP="00D41425">
      <w:pPr>
        <w:spacing w:after="200" w:line="240" w:lineRule="auto"/>
        <w:contextualSpacing/>
        <w:rPr>
          <w:rFonts w:eastAsia="Calibri"/>
          <w:noProof/>
        </w:rPr>
      </w:pPr>
    </w:p>
    <w:p w:rsidR="000B44F9" w:rsidRDefault="000B44F9" w:rsidP="00D41425">
      <w:pPr>
        <w:spacing w:after="200" w:line="240" w:lineRule="auto"/>
        <w:contextualSpacing/>
        <w:rPr>
          <w:rFonts w:eastAsia="Calibri"/>
        </w:rPr>
      </w:pPr>
      <w:r w:rsidRPr="00E50734">
        <w:rPr>
          <w:rFonts w:eastAsia="Calibri"/>
          <w:noProof/>
        </w:rPr>
        <w:t>Freedom House. 2014</w:t>
      </w:r>
      <w:r w:rsidR="003A38B0" w:rsidRPr="00E50734">
        <w:rPr>
          <w:rFonts w:eastAsia="Calibri"/>
          <w:noProof/>
        </w:rPr>
        <w:t>b</w:t>
      </w:r>
      <w:r w:rsidRPr="00E50734">
        <w:rPr>
          <w:rFonts w:eastAsia="Calibri"/>
          <w:noProof/>
        </w:rPr>
        <w:t xml:space="preserve">. </w:t>
      </w:r>
      <w:r w:rsidRPr="00E50734">
        <w:rPr>
          <w:rFonts w:eastAsia="Calibri"/>
          <w:i/>
          <w:noProof/>
        </w:rPr>
        <w:t>Freedom in</w:t>
      </w:r>
      <w:r w:rsidRPr="00747F5D">
        <w:rPr>
          <w:rFonts w:eastAsia="Calibri"/>
          <w:i/>
          <w:noProof/>
        </w:rPr>
        <w:t xml:space="preserve"> the </w:t>
      </w:r>
      <w:r w:rsidRPr="006F0D5D">
        <w:rPr>
          <w:rFonts w:eastAsia="Calibri"/>
          <w:i/>
          <w:noProof/>
        </w:rPr>
        <w:t>World: Country Ratings and Status, 1973-2014 (FINAL).</w:t>
      </w:r>
      <w:r w:rsidRPr="006F0D5D">
        <w:rPr>
          <w:rFonts w:eastAsia="Calibri"/>
          <w:noProof/>
        </w:rPr>
        <w:t xml:space="preserve"> Retrieved</w:t>
      </w:r>
      <w:r w:rsidRPr="001166E9">
        <w:rPr>
          <w:rFonts w:eastAsia="Calibri"/>
        </w:rPr>
        <w:t xml:space="preserve"> March </w:t>
      </w:r>
      <w:r w:rsidRPr="00E50734">
        <w:rPr>
          <w:rFonts w:eastAsia="Calibri"/>
          <w:noProof/>
        </w:rPr>
        <w:t>17, 2014 (</w:t>
      </w:r>
      <w:r w:rsidRPr="00E50734">
        <w:rPr>
          <w:noProof/>
        </w:rPr>
        <w:t>http://www.freedomhouse.org/report-types/freedom-world</w:t>
      </w:r>
      <w:r w:rsidRPr="003E4401">
        <w:t>#.U3jBVCiooTA</w:t>
      </w:r>
      <w:r w:rsidRPr="001166E9">
        <w:rPr>
          <w:rFonts w:eastAsia="Calibri"/>
        </w:rPr>
        <w:t xml:space="preserve">). </w:t>
      </w:r>
    </w:p>
    <w:p w:rsidR="001C1CE8" w:rsidRDefault="001C1CE8" w:rsidP="00D41425">
      <w:pPr>
        <w:spacing w:after="200" w:line="240" w:lineRule="auto"/>
        <w:contextualSpacing/>
        <w:rPr>
          <w:rFonts w:eastAsia="Calibri"/>
        </w:rPr>
      </w:pPr>
    </w:p>
    <w:p w:rsidR="001C1CE8" w:rsidRPr="001C1CE8" w:rsidRDefault="001C1CE8" w:rsidP="00D41425">
      <w:pPr>
        <w:spacing w:after="200" w:line="240" w:lineRule="auto"/>
        <w:contextualSpacing/>
        <w:rPr>
          <w:rFonts w:eastAsia="Calibri"/>
        </w:rPr>
      </w:pPr>
      <w:r w:rsidRPr="006F0D5D">
        <w:rPr>
          <w:rFonts w:eastAsia="Calibri"/>
          <w:noProof/>
        </w:rPr>
        <w:t>Hällsten, Martin, Ryszard Szulkin</w:t>
      </w:r>
      <w:r w:rsidR="00572D83" w:rsidRPr="006F0D5D">
        <w:rPr>
          <w:rFonts w:eastAsia="Calibri"/>
          <w:noProof/>
        </w:rPr>
        <w:t>,</w:t>
      </w:r>
      <w:r w:rsidRPr="006F0D5D">
        <w:rPr>
          <w:rFonts w:eastAsia="Calibri"/>
          <w:noProof/>
        </w:rPr>
        <w:t xml:space="preserve"> and Jerzy Sarnecki.</w:t>
      </w:r>
      <w:r w:rsidRPr="001C1CE8">
        <w:rPr>
          <w:rFonts w:eastAsia="Calibri"/>
        </w:rPr>
        <w:t xml:space="preserve"> 2013. “Crime as a Price of Inequalit</w:t>
      </w:r>
      <w:r w:rsidR="00572D83">
        <w:rPr>
          <w:rFonts w:eastAsia="Calibri"/>
        </w:rPr>
        <w:t>y? The Gap in Registered Crime B</w:t>
      </w:r>
      <w:r w:rsidRPr="001C1CE8">
        <w:rPr>
          <w:rFonts w:eastAsia="Calibri"/>
        </w:rPr>
        <w:t xml:space="preserve">etween Childhood Immigrants, Children of Immigrants and Children of Native Swedes.” </w:t>
      </w:r>
      <w:r w:rsidRPr="001C1CE8">
        <w:rPr>
          <w:rFonts w:eastAsia="Calibri"/>
          <w:i/>
        </w:rPr>
        <w:t xml:space="preserve">British Journal of Criminology </w:t>
      </w:r>
      <w:r w:rsidRPr="001C1CE8">
        <w:rPr>
          <w:rFonts w:eastAsia="Calibri"/>
        </w:rPr>
        <w:t>53:456-81.</w:t>
      </w:r>
    </w:p>
    <w:p w:rsidR="000B44F9" w:rsidRDefault="000B44F9" w:rsidP="00D41425">
      <w:pPr>
        <w:spacing w:line="240" w:lineRule="auto"/>
        <w:contextualSpacing/>
      </w:pPr>
    </w:p>
    <w:p w:rsidR="000B44F9" w:rsidRDefault="000B44F9" w:rsidP="00D41425">
      <w:pPr>
        <w:spacing w:line="240" w:lineRule="auto"/>
        <w:contextualSpacing/>
        <w:rPr>
          <w:noProof/>
        </w:rPr>
      </w:pPr>
      <w:r w:rsidRPr="00936E67">
        <w:t xml:space="preserve">Healy, D., A. Mulcahy, and I. O’Donnell. 2013. “Crime, Punishment, and Inequality in Ireland.” </w:t>
      </w:r>
      <w:r w:rsidRPr="00AA6251">
        <w:rPr>
          <w:noProof/>
        </w:rPr>
        <w:t>Amsterdam Institute for Advanced Labour Studies, GINI Discussion</w:t>
      </w:r>
      <w:r w:rsidRPr="00936E67">
        <w:t xml:space="preserve"> Paper 93. Retrieved August 11, 2014 (</w:t>
      </w:r>
      <w:r w:rsidRPr="003E4401">
        <w:t>http://gini-research.org/system/uploads/591/original/</w:t>
      </w:r>
      <w:r w:rsidRPr="003E4401">
        <w:rPr>
          <w:noProof/>
        </w:rPr>
        <w:t>93.pdf?1385131396</w:t>
      </w:r>
      <w:r w:rsidRPr="0077519E">
        <w:rPr>
          <w:noProof/>
        </w:rPr>
        <w:t>)</w:t>
      </w:r>
      <w:r>
        <w:rPr>
          <w:noProof/>
        </w:rPr>
        <w:t>.</w:t>
      </w:r>
      <w:r w:rsidRPr="0077519E">
        <w:rPr>
          <w:noProof/>
        </w:rPr>
        <w:t xml:space="preserve"> </w:t>
      </w:r>
    </w:p>
    <w:p w:rsidR="00525FCF" w:rsidRDefault="00525FCF" w:rsidP="00D41425">
      <w:pPr>
        <w:spacing w:line="240" w:lineRule="auto"/>
        <w:contextualSpacing/>
        <w:rPr>
          <w:noProof/>
        </w:rPr>
      </w:pPr>
    </w:p>
    <w:p w:rsidR="00525FCF" w:rsidRPr="00525FCF" w:rsidRDefault="00525FCF" w:rsidP="00D41425">
      <w:pPr>
        <w:spacing w:line="240" w:lineRule="auto"/>
        <w:contextualSpacing/>
        <w:rPr>
          <w:noProof/>
        </w:rPr>
      </w:pPr>
      <w:r>
        <w:rPr>
          <w:noProof/>
        </w:rPr>
        <w:t xml:space="preserve">Hill, Gerald N., and </w:t>
      </w:r>
      <w:r w:rsidR="00A63DE0">
        <w:rPr>
          <w:noProof/>
        </w:rPr>
        <w:t xml:space="preserve">Kathleen Thomspon </w:t>
      </w:r>
      <w:r w:rsidRPr="006F0D5D">
        <w:rPr>
          <w:noProof/>
        </w:rPr>
        <w:t>Hill,</w:t>
      </w:r>
      <w:r>
        <w:rPr>
          <w:noProof/>
        </w:rPr>
        <w:t xml:space="preserve"> eds. 2009. </w:t>
      </w:r>
      <w:r>
        <w:rPr>
          <w:i/>
          <w:noProof/>
        </w:rPr>
        <w:t>Nolo’s Plain-English Law Dictionary</w:t>
      </w:r>
      <w:r>
        <w:rPr>
          <w:noProof/>
        </w:rPr>
        <w:t>. Berkeley, CA: Nolo</w:t>
      </w:r>
    </w:p>
    <w:p w:rsidR="000B44F9" w:rsidRDefault="000B44F9" w:rsidP="00D41425">
      <w:pPr>
        <w:spacing w:line="240" w:lineRule="auto"/>
        <w:contextualSpacing/>
      </w:pPr>
    </w:p>
    <w:p w:rsidR="000B44F9" w:rsidRPr="003D0B6E" w:rsidRDefault="000B44F9" w:rsidP="00D41425">
      <w:pPr>
        <w:spacing w:line="240" w:lineRule="auto"/>
        <w:contextualSpacing/>
      </w:pPr>
      <w:r>
        <w:t xml:space="preserve">Howard, Gregory J., Graeme Newman, and William A. </w:t>
      </w:r>
      <w:r w:rsidRPr="006F0D5D">
        <w:rPr>
          <w:noProof/>
        </w:rPr>
        <w:t>Pridemore. 2000. “Theory, Method, and Data in Comparative</w:t>
      </w:r>
      <w:r>
        <w:t xml:space="preserve"> Criminology.” </w:t>
      </w:r>
      <w:r>
        <w:rPr>
          <w:i/>
        </w:rPr>
        <w:t>Criminal Justice</w:t>
      </w:r>
      <w:r>
        <w:t xml:space="preserve"> 4:139-211. Retrieved December 22, 2012 (</w:t>
      </w:r>
      <w:r w:rsidRPr="003E4401">
        <w:t>https://www.ncjrs.gov/criminal_justice2000/vol_4/04d.pdf</w:t>
      </w:r>
      <w:r>
        <w:t xml:space="preserve">). </w:t>
      </w:r>
    </w:p>
    <w:p w:rsidR="000B44F9" w:rsidRDefault="000B44F9" w:rsidP="00D41425">
      <w:pPr>
        <w:spacing w:line="240" w:lineRule="auto"/>
        <w:contextualSpacing/>
        <w:rPr>
          <w:noProof/>
        </w:rPr>
      </w:pPr>
    </w:p>
    <w:p w:rsidR="000B44F9" w:rsidRPr="00532229" w:rsidRDefault="000B44F9" w:rsidP="00D41425">
      <w:pPr>
        <w:spacing w:line="240" w:lineRule="auto"/>
        <w:contextualSpacing/>
        <w:rPr>
          <w:noProof/>
        </w:rPr>
      </w:pPr>
      <w:r w:rsidRPr="00532229">
        <w:rPr>
          <w:noProof/>
        </w:rPr>
        <w:t>Jacobs, David</w:t>
      </w:r>
      <w:r w:rsidR="00572D83">
        <w:rPr>
          <w:noProof/>
        </w:rPr>
        <w:t>,</w:t>
      </w:r>
      <w:r w:rsidRPr="00532229">
        <w:rPr>
          <w:noProof/>
        </w:rPr>
        <w:t xml:space="preserve"> and Richard Kleban.</w:t>
      </w:r>
      <w:r w:rsidRPr="00532229">
        <w:t xml:space="preserve"> </w:t>
      </w:r>
      <w:r w:rsidRPr="00532229">
        <w:rPr>
          <w:noProof/>
        </w:rPr>
        <w:t xml:space="preserve">2003. “Political Institutions, Minorities, and Punishment: A </w:t>
      </w:r>
      <w:r w:rsidRPr="00DE31C9">
        <w:rPr>
          <w:noProof/>
        </w:rPr>
        <w:t xml:space="preserve">Pooled Cross-National Analysis of Imprisonment Rates.” </w:t>
      </w:r>
      <w:r w:rsidRPr="00DE31C9">
        <w:rPr>
          <w:i/>
          <w:noProof/>
        </w:rPr>
        <w:t>Social Forces</w:t>
      </w:r>
      <w:r w:rsidRPr="00532229">
        <w:rPr>
          <w:noProof/>
        </w:rPr>
        <w:t xml:space="preserve"> 80 (2):725-55. </w:t>
      </w:r>
    </w:p>
    <w:p w:rsidR="001C1CE8" w:rsidRDefault="001C1CE8" w:rsidP="00D41425">
      <w:pPr>
        <w:spacing w:line="240" w:lineRule="auto"/>
        <w:contextualSpacing/>
      </w:pPr>
    </w:p>
    <w:p w:rsidR="000B44F9" w:rsidRDefault="001C1CE8" w:rsidP="00D41425">
      <w:pPr>
        <w:spacing w:line="240" w:lineRule="auto"/>
        <w:contextualSpacing/>
      </w:pPr>
      <w:r w:rsidRPr="005C5CDF">
        <w:t>Jenkins, J. Craig</w:t>
      </w:r>
      <w:r w:rsidR="00572D83">
        <w:t>,</w:t>
      </w:r>
      <w:r w:rsidRPr="005C5CDF">
        <w:t xml:space="preserve"> and Stephen J. Scanlan. 2001. “Food Security in Less Developed Countries, 1970 to 1990.” </w:t>
      </w:r>
      <w:r w:rsidRPr="005C5CDF">
        <w:rPr>
          <w:i/>
        </w:rPr>
        <w:t>American Sociological Review</w:t>
      </w:r>
      <w:r w:rsidRPr="005C5CDF">
        <w:t xml:space="preserve"> 66(5):718-44</w:t>
      </w:r>
    </w:p>
    <w:p w:rsidR="001C1CE8" w:rsidRDefault="001C1CE8" w:rsidP="00D41425">
      <w:pPr>
        <w:spacing w:line="240" w:lineRule="auto"/>
        <w:contextualSpacing/>
      </w:pPr>
    </w:p>
    <w:p w:rsidR="000B44F9" w:rsidRDefault="000B44F9" w:rsidP="00D41425">
      <w:pPr>
        <w:spacing w:line="240" w:lineRule="auto"/>
        <w:contextualSpacing/>
      </w:pPr>
      <w:r>
        <w:t xml:space="preserve">Jordan, Bill, and Jon Arnold. 1995. “Democracy and Criminal Justice.” </w:t>
      </w:r>
      <w:r>
        <w:rPr>
          <w:i/>
        </w:rPr>
        <w:t>Critical Social Policy</w:t>
      </w:r>
      <w:r>
        <w:t xml:space="preserve"> 15(44-45):170-82. Retrieved June 23, </w:t>
      </w:r>
      <w:r w:rsidRPr="006F0D5D">
        <w:rPr>
          <w:noProof/>
        </w:rPr>
        <w:t>2015</w:t>
      </w:r>
      <w:r>
        <w:t xml:space="preserve"> </w:t>
      </w:r>
      <w:r w:rsidRPr="009717E8">
        <w:t>doi: 10.1177/026101839501504410</w:t>
      </w:r>
      <w:r>
        <w:t xml:space="preserve">. </w:t>
      </w:r>
    </w:p>
    <w:p w:rsidR="001C1CE8" w:rsidRDefault="001C1CE8" w:rsidP="00D41425">
      <w:pPr>
        <w:spacing w:line="240" w:lineRule="auto"/>
        <w:contextualSpacing/>
      </w:pPr>
    </w:p>
    <w:p w:rsidR="001C1CE8" w:rsidRPr="001C1CE8" w:rsidRDefault="001C1CE8" w:rsidP="00D41425">
      <w:pPr>
        <w:spacing w:line="240" w:lineRule="auto"/>
        <w:contextualSpacing/>
      </w:pPr>
      <w:r w:rsidRPr="001C1CE8">
        <w:t>Kawachi, Ichiro, Bruce P. Kennedy</w:t>
      </w:r>
      <w:r w:rsidR="00572D83">
        <w:t>,</w:t>
      </w:r>
      <w:r w:rsidRPr="001C1CE8">
        <w:t xml:space="preserve"> and Richard G. Wilkinson. 1999. “Crime: Social Disorganization and Relative Deprivation.” </w:t>
      </w:r>
      <w:r w:rsidRPr="001C1CE8">
        <w:rPr>
          <w:i/>
        </w:rPr>
        <w:t>Social Science &amp; Medicine</w:t>
      </w:r>
      <w:r w:rsidRPr="001C1CE8">
        <w:t xml:space="preserve"> 48:719-31. </w:t>
      </w:r>
    </w:p>
    <w:p w:rsidR="000B44F9" w:rsidRDefault="000B44F9" w:rsidP="00D41425">
      <w:pPr>
        <w:spacing w:line="240" w:lineRule="auto"/>
        <w:contextualSpacing/>
        <w:rPr>
          <w:noProof/>
        </w:rPr>
      </w:pPr>
    </w:p>
    <w:p w:rsidR="000B44F9" w:rsidRDefault="000B44F9" w:rsidP="00D41425">
      <w:pPr>
        <w:spacing w:line="240" w:lineRule="auto"/>
        <w:contextualSpacing/>
      </w:pPr>
      <w:r>
        <w:t xml:space="preserve">Killias, Martin. 1986. </w:t>
      </w:r>
      <w:r w:rsidRPr="009717E8">
        <w:rPr>
          <w:noProof/>
        </w:rPr>
        <w:t>Power Concentration, Legitimation Crisis and Penal Severity: A Comparative Perspective.</w:t>
      </w:r>
      <w:r>
        <w:t xml:space="preserve">” </w:t>
      </w:r>
      <w:r>
        <w:rPr>
          <w:i/>
        </w:rPr>
        <w:t>International Annals of Criminology</w:t>
      </w:r>
      <w:r>
        <w:t xml:space="preserve"> 24:181-211.</w:t>
      </w:r>
    </w:p>
    <w:p w:rsidR="00A63DE0" w:rsidRDefault="00A63DE0" w:rsidP="00D41425">
      <w:pPr>
        <w:spacing w:line="240" w:lineRule="auto"/>
        <w:contextualSpacing/>
      </w:pPr>
    </w:p>
    <w:p w:rsidR="00A63DE0" w:rsidRPr="00A63DE0" w:rsidRDefault="00A63DE0" w:rsidP="00D41425">
      <w:pPr>
        <w:spacing w:line="240" w:lineRule="auto"/>
        <w:contextualSpacing/>
      </w:pPr>
      <w:r>
        <w:t xml:space="preserve">Kilmer, Beau, Peter Reuter, and Luca Giommoni. 2015. “What Can Be Learned from Cross-National Comparisons of Data on Illegal Drugs?” </w:t>
      </w:r>
      <w:r>
        <w:rPr>
          <w:i/>
        </w:rPr>
        <w:t>Crime and Justice</w:t>
      </w:r>
      <w:r>
        <w:t xml:space="preserve"> 44(1):227-96.</w:t>
      </w:r>
    </w:p>
    <w:p w:rsidR="000B44F9" w:rsidRDefault="000B44F9" w:rsidP="00D41425">
      <w:pPr>
        <w:spacing w:line="240" w:lineRule="auto"/>
        <w:contextualSpacing/>
      </w:pPr>
    </w:p>
    <w:p w:rsidR="000B44F9" w:rsidRDefault="000B44F9" w:rsidP="00D41425">
      <w:pPr>
        <w:spacing w:line="240" w:lineRule="auto"/>
        <w:contextualSpacing/>
      </w:pPr>
      <w:r w:rsidRPr="0090774F">
        <w:t>Krus, David J.</w:t>
      </w:r>
      <w:r w:rsidR="00572D83">
        <w:t>,</w:t>
      </w:r>
      <w:r w:rsidRPr="0090774F">
        <w:t xml:space="preserve"> and Lenore S. Hoehl. 1994. “Issues Associated with International Incarceration Rates.” </w:t>
      </w:r>
      <w:r w:rsidRPr="0090774F">
        <w:rPr>
          <w:i/>
        </w:rPr>
        <w:t>Psychological Reports</w:t>
      </w:r>
      <w:r w:rsidRPr="0090774F">
        <w:t xml:space="preserve"> 75:1491-95.</w:t>
      </w:r>
    </w:p>
    <w:p w:rsidR="000B44F9" w:rsidRDefault="000B44F9" w:rsidP="00D41425">
      <w:pPr>
        <w:spacing w:line="240" w:lineRule="auto"/>
        <w:contextualSpacing/>
      </w:pPr>
    </w:p>
    <w:p w:rsidR="000B44F9" w:rsidRDefault="000B44F9" w:rsidP="00D41425">
      <w:pPr>
        <w:spacing w:line="240" w:lineRule="auto"/>
        <w:contextualSpacing/>
        <w:rPr>
          <w:noProof/>
        </w:rPr>
      </w:pPr>
      <w:r w:rsidRPr="00964155">
        <w:t xml:space="preserve">Kuznets, </w:t>
      </w:r>
      <w:r w:rsidRPr="006F0D5D">
        <w:rPr>
          <w:noProof/>
        </w:rPr>
        <w:t xml:space="preserve">Simon. 1955. “Economic Growth and Income Inequality.” </w:t>
      </w:r>
      <w:r w:rsidRPr="006F0D5D">
        <w:rPr>
          <w:i/>
          <w:noProof/>
        </w:rPr>
        <w:t>The</w:t>
      </w:r>
      <w:r w:rsidRPr="00964155">
        <w:rPr>
          <w:i/>
        </w:rPr>
        <w:t xml:space="preserve"> American </w:t>
      </w:r>
      <w:r w:rsidRPr="0077519E">
        <w:rPr>
          <w:i/>
          <w:noProof/>
        </w:rPr>
        <w:t xml:space="preserve">Economic Review </w:t>
      </w:r>
      <w:r w:rsidRPr="0077519E">
        <w:rPr>
          <w:noProof/>
        </w:rPr>
        <w:t>45(1):1-28.</w:t>
      </w:r>
    </w:p>
    <w:p w:rsidR="000B44F9" w:rsidRDefault="000B44F9" w:rsidP="00D41425">
      <w:pPr>
        <w:spacing w:line="240" w:lineRule="auto"/>
        <w:contextualSpacing/>
        <w:rPr>
          <w:noProof/>
        </w:rPr>
      </w:pPr>
    </w:p>
    <w:p w:rsidR="000B44F9" w:rsidRDefault="000B44F9" w:rsidP="00D41425">
      <w:pPr>
        <w:spacing w:line="240" w:lineRule="auto"/>
        <w:contextualSpacing/>
      </w:pPr>
      <w:r w:rsidRPr="0077519E">
        <w:rPr>
          <w:noProof/>
        </w:rPr>
        <w:t>Lappi-Seppälä, Tapio.</w:t>
      </w:r>
      <w:r>
        <w:t xml:space="preserve"> </w:t>
      </w:r>
      <w:r w:rsidRPr="00A40582">
        <w:rPr>
          <w:noProof/>
        </w:rPr>
        <w:t>2008. “</w:t>
      </w:r>
      <w:r w:rsidRPr="00543F01">
        <w:rPr>
          <w:noProof/>
        </w:rPr>
        <w:t>Trust, Welfare, and Political Culture: Explaining Differences in National Penal Policies.</w:t>
      </w:r>
      <w:r>
        <w:t xml:space="preserve">” </w:t>
      </w:r>
      <w:r>
        <w:rPr>
          <w:i/>
        </w:rPr>
        <w:t xml:space="preserve">Crime and Justice </w:t>
      </w:r>
      <w:r>
        <w:t>37(1):313-87.</w:t>
      </w:r>
    </w:p>
    <w:p w:rsidR="00141162" w:rsidRDefault="00141162" w:rsidP="00D41425">
      <w:pPr>
        <w:spacing w:line="240" w:lineRule="auto"/>
        <w:contextualSpacing/>
      </w:pPr>
    </w:p>
    <w:p w:rsidR="000B44F9" w:rsidRDefault="00141162" w:rsidP="00D41425">
      <w:pPr>
        <w:spacing w:line="240" w:lineRule="auto"/>
        <w:contextualSpacing/>
      </w:pPr>
      <w:r w:rsidRPr="0077519E">
        <w:rPr>
          <w:noProof/>
        </w:rPr>
        <w:t>Lappi-Seppälä, Tapio</w:t>
      </w:r>
      <w:r w:rsidR="000B44F9" w:rsidRPr="00F35556">
        <w:t>. 2010. “Causes of Prison Overcrowding.” Retrieved August 13, 2013 (</w:t>
      </w:r>
      <w:r w:rsidR="000B44F9" w:rsidRPr="003E4401">
        <w:t>http://www.unafei.or.jp/english/pdf/Congress_2010/12Tapio_Lappi-Seppala.pdf</w:t>
      </w:r>
      <w:r w:rsidR="000B44F9" w:rsidRPr="00F35556">
        <w:t>).</w:t>
      </w:r>
    </w:p>
    <w:p w:rsidR="000B44F9" w:rsidRDefault="000B44F9" w:rsidP="00D41425">
      <w:pPr>
        <w:spacing w:line="240" w:lineRule="auto"/>
        <w:contextualSpacing/>
      </w:pPr>
    </w:p>
    <w:p w:rsidR="003E4401" w:rsidRDefault="003E4401" w:rsidP="00D41425">
      <w:pPr>
        <w:spacing w:line="240" w:lineRule="auto"/>
        <w:contextualSpacing/>
      </w:pPr>
      <w:r w:rsidRPr="001B410B">
        <w:rPr>
          <w:noProof/>
        </w:rPr>
        <w:t>Mahutga</w:t>
      </w:r>
      <w:r>
        <w:t>, Matthew C., Roy Kwon, and Garrett Grainger. 2011. “</w:t>
      </w:r>
      <w:r w:rsidRPr="001B410B">
        <w:rPr>
          <w:noProof/>
        </w:rPr>
        <w:t>Within-Country Inequality and the Modern World-System: A Theoretical Reprise and Empirical First Step.</w:t>
      </w:r>
      <w:r>
        <w:t xml:space="preserve">” </w:t>
      </w:r>
      <w:r>
        <w:rPr>
          <w:i/>
        </w:rPr>
        <w:t xml:space="preserve">Journal of World-Systems Research </w:t>
      </w:r>
      <w:r>
        <w:t>17(2):279-307.</w:t>
      </w:r>
    </w:p>
    <w:p w:rsidR="008C30A2" w:rsidRDefault="008C30A2" w:rsidP="00D41425">
      <w:pPr>
        <w:spacing w:line="240" w:lineRule="auto"/>
        <w:contextualSpacing/>
      </w:pPr>
    </w:p>
    <w:p w:rsidR="008C30A2" w:rsidRPr="008C30A2" w:rsidRDefault="008C30A2" w:rsidP="00D41425">
      <w:pPr>
        <w:spacing w:line="240" w:lineRule="auto"/>
        <w:contextualSpacing/>
      </w:pPr>
      <w:r w:rsidRPr="006F0D5D">
        <w:rPr>
          <w:noProof/>
        </w:rPr>
        <w:t>Mason, Cody. 2013. “International Growth Trends in Prison</w:t>
      </w:r>
      <w:r>
        <w:t xml:space="preserve"> Privatization.” </w:t>
      </w:r>
      <w:r>
        <w:rPr>
          <w:i/>
        </w:rPr>
        <w:t>The Sentencing Project.</w:t>
      </w:r>
      <w:r>
        <w:t xml:space="preserve">  Retrieved December 11, 2015 (</w:t>
      </w:r>
      <w:r w:rsidRPr="008C30A2">
        <w:t>http://www.sentencingproject.org/publications/international-growth-trends-in-prison-privatization/</w:t>
      </w:r>
      <w:r>
        <w:t>).</w:t>
      </w:r>
    </w:p>
    <w:p w:rsidR="001C1CE8" w:rsidRDefault="001C1CE8" w:rsidP="00D41425">
      <w:pPr>
        <w:spacing w:line="240" w:lineRule="auto"/>
        <w:contextualSpacing/>
      </w:pPr>
    </w:p>
    <w:p w:rsidR="001C1CE8" w:rsidRPr="001C1CE8" w:rsidRDefault="001C1CE8" w:rsidP="00D41425">
      <w:pPr>
        <w:spacing w:line="240" w:lineRule="auto"/>
        <w:contextualSpacing/>
      </w:pPr>
      <w:r>
        <w:lastRenderedPageBreak/>
        <w:t xml:space="preserve">Merton, Robert. </w:t>
      </w:r>
      <w:r w:rsidRPr="006F0D5D">
        <w:rPr>
          <w:noProof/>
        </w:rPr>
        <w:t xml:space="preserve">1938. “Social Structure and Anomie.” </w:t>
      </w:r>
      <w:r w:rsidRPr="006F0D5D">
        <w:rPr>
          <w:i/>
          <w:noProof/>
        </w:rPr>
        <w:t>American Sociological Review</w:t>
      </w:r>
      <w:r>
        <w:t xml:space="preserve"> 3:672-82.</w:t>
      </w:r>
    </w:p>
    <w:p w:rsidR="003E4401" w:rsidRDefault="003E4401" w:rsidP="00D41425">
      <w:pPr>
        <w:spacing w:line="240" w:lineRule="auto"/>
        <w:contextualSpacing/>
      </w:pPr>
    </w:p>
    <w:p w:rsidR="0097543B" w:rsidRDefault="0097543B" w:rsidP="00D41425">
      <w:pPr>
        <w:spacing w:line="240" w:lineRule="auto"/>
        <w:contextualSpacing/>
      </w:pPr>
      <w:r>
        <w:t>Meyer, John W., and Brian Rowan. 1977. “</w:t>
      </w:r>
      <w:r w:rsidRPr="002158CB">
        <w:rPr>
          <w:noProof/>
        </w:rPr>
        <w:t>Institutionalized Organizations: Formal Structure as Myth and Ceremony.</w:t>
      </w:r>
      <w:r>
        <w:t xml:space="preserve">” </w:t>
      </w:r>
      <w:r>
        <w:rPr>
          <w:i/>
        </w:rPr>
        <w:t xml:space="preserve">The American Journal of Sociology </w:t>
      </w:r>
      <w:r>
        <w:t>83(2):340-63.</w:t>
      </w:r>
    </w:p>
    <w:p w:rsidR="0097543B" w:rsidRDefault="0097543B" w:rsidP="00D41425">
      <w:pPr>
        <w:spacing w:line="240" w:lineRule="auto"/>
        <w:contextualSpacing/>
      </w:pPr>
    </w:p>
    <w:p w:rsidR="000B44F9" w:rsidRPr="006F0D5D" w:rsidRDefault="000B44F9" w:rsidP="00D41425">
      <w:pPr>
        <w:spacing w:line="240" w:lineRule="auto"/>
        <w:contextualSpacing/>
        <w:rPr>
          <w:noProof/>
        </w:rPr>
      </w:pPr>
      <w:r w:rsidRPr="003C635A">
        <w:t>Miller, Leanna. 2011. “Explaining Variation in Incarceration Rates in Industrialized Democracies.” Retrieved April 21, 2014 (</w:t>
      </w:r>
      <w:r w:rsidRPr="003E4401">
        <w:t>https://www.academia.edu/1043465/Explaining_Variation_</w:t>
      </w:r>
      <w:r w:rsidRPr="006F0D5D">
        <w:rPr>
          <w:noProof/>
        </w:rPr>
        <w:t xml:space="preserve">in_Incarceration _Rates). </w:t>
      </w:r>
    </w:p>
    <w:p w:rsidR="00B646B7" w:rsidRPr="006F0D5D" w:rsidRDefault="00B646B7" w:rsidP="00D41425">
      <w:pPr>
        <w:spacing w:line="240" w:lineRule="auto"/>
        <w:contextualSpacing/>
        <w:rPr>
          <w:noProof/>
        </w:rPr>
      </w:pPr>
    </w:p>
    <w:p w:rsidR="000B44F9" w:rsidRDefault="00B646B7" w:rsidP="00D41425">
      <w:pPr>
        <w:spacing w:line="240" w:lineRule="auto"/>
        <w:contextualSpacing/>
      </w:pPr>
      <w:r>
        <w:t xml:space="preserve">Neapolitan, Jerome L. 1997. </w:t>
      </w:r>
      <w:r>
        <w:rPr>
          <w:i/>
        </w:rPr>
        <w:t>Cross-National Crime: A Research Review and Sourcebook.</w:t>
      </w:r>
      <w:r>
        <w:t xml:space="preserve"> Westport, CT: Greenwood Press.</w:t>
      </w:r>
    </w:p>
    <w:p w:rsidR="000B44F9" w:rsidRDefault="000B44F9" w:rsidP="00D41425">
      <w:pPr>
        <w:spacing w:line="240" w:lineRule="auto"/>
        <w:contextualSpacing/>
      </w:pPr>
    </w:p>
    <w:p w:rsidR="000B44F9" w:rsidRPr="002158CB" w:rsidRDefault="000B44F9" w:rsidP="00D41425">
      <w:pPr>
        <w:spacing w:line="240" w:lineRule="auto"/>
        <w:contextualSpacing/>
      </w:pPr>
      <w:r>
        <w:t xml:space="preserve">Neapolitan, Jerome L. 2001. “An Examination of Cross-National Variation in Punitiveness.” </w:t>
      </w:r>
      <w:r w:rsidRPr="002158CB">
        <w:rPr>
          <w:i/>
          <w:noProof/>
        </w:rPr>
        <w:t>International Journal of Offender Therapy and Comparative Criminology</w:t>
      </w:r>
      <w:r>
        <w:t xml:space="preserve"> 45:691-710.</w:t>
      </w:r>
    </w:p>
    <w:p w:rsidR="000B44F9" w:rsidRDefault="000B44F9" w:rsidP="00D41425">
      <w:pPr>
        <w:spacing w:line="240" w:lineRule="auto"/>
        <w:contextualSpacing/>
      </w:pPr>
    </w:p>
    <w:p w:rsidR="000B44F9" w:rsidRPr="001166E9" w:rsidRDefault="000B44F9" w:rsidP="00D41425">
      <w:pPr>
        <w:spacing w:after="200" w:line="240" w:lineRule="auto"/>
        <w:contextualSpacing/>
        <w:rPr>
          <w:rFonts w:eastAsia="Calibri"/>
        </w:rPr>
      </w:pPr>
      <w:r w:rsidRPr="00516631">
        <w:rPr>
          <w:rFonts w:eastAsia="Calibri"/>
          <w:noProof/>
        </w:rPr>
        <w:t>Organisation</w:t>
      </w:r>
      <w:r w:rsidRPr="001166E9">
        <w:rPr>
          <w:rFonts w:eastAsia="Calibri"/>
        </w:rPr>
        <w:t xml:space="preserve"> for Economic Co-operation and Development. 2006. “Glossary of Statistical Terms: Gini Index.” Retrieved October 13, 2014 (</w:t>
      </w:r>
      <w:r w:rsidRPr="003E4401">
        <w:t>http://stats.oecd.org/glossary/detail.asp?ID=4842</w:t>
      </w:r>
      <w:r w:rsidRPr="001166E9">
        <w:rPr>
          <w:rFonts w:eastAsia="Calibri"/>
        </w:rPr>
        <w:t xml:space="preserve">). </w:t>
      </w:r>
    </w:p>
    <w:p w:rsidR="000B44F9" w:rsidRDefault="000B44F9" w:rsidP="00D41425">
      <w:pPr>
        <w:spacing w:line="240" w:lineRule="auto"/>
        <w:contextualSpacing/>
      </w:pPr>
    </w:p>
    <w:p w:rsidR="003E4401" w:rsidRDefault="000B44F9" w:rsidP="00D41425">
      <w:pPr>
        <w:spacing w:line="240" w:lineRule="auto"/>
        <w:contextualSpacing/>
      </w:pPr>
      <w:r>
        <w:t xml:space="preserve">Prillaman, William C. 2003. </w:t>
      </w:r>
      <w:r>
        <w:rPr>
          <w:i/>
        </w:rPr>
        <w:t>Crime, Democracy, and Development in Latin America</w:t>
      </w:r>
      <w:r>
        <w:t xml:space="preserve">. </w:t>
      </w:r>
      <w:r w:rsidRPr="009717E8">
        <w:rPr>
          <w:noProof/>
        </w:rPr>
        <w:t>Policy Papers on the Americas, Volume XIV, Study</w:t>
      </w:r>
      <w:r>
        <w:t xml:space="preserve"> 6. Washington, D.C.: Center for Strategic and International Studies. Retrieved June 22, 2015 (</w:t>
      </w:r>
      <w:r w:rsidR="003E4401" w:rsidRPr="003E4401">
        <w:t>http://csis.org/files/media/csis/pubs/ppcrime_democracy_</w:t>
      </w:r>
    </w:p>
    <w:p w:rsidR="000B44F9" w:rsidRDefault="000B44F9" w:rsidP="00D41425">
      <w:pPr>
        <w:spacing w:line="240" w:lineRule="auto"/>
        <w:contextualSpacing/>
      </w:pPr>
      <w:r w:rsidRPr="003E4401">
        <w:t>inlatinamerica%5B1%5D.pdf</w:t>
      </w:r>
      <w:r>
        <w:t>).</w:t>
      </w:r>
    </w:p>
    <w:p w:rsidR="00790BD2" w:rsidRPr="00790BD2" w:rsidRDefault="00790BD2" w:rsidP="00D41425">
      <w:pPr>
        <w:spacing w:line="240" w:lineRule="auto"/>
        <w:contextualSpacing/>
        <w:rPr>
          <w:i/>
        </w:rPr>
      </w:pPr>
    </w:p>
    <w:p w:rsidR="00B646B7" w:rsidRDefault="00790BD2" w:rsidP="00D41425">
      <w:pPr>
        <w:spacing w:line="240" w:lineRule="auto"/>
        <w:contextualSpacing/>
      </w:pPr>
      <w:r w:rsidRPr="006F0D5D">
        <w:rPr>
          <w:noProof/>
        </w:rPr>
        <w:t xml:space="preserve">Quinney, Richard. 1969. </w:t>
      </w:r>
      <w:r w:rsidRPr="006F0D5D">
        <w:rPr>
          <w:i/>
          <w:noProof/>
        </w:rPr>
        <w:t>Crime and Justice in Society</w:t>
      </w:r>
      <w:r w:rsidRPr="006F0D5D">
        <w:rPr>
          <w:noProof/>
        </w:rPr>
        <w:t>.</w:t>
      </w:r>
      <w:r>
        <w:t xml:space="preserve"> Boston, MA: Little, Brown &amp; Co. </w:t>
      </w:r>
    </w:p>
    <w:p w:rsidR="00790BD2" w:rsidRDefault="00790BD2" w:rsidP="00D41425">
      <w:pPr>
        <w:spacing w:line="240" w:lineRule="auto"/>
        <w:contextualSpacing/>
      </w:pPr>
    </w:p>
    <w:p w:rsidR="00790BD2" w:rsidRDefault="00790BD2" w:rsidP="00D41425">
      <w:pPr>
        <w:spacing w:line="240" w:lineRule="auto"/>
        <w:contextualSpacing/>
      </w:pPr>
      <w:r>
        <w:t xml:space="preserve">Quinney, Richard. 1975. </w:t>
      </w:r>
      <w:r>
        <w:rPr>
          <w:i/>
        </w:rPr>
        <w:t xml:space="preserve">Criminology: </w:t>
      </w:r>
      <w:r w:rsidR="00D41425">
        <w:rPr>
          <w:i/>
        </w:rPr>
        <w:t>A</w:t>
      </w:r>
      <w:r>
        <w:rPr>
          <w:i/>
        </w:rPr>
        <w:t xml:space="preserve">nalysis and </w:t>
      </w:r>
      <w:r w:rsidR="00D41425">
        <w:rPr>
          <w:i/>
        </w:rPr>
        <w:t>C</w:t>
      </w:r>
      <w:r>
        <w:rPr>
          <w:i/>
        </w:rPr>
        <w:t xml:space="preserve">ritique of </w:t>
      </w:r>
      <w:r w:rsidR="00D41425">
        <w:rPr>
          <w:i/>
        </w:rPr>
        <w:t>C</w:t>
      </w:r>
      <w:r>
        <w:rPr>
          <w:i/>
        </w:rPr>
        <w:t xml:space="preserve">rime in America. </w:t>
      </w:r>
      <w:r>
        <w:t xml:space="preserve"> Boston, MA: Little, Brown &amp; Co. </w:t>
      </w:r>
    </w:p>
    <w:p w:rsidR="00790BD2" w:rsidRDefault="00790BD2" w:rsidP="00D41425">
      <w:pPr>
        <w:spacing w:line="240" w:lineRule="auto"/>
        <w:contextualSpacing/>
      </w:pPr>
    </w:p>
    <w:p w:rsidR="00790BD2" w:rsidRDefault="00790BD2" w:rsidP="00D41425">
      <w:pPr>
        <w:spacing w:line="240" w:lineRule="auto"/>
        <w:contextualSpacing/>
      </w:pPr>
      <w:r>
        <w:t xml:space="preserve">Quinney, Richard. 1980. </w:t>
      </w:r>
      <w:r>
        <w:rPr>
          <w:i/>
        </w:rPr>
        <w:t>Class, State, &amp; Crime</w:t>
      </w:r>
      <w:r>
        <w:t>. New York: Longman Inc.</w:t>
      </w:r>
    </w:p>
    <w:p w:rsidR="00572D83" w:rsidRDefault="00572D83" w:rsidP="00D41425">
      <w:pPr>
        <w:spacing w:line="240" w:lineRule="auto"/>
        <w:contextualSpacing/>
      </w:pPr>
    </w:p>
    <w:p w:rsidR="00572D83" w:rsidRPr="00572D83" w:rsidRDefault="00572D83" w:rsidP="00572D83">
      <w:pPr>
        <w:spacing w:line="240" w:lineRule="auto"/>
        <w:contextualSpacing/>
      </w:pPr>
      <w:r w:rsidRPr="00572D83">
        <w:t>Romeo, Valentina. 2015. "</w:t>
      </w:r>
      <w:r w:rsidRPr="006F0D5D">
        <w:rPr>
          <w:noProof/>
        </w:rPr>
        <w:t>Brics</w:t>
      </w:r>
      <w:r w:rsidRPr="00572D83">
        <w:t xml:space="preserve"> Countries Launch New Development Bank."</w:t>
      </w:r>
      <w:r w:rsidRPr="00572D83">
        <w:rPr>
          <w:i/>
          <w:iCs/>
        </w:rPr>
        <w:t xml:space="preserve"> Money Marketing (Online), </w:t>
      </w:r>
      <w:r w:rsidRPr="00572D83">
        <w:t xml:space="preserve">July 21, </w:t>
      </w:r>
      <w:r>
        <w:t>(</w:t>
      </w:r>
      <w:r w:rsidRPr="00572D83">
        <w:t>http://search.proquest.com/docview/1697562834?accountid=12964).</w:t>
      </w:r>
    </w:p>
    <w:p w:rsidR="00790BD2" w:rsidRPr="00790BD2" w:rsidRDefault="00790BD2" w:rsidP="00D41425">
      <w:pPr>
        <w:spacing w:line="240" w:lineRule="auto"/>
        <w:contextualSpacing/>
      </w:pPr>
    </w:p>
    <w:p w:rsidR="00B646B7" w:rsidRDefault="00B646B7" w:rsidP="00D41425">
      <w:pPr>
        <w:spacing w:line="240" w:lineRule="auto"/>
        <w:contextualSpacing/>
      </w:pPr>
      <w:r>
        <w:t xml:space="preserve">Rostow, W. W. 1990. </w:t>
      </w:r>
      <w:r>
        <w:rPr>
          <w:i/>
        </w:rPr>
        <w:t xml:space="preserve">The Stages </w:t>
      </w:r>
      <w:r w:rsidRPr="006F0D5D">
        <w:rPr>
          <w:i/>
          <w:noProof/>
        </w:rPr>
        <w:t>of Economic Growth: A Non-Communist Manifesto</w:t>
      </w:r>
      <w:r w:rsidRPr="006F0D5D">
        <w:rPr>
          <w:noProof/>
        </w:rPr>
        <w:t>. 3</w:t>
      </w:r>
      <w:r w:rsidRPr="006F0D5D">
        <w:rPr>
          <w:noProof/>
          <w:vertAlign w:val="superscript"/>
        </w:rPr>
        <w:t>rd</w:t>
      </w:r>
      <w:r w:rsidRPr="006F0D5D">
        <w:rPr>
          <w:noProof/>
        </w:rPr>
        <w:t xml:space="preserve"> ed.</w:t>
      </w:r>
      <w:r>
        <w:t xml:space="preserve"> Cambridge, U. K.: Cambridge University Press</w:t>
      </w:r>
      <w:r w:rsidR="00525FCF">
        <w:t>.</w:t>
      </w:r>
    </w:p>
    <w:p w:rsidR="00525FCF" w:rsidRDefault="00525FCF" w:rsidP="00D41425">
      <w:pPr>
        <w:spacing w:line="240" w:lineRule="auto"/>
        <w:contextualSpacing/>
      </w:pPr>
    </w:p>
    <w:p w:rsidR="00525FCF" w:rsidRPr="00525FCF" w:rsidRDefault="00525FCF" w:rsidP="00D41425">
      <w:pPr>
        <w:spacing w:line="240" w:lineRule="auto"/>
        <w:contextualSpacing/>
      </w:pPr>
      <w:r>
        <w:t xml:space="preserve">Rubinson, Richard. 1976. “The World-Economy and the Distribution of Income Within States: A Cross-National Study.” </w:t>
      </w:r>
      <w:r>
        <w:rPr>
          <w:i/>
        </w:rPr>
        <w:t>American Sociological Review</w:t>
      </w:r>
      <w:r>
        <w:t xml:space="preserve"> 41(4):638-59.</w:t>
      </w:r>
    </w:p>
    <w:p w:rsidR="000B44F9" w:rsidRDefault="000B44F9" w:rsidP="00D41425">
      <w:pPr>
        <w:spacing w:line="240" w:lineRule="auto"/>
        <w:contextualSpacing/>
      </w:pPr>
    </w:p>
    <w:p w:rsidR="000B44F9" w:rsidRDefault="000B44F9" w:rsidP="00D41425">
      <w:pPr>
        <w:spacing w:line="240" w:lineRule="auto"/>
        <w:contextualSpacing/>
      </w:pPr>
      <w:r>
        <w:lastRenderedPageBreak/>
        <w:t xml:space="preserve">Ruddell, Rick. 2005. “Social Disruption, State Priorities, and Minority Threat: A Cross-National Study of Imprisonment.” </w:t>
      </w:r>
      <w:r>
        <w:rPr>
          <w:i/>
        </w:rPr>
        <w:t>Punishment &amp; Society</w:t>
      </w:r>
      <w:r>
        <w:t xml:space="preserve"> 7:7-28.</w:t>
      </w:r>
    </w:p>
    <w:p w:rsidR="003A38B0" w:rsidRDefault="003A38B0" w:rsidP="00D41425">
      <w:pPr>
        <w:spacing w:line="240" w:lineRule="auto"/>
        <w:contextualSpacing/>
      </w:pPr>
    </w:p>
    <w:p w:rsidR="003A38B0" w:rsidRPr="003A38B0" w:rsidRDefault="003A38B0" w:rsidP="00D41425">
      <w:pPr>
        <w:spacing w:line="240" w:lineRule="auto"/>
        <w:contextualSpacing/>
      </w:pPr>
      <w:r>
        <w:t xml:space="preserve">Ruddell, Rick, and Martin G. Urbina. 2004. “Minority Threat and Punishment: A Cross-National Analysis.” </w:t>
      </w:r>
      <w:r>
        <w:rPr>
          <w:i/>
        </w:rPr>
        <w:t>Justice Quarterly</w:t>
      </w:r>
      <w:r>
        <w:t xml:space="preserve"> 21(4):903-31.</w:t>
      </w:r>
    </w:p>
    <w:p w:rsidR="000B44F9" w:rsidRDefault="000B44F9" w:rsidP="00D41425">
      <w:pPr>
        <w:spacing w:line="240" w:lineRule="auto"/>
        <w:contextualSpacing/>
      </w:pPr>
    </w:p>
    <w:p w:rsidR="000B44F9" w:rsidRDefault="000B44F9" w:rsidP="00D41425">
      <w:pPr>
        <w:spacing w:line="240" w:lineRule="auto"/>
        <w:contextualSpacing/>
      </w:pPr>
      <w:r>
        <w:t xml:space="preserve">Shahidullah, Shahid M. </w:t>
      </w:r>
      <w:r w:rsidRPr="000D2075">
        <w:t>2014.</w:t>
      </w:r>
      <w:r>
        <w:t xml:space="preserve"> </w:t>
      </w:r>
      <w:r w:rsidRPr="009717E8">
        <w:rPr>
          <w:i/>
          <w:noProof/>
        </w:rPr>
        <w:t>Comparative Criminal Justice Systems: Global and Local Perspectives.</w:t>
      </w:r>
      <w:r>
        <w:rPr>
          <w:i/>
        </w:rPr>
        <w:t xml:space="preserve"> </w:t>
      </w:r>
      <w:r>
        <w:t>Burlington, MA: Jones &amp; Bartlett Learning.</w:t>
      </w:r>
    </w:p>
    <w:p w:rsidR="001C1CE8" w:rsidRDefault="001C1CE8" w:rsidP="00D41425">
      <w:pPr>
        <w:spacing w:line="240" w:lineRule="auto"/>
        <w:contextualSpacing/>
        <w:rPr>
          <w:rFonts w:eastAsia="Calibri"/>
        </w:rPr>
      </w:pPr>
    </w:p>
    <w:p w:rsidR="000B44F9" w:rsidRDefault="001C1CE8" w:rsidP="00D41425">
      <w:pPr>
        <w:spacing w:line="240" w:lineRule="auto"/>
        <w:contextualSpacing/>
      </w:pPr>
      <w:r w:rsidRPr="001C1CE8">
        <w:rPr>
          <w:rFonts w:eastAsia="Calibri"/>
        </w:rPr>
        <w:t>Shandra, John M., Carrie L. Shandra</w:t>
      </w:r>
      <w:r w:rsidR="00572D83">
        <w:rPr>
          <w:rFonts w:eastAsia="Calibri"/>
        </w:rPr>
        <w:t>,</w:t>
      </w:r>
      <w:r w:rsidRPr="001C1CE8">
        <w:rPr>
          <w:rFonts w:eastAsia="Calibri"/>
        </w:rPr>
        <w:t xml:space="preserve"> and Bruce </w:t>
      </w:r>
      <w:r w:rsidRPr="006F0D5D">
        <w:rPr>
          <w:rFonts w:eastAsia="Calibri"/>
          <w:noProof/>
        </w:rPr>
        <w:t>London. 2010. “Debt, Structural Adjustment, and Non-Governmental Organizations:</w:t>
      </w:r>
      <w:r>
        <w:rPr>
          <w:rFonts w:eastAsia="Calibri"/>
        </w:rPr>
        <w:t xml:space="preserve"> A Cross-National </w:t>
      </w:r>
      <w:r w:rsidRPr="001C1CE8">
        <w:rPr>
          <w:rFonts w:eastAsia="Calibri"/>
        </w:rPr>
        <w:t xml:space="preserve">Analysis of Maternal Mortality.” </w:t>
      </w:r>
      <w:r w:rsidRPr="001C1CE8">
        <w:rPr>
          <w:rFonts w:eastAsia="Calibri"/>
          <w:i/>
        </w:rPr>
        <w:t xml:space="preserve">Journal of World-Systems Research </w:t>
      </w:r>
      <w:r w:rsidRPr="001C1CE8">
        <w:rPr>
          <w:rFonts w:eastAsia="Calibri"/>
        </w:rPr>
        <w:t>16(2):217-45.</w:t>
      </w:r>
    </w:p>
    <w:p w:rsidR="001C1CE8" w:rsidRDefault="001C1CE8" w:rsidP="00D41425">
      <w:pPr>
        <w:spacing w:line="240" w:lineRule="auto"/>
        <w:contextualSpacing/>
      </w:pPr>
    </w:p>
    <w:p w:rsidR="00B646B7" w:rsidRDefault="00B646B7" w:rsidP="00D41425">
      <w:pPr>
        <w:spacing w:line="240" w:lineRule="auto"/>
        <w:contextualSpacing/>
      </w:pPr>
      <w:r>
        <w:t xml:space="preserve">Shelley, Louise I. 1981. </w:t>
      </w:r>
      <w:r>
        <w:rPr>
          <w:i/>
        </w:rPr>
        <w:t>Crime and Modernization: The Impact of Industrialization and Urbanization on Crime.</w:t>
      </w:r>
      <w:r>
        <w:t xml:space="preserve"> Carbondale, IL: Southern Illinois University Press.</w:t>
      </w:r>
    </w:p>
    <w:p w:rsidR="00B646B7" w:rsidRDefault="00B646B7" w:rsidP="00D41425">
      <w:pPr>
        <w:spacing w:line="240" w:lineRule="auto"/>
        <w:contextualSpacing/>
      </w:pPr>
    </w:p>
    <w:p w:rsidR="00B646B7" w:rsidRPr="00B646B7" w:rsidRDefault="00B646B7" w:rsidP="00D41425">
      <w:pPr>
        <w:spacing w:line="240" w:lineRule="auto"/>
        <w:contextualSpacing/>
      </w:pPr>
      <w:r>
        <w:t xml:space="preserve">Shelley, Louise I. 1986. “Crime and Modernization </w:t>
      </w:r>
      <w:r w:rsidRPr="006F0D5D">
        <w:rPr>
          <w:noProof/>
        </w:rPr>
        <w:t xml:space="preserve">Reexamined.” </w:t>
      </w:r>
      <w:r w:rsidRPr="006F0D5D">
        <w:rPr>
          <w:i/>
          <w:noProof/>
        </w:rPr>
        <w:t>International Annals of Criminology</w:t>
      </w:r>
      <w:r w:rsidRPr="006F0D5D">
        <w:rPr>
          <w:noProof/>
        </w:rPr>
        <w:t xml:space="preserve"> 24(1-2):7-21.</w:t>
      </w:r>
    </w:p>
    <w:p w:rsidR="00B646B7" w:rsidRPr="00B646B7" w:rsidRDefault="00B646B7" w:rsidP="00D41425">
      <w:pPr>
        <w:spacing w:line="240" w:lineRule="auto"/>
        <w:contextualSpacing/>
      </w:pPr>
    </w:p>
    <w:p w:rsidR="000B44F9" w:rsidRDefault="000B44F9" w:rsidP="00D41425">
      <w:pPr>
        <w:spacing w:line="240" w:lineRule="auto"/>
        <w:contextualSpacing/>
      </w:pPr>
      <w:r w:rsidRPr="00F652E7">
        <w:rPr>
          <w:noProof/>
        </w:rPr>
        <w:t>Snyder, David</w:t>
      </w:r>
      <w:r w:rsidR="00572D83">
        <w:rPr>
          <w:noProof/>
        </w:rPr>
        <w:t>,</w:t>
      </w:r>
      <w:r w:rsidRPr="00F652E7">
        <w:rPr>
          <w:noProof/>
        </w:rPr>
        <w:t xml:space="preserve"> and Edward L. Kick. 1979. “Structural Position in the World System </w:t>
      </w:r>
      <w:r w:rsidRPr="00DE31C9">
        <w:rPr>
          <w:noProof/>
        </w:rPr>
        <w:t>and Economic Growth, 1955-1970: A Multiple-Network Analysis of</w:t>
      </w:r>
      <w:r w:rsidRPr="00F652E7">
        <w:rPr>
          <w:noProof/>
        </w:rPr>
        <w:t xml:space="preserve"> Transnational Interactions.</w:t>
      </w:r>
      <w:r>
        <w:t xml:space="preserve">” </w:t>
      </w:r>
      <w:r>
        <w:rPr>
          <w:i/>
        </w:rPr>
        <w:t>The American Journal of Sociology</w:t>
      </w:r>
      <w:r>
        <w:t xml:space="preserve"> 84(5):1096-126. </w:t>
      </w:r>
    </w:p>
    <w:p w:rsidR="00B646B7" w:rsidRDefault="00B646B7" w:rsidP="00D41425">
      <w:pPr>
        <w:spacing w:line="240" w:lineRule="auto"/>
        <w:contextualSpacing/>
      </w:pPr>
    </w:p>
    <w:p w:rsidR="00B646B7" w:rsidRPr="00B646B7" w:rsidRDefault="00B646B7" w:rsidP="00D41425">
      <w:pPr>
        <w:spacing w:line="240" w:lineRule="auto"/>
        <w:contextualSpacing/>
      </w:pPr>
      <w:r>
        <w:t xml:space="preserve">So, Alvin Y. 1990. </w:t>
      </w:r>
      <w:r>
        <w:rPr>
          <w:i/>
        </w:rPr>
        <w:t>Social Change and Development: Modernization, Dependency, and World-System Theories.</w:t>
      </w:r>
      <w:r>
        <w:t xml:space="preserve"> Newbury Park, CA: Sage Publications, Inc.</w:t>
      </w:r>
    </w:p>
    <w:p w:rsidR="000B44F9" w:rsidRDefault="000B44F9" w:rsidP="00D41425">
      <w:pPr>
        <w:spacing w:line="240" w:lineRule="auto"/>
        <w:contextualSpacing/>
      </w:pPr>
    </w:p>
    <w:p w:rsidR="000B44F9" w:rsidRDefault="000B44F9" w:rsidP="00D41425">
      <w:pPr>
        <w:spacing w:after="200" w:line="240" w:lineRule="auto"/>
        <w:contextualSpacing/>
        <w:rPr>
          <w:rFonts w:eastAsia="Calibri"/>
        </w:rPr>
      </w:pPr>
      <w:r w:rsidRPr="001166E9">
        <w:rPr>
          <w:rFonts w:eastAsia="Calibri"/>
        </w:rPr>
        <w:t xml:space="preserve">Solt, Frederick. 2009. “Standardizing the World Income Inequality Database.” </w:t>
      </w:r>
      <w:r w:rsidRPr="001166E9">
        <w:rPr>
          <w:rFonts w:eastAsia="Calibri"/>
          <w:i/>
        </w:rPr>
        <w:t>Social Science Quarterly</w:t>
      </w:r>
      <w:r w:rsidRPr="001166E9">
        <w:rPr>
          <w:rFonts w:eastAsia="Calibri"/>
        </w:rPr>
        <w:t xml:space="preserve"> 90(2):231-42. Version 4.0, September 2013. Retrieved </w:t>
      </w:r>
      <w:r w:rsidRPr="006F0D5D">
        <w:rPr>
          <w:rFonts w:eastAsia="Calibri"/>
          <w:noProof/>
        </w:rPr>
        <w:t>May 13, 2014 (</w:t>
      </w:r>
      <w:r w:rsidRPr="006F0D5D">
        <w:rPr>
          <w:noProof/>
        </w:rPr>
        <w:t>http://myweb.uiowa.edu/fsolt</w:t>
      </w:r>
      <w:r w:rsidRPr="003E4401">
        <w:t>/swiid/swiid/updates.html</w:t>
      </w:r>
      <w:r w:rsidRPr="001166E9">
        <w:rPr>
          <w:rFonts w:eastAsia="Calibri"/>
        </w:rPr>
        <w:t>).</w:t>
      </w:r>
    </w:p>
    <w:p w:rsidR="000B44F9" w:rsidRDefault="000B44F9" w:rsidP="00D41425">
      <w:pPr>
        <w:spacing w:line="240" w:lineRule="auto"/>
        <w:contextualSpacing/>
      </w:pPr>
    </w:p>
    <w:p w:rsidR="00563480" w:rsidRDefault="00563480" w:rsidP="00563480">
      <w:pPr>
        <w:spacing w:line="240" w:lineRule="auto"/>
        <w:contextualSpacing/>
      </w:pPr>
      <w:r>
        <w:t xml:space="preserve">Spitzer, Steven. 1975a. “Punishment and Social Organization: A Study of Durkheim’s Theory of Penal Evolution.” </w:t>
      </w:r>
      <w:r>
        <w:rPr>
          <w:i/>
        </w:rPr>
        <w:t>Law and Society Review</w:t>
      </w:r>
      <w:r>
        <w:t xml:space="preserve"> 9(4):613-38.</w:t>
      </w:r>
    </w:p>
    <w:p w:rsidR="00563480" w:rsidRDefault="00563480" w:rsidP="00D41425">
      <w:pPr>
        <w:spacing w:line="240" w:lineRule="auto"/>
        <w:contextualSpacing/>
      </w:pPr>
    </w:p>
    <w:p w:rsidR="00790BD2" w:rsidRPr="006F0D5D" w:rsidRDefault="00790BD2" w:rsidP="00D41425">
      <w:pPr>
        <w:spacing w:line="240" w:lineRule="auto"/>
        <w:contextualSpacing/>
        <w:rPr>
          <w:noProof/>
        </w:rPr>
      </w:pPr>
      <w:r>
        <w:t>Spitzer, Steven. 1975</w:t>
      </w:r>
      <w:r w:rsidR="00563480">
        <w:t>b</w:t>
      </w:r>
      <w:r>
        <w:t xml:space="preserve">. “Toward a Marxian Theory of Deviance.” </w:t>
      </w:r>
      <w:r>
        <w:rPr>
          <w:i/>
        </w:rPr>
        <w:t>Social Problems</w:t>
      </w:r>
      <w:r>
        <w:t xml:space="preserve"> 22(</w:t>
      </w:r>
      <w:r w:rsidRPr="006F0D5D">
        <w:rPr>
          <w:noProof/>
        </w:rPr>
        <w:t>5):638-51.</w:t>
      </w:r>
    </w:p>
    <w:p w:rsidR="00F12A36" w:rsidRPr="006F0D5D" w:rsidRDefault="00F12A36" w:rsidP="00D41425">
      <w:pPr>
        <w:spacing w:line="240" w:lineRule="auto"/>
        <w:contextualSpacing/>
        <w:rPr>
          <w:noProof/>
        </w:rPr>
      </w:pPr>
    </w:p>
    <w:p w:rsidR="000B44F9" w:rsidRDefault="00F12A36" w:rsidP="00D41425">
      <w:pPr>
        <w:spacing w:line="240" w:lineRule="auto"/>
        <w:contextualSpacing/>
      </w:pPr>
      <w:r w:rsidRPr="006F0D5D">
        <w:rPr>
          <w:noProof/>
        </w:rPr>
        <w:t xml:space="preserve">StataCorp. 2011. </w:t>
      </w:r>
      <w:r w:rsidRPr="006F0D5D">
        <w:rPr>
          <w:i/>
          <w:noProof/>
        </w:rPr>
        <w:t xml:space="preserve">Stata: Release 12. </w:t>
      </w:r>
      <w:r w:rsidRPr="006F0D5D">
        <w:rPr>
          <w:noProof/>
        </w:rPr>
        <w:t>Statistical</w:t>
      </w:r>
      <w:r>
        <w:t xml:space="preserve"> Software. College Station, TX: StataCorp LP. </w:t>
      </w:r>
    </w:p>
    <w:p w:rsidR="00F12A36" w:rsidRDefault="00F12A36" w:rsidP="00D41425">
      <w:pPr>
        <w:spacing w:line="240" w:lineRule="auto"/>
        <w:contextualSpacing/>
      </w:pPr>
    </w:p>
    <w:p w:rsidR="000B44F9" w:rsidRPr="006F0D5D" w:rsidRDefault="000B44F9" w:rsidP="00D41425">
      <w:pPr>
        <w:spacing w:line="240" w:lineRule="auto"/>
        <w:contextualSpacing/>
        <w:rPr>
          <w:noProof/>
        </w:rPr>
      </w:pPr>
      <w:r>
        <w:t xml:space="preserve">Sung, Hung-En. 2006. “Democracy and Criminal Justice in Cross-National Perspective: From Crime Control to Due Process.” </w:t>
      </w:r>
      <w:r>
        <w:rPr>
          <w:i/>
        </w:rPr>
        <w:t xml:space="preserve">Annals of the American Academy of Political and Social </w:t>
      </w:r>
      <w:r w:rsidRPr="006F0D5D">
        <w:rPr>
          <w:i/>
          <w:noProof/>
        </w:rPr>
        <w:t>Science</w:t>
      </w:r>
      <w:r w:rsidRPr="006F0D5D">
        <w:rPr>
          <w:noProof/>
        </w:rPr>
        <w:t xml:space="preserve"> 605:311-37. doi: 10.1177/0002716206287546. </w:t>
      </w:r>
    </w:p>
    <w:p w:rsidR="00572D83" w:rsidRDefault="00572D83" w:rsidP="00D41425">
      <w:pPr>
        <w:spacing w:line="240" w:lineRule="auto"/>
        <w:contextualSpacing/>
      </w:pPr>
    </w:p>
    <w:p w:rsidR="00572D83" w:rsidRPr="00572D83" w:rsidRDefault="00572D83" w:rsidP="00D41425">
      <w:pPr>
        <w:spacing w:line="240" w:lineRule="auto"/>
        <w:contextualSpacing/>
      </w:pPr>
      <w:r>
        <w:t xml:space="preserve">Terlouw, C. P. 1993. “The Elusive Semiperiphery: A Critical Examination of the Concept of Semiperiphery.” </w:t>
      </w:r>
      <w:r>
        <w:rPr>
          <w:i/>
        </w:rPr>
        <w:t>International Journal of Comparative Sociology</w:t>
      </w:r>
      <w:r>
        <w:t xml:space="preserve"> 34:87-102.</w:t>
      </w:r>
    </w:p>
    <w:p w:rsidR="000B44F9" w:rsidRDefault="000B44F9" w:rsidP="00D41425">
      <w:pPr>
        <w:spacing w:line="240" w:lineRule="auto"/>
        <w:contextualSpacing/>
      </w:pPr>
    </w:p>
    <w:p w:rsidR="000B44F9" w:rsidRDefault="000B44F9" w:rsidP="00D41425">
      <w:pPr>
        <w:spacing w:line="240" w:lineRule="auto"/>
        <w:contextualSpacing/>
      </w:pPr>
      <w:r>
        <w:t xml:space="preserve">Tönnies, Ferdinand. [1957] 1963. </w:t>
      </w:r>
      <w:r>
        <w:rPr>
          <w:i/>
        </w:rPr>
        <w:t>Community and Society</w:t>
      </w:r>
      <w:r>
        <w:t>. Translated by C. P. Loomis. New York: Harper and Row.</w:t>
      </w:r>
    </w:p>
    <w:p w:rsidR="00A63DE0" w:rsidRDefault="00A63DE0" w:rsidP="00D904D0">
      <w:pPr>
        <w:spacing w:after="200" w:line="240" w:lineRule="auto"/>
        <w:contextualSpacing/>
        <w:rPr>
          <w:rFonts w:eastAsia="Calibri"/>
        </w:rPr>
      </w:pPr>
    </w:p>
    <w:p w:rsidR="00D904D0" w:rsidRDefault="00D904D0" w:rsidP="00D904D0">
      <w:pPr>
        <w:spacing w:after="200" w:line="240" w:lineRule="auto"/>
        <w:contextualSpacing/>
      </w:pPr>
      <w:r w:rsidRPr="00010AC0">
        <w:rPr>
          <w:rFonts w:eastAsia="Calibri"/>
        </w:rPr>
        <w:t xml:space="preserve">United Nations Office </w:t>
      </w:r>
      <w:r w:rsidRPr="006F0D5D">
        <w:rPr>
          <w:rFonts w:eastAsia="Calibri"/>
          <w:noProof/>
        </w:rPr>
        <w:t>of</w:t>
      </w:r>
      <w:r w:rsidRPr="00010AC0">
        <w:rPr>
          <w:rFonts w:eastAsia="Calibri"/>
        </w:rPr>
        <w:t xml:space="preserve"> Drugs and Crime. N</w:t>
      </w:r>
      <w:r w:rsidR="00563480">
        <w:rPr>
          <w:rFonts w:eastAsia="Calibri"/>
        </w:rPr>
        <w:t>.</w:t>
      </w:r>
      <w:r w:rsidRPr="00010AC0">
        <w:rPr>
          <w:rFonts w:eastAsia="Calibri"/>
        </w:rPr>
        <w:t>d</w:t>
      </w:r>
      <w:r w:rsidR="00563480">
        <w:rPr>
          <w:rFonts w:eastAsia="Calibri"/>
        </w:rPr>
        <w:t>.</w:t>
      </w:r>
      <w:r>
        <w:rPr>
          <w:rFonts w:eastAsia="Calibri"/>
        </w:rPr>
        <w:t>a</w:t>
      </w:r>
      <w:r w:rsidR="00563480">
        <w:rPr>
          <w:rFonts w:eastAsia="Calibri"/>
        </w:rPr>
        <w:t>.</w:t>
      </w:r>
      <w:r w:rsidRPr="00010AC0">
        <w:rPr>
          <w:rFonts w:eastAsia="Calibri"/>
        </w:rPr>
        <w:t xml:space="preserve"> “</w:t>
      </w:r>
      <w:r w:rsidRPr="00747F5D">
        <w:rPr>
          <w:rFonts w:eastAsia="Calibri"/>
          <w:noProof/>
        </w:rPr>
        <w:t>United Nations Surveys of Crime Trends and Operations of Criminal Justice Systems,</w:t>
      </w:r>
      <w:r w:rsidRPr="00010AC0">
        <w:rPr>
          <w:rFonts w:eastAsia="Calibri"/>
        </w:rPr>
        <w:t xml:space="preserve"> Covering the Perio</w:t>
      </w:r>
      <w:r>
        <w:rPr>
          <w:rFonts w:eastAsia="Calibri"/>
        </w:rPr>
        <w:t>d 1990-2000.” R</w:t>
      </w:r>
      <w:r w:rsidRPr="003E4401">
        <w:rPr>
          <w:rFonts w:eastAsia="Calibri"/>
          <w:noProof/>
        </w:rPr>
        <w:t>etrieved</w:t>
      </w:r>
      <w:r w:rsidRPr="00010AC0">
        <w:rPr>
          <w:rFonts w:eastAsia="Calibri"/>
        </w:rPr>
        <w:t xml:space="preserve"> January 24, 2014 </w:t>
      </w:r>
      <w:r>
        <w:rPr>
          <w:rFonts w:eastAsia="Calibri"/>
        </w:rPr>
        <w:t>(</w:t>
      </w:r>
      <w:r w:rsidRPr="00D904D0">
        <w:t>http://www.unodc.org/pdf/crime/seventh_survey/567pc.pdf</w:t>
      </w:r>
      <w:r w:rsidRPr="003E4401">
        <w:t>).</w:t>
      </w:r>
    </w:p>
    <w:p w:rsidR="00D904D0" w:rsidRDefault="00D904D0" w:rsidP="00D904D0">
      <w:pPr>
        <w:spacing w:after="200" w:line="240" w:lineRule="auto"/>
        <w:contextualSpacing/>
        <w:rPr>
          <w:rFonts w:eastAsia="Calibri"/>
        </w:rPr>
      </w:pPr>
    </w:p>
    <w:p w:rsidR="00D904D0" w:rsidRPr="00010AC0" w:rsidRDefault="00D904D0" w:rsidP="00D904D0">
      <w:pPr>
        <w:spacing w:after="200" w:line="240" w:lineRule="auto"/>
        <w:contextualSpacing/>
        <w:rPr>
          <w:rFonts w:eastAsia="Calibri"/>
        </w:rPr>
      </w:pPr>
      <w:r w:rsidRPr="00010AC0">
        <w:rPr>
          <w:rFonts w:eastAsia="Calibri"/>
        </w:rPr>
        <w:t xml:space="preserve">United Nations Office </w:t>
      </w:r>
      <w:r w:rsidRPr="006F0D5D">
        <w:rPr>
          <w:rFonts w:eastAsia="Calibri"/>
          <w:noProof/>
        </w:rPr>
        <w:t>of</w:t>
      </w:r>
      <w:r w:rsidRPr="00010AC0">
        <w:rPr>
          <w:rFonts w:eastAsia="Calibri"/>
        </w:rPr>
        <w:t xml:space="preserve"> Drugs and Crime. N</w:t>
      </w:r>
      <w:r w:rsidR="00563480">
        <w:rPr>
          <w:rFonts w:eastAsia="Calibri"/>
        </w:rPr>
        <w:t>.</w:t>
      </w:r>
      <w:r w:rsidRPr="00010AC0">
        <w:rPr>
          <w:rFonts w:eastAsia="Calibri"/>
        </w:rPr>
        <w:t>d</w:t>
      </w:r>
      <w:r w:rsidR="00563480">
        <w:rPr>
          <w:rFonts w:eastAsia="Calibri"/>
        </w:rPr>
        <w:t>.</w:t>
      </w:r>
      <w:r>
        <w:rPr>
          <w:rFonts w:eastAsia="Calibri"/>
        </w:rPr>
        <w:t>b</w:t>
      </w:r>
      <w:r w:rsidRPr="00010AC0">
        <w:rPr>
          <w:rFonts w:eastAsia="Calibri"/>
        </w:rPr>
        <w:t xml:space="preserve">. “Homicide Statistics 2013.” </w:t>
      </w:r>
      <w:r>
        <w:rPr>
          <w:rFonts w:eastAsia="Calibri"/>
        </w:rPr>
        <w:t>Excel spreadsheet r</w:t>
      </w:r>
      <w:r w:rsidRPr="00010AC0">
        <w:rPr>
          <w:rFonts w:eastAsia="Calibri"/>
        </w:rPr>
        <w:t>etrieved January 29, 2014 (</w:t>
      </w:r>
      <w:r w:rsidRPr="003E4401">
        <w:t>https://www.unodc.org/unodc/en/data-and-analysis/homicide.html</w:t>
      </w:r>
      <w:r w:rsidRPr="00010AC0">
        <w:rPr>
          <w:rFonts w:eastAsia="Calibri"/>
        </w:rPr>
        <w:t xml:space="preserve">). </w:t>
      </w:r>
    </w:p>
    <w:p w:rsidR="00D904D0" w:rsidRDefault="00D904D0" w:rsidP="00D904D0">
      <w:pPr>
        <w:spacing w:after="200" w:line="240" w:lineRule="auto"/>
        <w:contextualSpacing/>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B44F9" w:rsidRPr="00010AC0" w:rsidRDefault="000B44F9" w:rsidP="00D41425">
      <w:pPr>
        <w:spacing w:after="200" w:line="240" w:lineRule="auto"/>
        <w:contextualSpacing/>
        <w:rPr>
          <w:rFonts w:eastAsia="Calibri"/>
        </w:rPr>
      </w:pPr>
      <w:r w:rsidRPr="00010AC0">
        <w:rPr>
          <w:rFonts w:eastAsia="Calibri"/>
        </w:rPr>
        <w:t xml:space="preserve">United Nations Office </w:t>
      </w:r>
      <w:r w:rsidRPr="006F0D5D">
        <w:rPr>
          <w:rFonts w:eastAsia="Calibri"/>
          <w:noProof/>
        </w:rPr>
        <w:t>of</w:t>
      </w:r>
      <w:r w:rsidRPr="00010AC0">
        <w:rPr>
          <w:rFonts w:eastAsia="Calibri"/>
        </w:rPr>
        <w:t xml:space="preserve"> Drugs and Crime. 2011. </w:t>
      </w:r>
      <w:r w:rsidRPr="00010AC0">
        <w:rPr>
          <w:rFonts w:eastAsia="Calibri"/>
          <w:i/>
        </w:rPr>
        <w:t>2011 Global Study on Homicide: Trends, Contexts, Data</w:t>
      </w:r>
      <w:r w:rsidRPr="00010AC0">
        <w:rPr>
          <w:rFonts w:eastAsia="Calibri"/>
        </w:rPr>
        <w:t>. Retrieved January 29, 2014 (</w:t>
      </w:r>
      <w:r w:rsidRPr="003E4401">
        <w:t>https://www.unodc.org/unodc/en/data-and-analysis/statistics/crime/global-study-on-homicide-2011.html</w:t>
      </w:r>
      <w:r w:rsidRPr="00010AC0">
        <w:rPr>
          <w:rFonts w:eastAsia="Calibri"/>
        </w:rPr>
        <w:t xml:space="preserve">). </w:t>
      </w:r>
    </w:p>
    <w:p w:rsidR="003948BE" w:rsidRDefault="003948BE" w:rsidP="003948BE">
      <w:pPr>
        <w:spacing w:line="240" w:lineRule="auto"/>
        <w:contextualSpacing/>
      </w:pPr>
    </w:p>
    <w:p w:rsidR="003948BE" w:rsidRPr="00673A3F" w:rsidRDefault="003948BE" w:rsidP="003948BE">
      <w:pPr>
        <w:spacing w:line="240" w:lineRule="auto"/>
        <w:contextualSpacing/>
      </w:pPr>
      <w:r w:rsidRPr="00673A3F">
        <w:t>United Nations Office at Vienna. Crime Prevention and Criminal Justice</w:t>
      </w:r>
    </w:p>
    <w:p w:rsidR="003948BE" w:rsidRPr="00673A3F" w:rsidRDefault="003948BE" w:rsidP="003948BE">
      <w:pPr>
        <w:spacing w:line="240" w:lineRule="auto"/>
        <w:contextualSpacing/>
      </w:pPr>
      <w:r w:rsidRPr="00673A3F">
        <w:t>Branch. United Nations Surveys of Crime Trends and Operations of</w:t>
      </w:r>
    </w:p>
    <w:p w:rsidR="003948BE" w:rsidRPr="00673A3F" w:rsidRDefault="003948BE" w:rsidP="003948BE">
      <w:pPr>
        <w:spacing w:line="240" w:lineRule="auto"/>
        <w:contextualSpacing/>
      </w:pPr>
      <w:r w:rsidRPr="00673A3F">
        <w:t>Criminal Justice Systems Series, Waves 1-10, 1970-2006. ICPSR26462-v1. Ann Arbor, MI: Inter-university Consortium for Political and Social Research [distributor], 2010-07-22. Retrieved December 11, 2015 (http://doi.org/10.3886/ICPSR26462.v1)</w:t>
      </w:r>
    </w:p>
    <w:p w:rsidR="000B44F9" w:rsidRDefault="000B44F9" w:rsidP="00D41425">
      <w:pPr>
        <w:spacing w:after="200" w:line="240" w:lineRule="auto"/>
        <w:contextualSpacing/>
        <w:rPr>
          <w:rFonts w:eastAsia="Calibri"/>
        </w:rPr>
      </w:pPr>
    </w:p>
    <w:p w:rsidR="003A38B0" w:rsidRPr="003A38B0" w:rsidRDefault="003A38B0" w:rsidP="00104A3E">
      <w:pPr>
        <w:spacing w:line="240" w:lineRule="auto"/>
        <w:contextualSpacing/>
      </w:pPr>
      <w:r>
        <w:t xml:space="preserve">Unnever, James D., and Francis T. Cullen. 2010. “Racial-Ethnic Intolerance and Support for Capital Punishment: A Cross-National Comparison.” </w:t>
      </w:r>
      <w:r>
        <w:rPr>
          <w:i/>
        </w:rPr>
        <w:t>Criminology</w:t>
      </w:r>
      <w:r>
        <w:t xml:space="preserve"> 48(3):831-64.</w:t>
      </w:r>
    </w:p>
    <w:p w:rsidR="003A38B0" w:rsidRPr="003A38B0" w:rsidRDefault="003A38B0" w:rsidP="00104A3E">
      <w:pPr>
        <w:spacing w:after="200" w:line="240" w:lineRule="auto"/>
        <w:contextualSpacing/>
        <w:rPr>
          <w:rFonts w:eastAsia="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B44F9" w:rsidRPr="00DD5279" w:rsidRDefault="000B44F9" w:rsidP="00D41425">
      <w:pPr>
        <w:spacing w:line="240" w:lineRule="auto"/>
        <w:contextualSpacing/>
      </w:pPr>
      <w:r>
        <w:t>Van Kesteren, John. 2009. “</w:t>
      </w:r>
      <w:r w:rsidRPr="00543F01">
        <w:rPr>
          <w:noProof/>
        </w:rPr>
        <w:t>Public Attitudes and Sentencing Policies Across the World.</w:t>
      </w:r>
      <w:r>
        <w:t xml:space="preserve">” </w:t>
      </w:r>
      <w:r>
        <w:rPr>
          <w:i/>
        </w:rPr>
        <w:t xml:space="preserve">European Journal </w:t>
      </w:r>
      <w:r w:rsidRPr="006F0D5D">
        <w:rPr>
          <w:i/>
          <w:noProof/>
        </w:rPr>
        <w:t>on</w:t>
      </w:r>
      <w:r>
        <w:rPr>
          <w:i/>
        </w:rPr>
        <w:t xml:space="preserve"> Criminal Policy and Research</w:t>
      </w:r>
      <w:r>
        <w:t xml:space="preserve"> 15:25-46. doi: 10.1007/s10610-009-9098-7. </w:t>
      </w:r>
    </w:p>
    <w:p w:rsidR="000B44F9" w:rsidRDefault="000B44F9" w:rsidP="00D41425">
      <w:pPr>
        <w:spacing w:line="240" w:lineRule="auto"/>
        <w:contextualSpacing/>
      </w:pPr>
    </w:p>
    <w:p w:rsidR="000B44F9" w:rsidRPr="001166E9" w:rsidRDefault="000B44F9" w:rsidP="00D41425">
      <w:pPr>
        <w:spacing w:after="200" w:line="240" w:lineRule="auto"/>
        <w:contextualSpacing/>
        <w:rPr>
          <w:rFonts w:eastAsia="Calibri"/>
        </w:rPr>
      </w:pPr>
      <w:r w:rsidRPr="001166E9">
        <w:rPr>
          <w:rFonts w:eastAsia="Calibri"/>
        </w:rPr>
        <w:t xml:space="preserve">Walmsley, Roy. 1999. </w:t>
      </w:r>
      <w:r w:rsidRPr="001166E9">
        <w:rPr>
          <w:rFonts w:eastAsia="Calibri"/>
          <w:i/>
        </w:rPr>
        <w:t xml:space="preserve">World Prison Population </w:t>
      </w:r>
      <w:r w:rsidRPr="001166E9">
        <w:rPr>
          <w:rFonts w:eastAsia="Calibri"/>
          <w:i/>
          <w:noProof/>
        </w:rPr>
        <w:t>List.</w:t>
      </w:r>
      <w:r w:rsidRPr="001166E9">
        <w:rPr>
          <w:rFonts w:eastAsia="Calibri"/>
          <w:noProof/>
        </w:rPr>
        <w:t xml:space="preserve"> </w:t>
      </w:r>
      <w:r w:rsidRPr="00747F5D">
        <w:rPr>
          <w:rFonts w:eastAsia="Calibri"/>
          <w:noProof/>
        </w:rPr>
        <w:t>Home Office Research, Development and Statistics Directorate, Research Findings No.</w:t>
      </w:r>
      <w:r w:rsidRPr="001166E9">
        <w:rPr>
          <w:rFonts w:eastAsia="Calibri"/>
        </w:rPr>
        <w:t xml:space="preserve"> 88. London, UK: Home Office. Retrieved June 5, 2014 (</w:t>
      </w:r>
      <w:r w:rsidRPr="003E4401">
        <w:t>http://www.apcca.org/uploads/1st_Edition_1999.pdf</w:t>
      </w:r>
      <w:r w:rsidRPr="001166E9">
        <w:rPr>
          <w:rFonts w:eastAsia="Calibri"/>
        </w:rPr>
        <w:t>).</w:t>
      </w:r>
    </w:p>
    <w:p w:rsidR="000B44F9" w:rsidRDefault="000B44F9"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sidRPr="001166E9">
        <w:rPr>
          <w:rFonts w:eastAsia="Calibri"/>
        </w:rPr>
        <w:t xml:space="preserve">Walmsley, Roy. 2000. </w:t>
      </w:r>
      <w:r w:rsidRPr="001166E9">
        <w:rPr>
          <w:rFonts w:eastAsia="Calibri"/>
          <w:i/>
        </w:rPr>
        <w:t>World</w:t>
      </w:r>
      <w:r w:rsidR="003A38B0">
        <w:rPr>
          <w:rFonts w:eastAsia="Calibri"/>
          <w:i/>
        </w:rPr>
        <w:t xml:space="preserve"> Prison Population List</w:t>
      </w:r>
      <w:r w:rsidRPr="001166E9">
        <w:rPr>
          <w:rFonts w:eastAsia="Calibri"/>
          <w:noProof/>
        </w:rPr>
        <w:t>.</w:t>
      </w:r>
      <w:r w:rsidR="003A38B0">
        <w:rPr>
          <w:rFonts w:eastAsia="Calibri"/>
          <w:noProof/>
        </w:rPr>
        <w:t xml:space="preserve"> 2</w:t>
      </w:r>
      <w:r w:rsidR="003A38B0" w:rsidRPr="003A38B0">
        <w:rPr>
          <w:rFonts w:eastAsia="Calibri"/>
          <w:noProof/>
          <w:vertAlign w:val="superscript"/>
        </w:rPr>
        <w:t>nd</w:t>
      </w:r>
      <w:r w:rsidR="003A38B0">
        <w:rPr>
          <w:rFonts w:eastAsia="Calibri"/>
          <w:noProof/>
        </w:rPr>
        <w:t xml:space="preserve"> ed.</w:t>
      </w:r>
      <w:r w:rsidRPr="001166E9">
        <w:rPr>
          <w:rFonts w:eastAsia="Calibri"/>
          <w:noProof/>
        </w:rPr>
        <w:t xml:space="preserve"> </w:t>
      </w:r>
      <w:r w:rsidRPr="00747F5D">
        <w:rPr>
          <w:rFonts w:eastAsia="Calibri"/>
          <w:noProof/>
        </w:rPr>
        <w:t>Home Office Research, Development and Statistics Directorate, Research Findings No.</w:t>
      </w:r>
      <w:r w:rsidRPr="001166E9">
        <w:rPr>
          <w:rFonts w:eastAsia="Calibri"/>
        </w:rPr>
        <w:t xml:space="preserve"> 116. London, UK: Home Office. Retrieved June 5, 2012 (</w:t>
      </w:r>
      <w:r w:rsidRPr="003E4401">
        <w:t>http://www.prisonpolicy.org/scans/rds/r116.pdf</w:t>
      </w:r>
      <w:r w:rsidRPr="001166E9">
        <w:rPr>
          <w:rFonts w:eastAsia="Calibri"/>
        </w:rPr>
        <w:t>)</w:t>
      </w:r>
    </w:p>
    <w:p w:rsidR="000B44F9" w:rsidRDefault="000B44F9"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sidRPr="001166E9">
        <w:rPr>
          <w:rFonts w:eastAsia="Calibri"/>
        </w:rPr>
        <w:t xml:space="preserve">Walmsley, Roy. 2002. </w:t>
      </w:r>
      <w:r w:rsidRPr="001166E9">
        <w:rPr>
          <w:rFonts w:eastAsia="Calibri"/>
          <w:i/>
        </w:rPr>
        <w:t>World Prison</w:t>
      </w:r>
      <w:r w:rsidR="003A38B0">
        <w:rPr>
          <w:rFonts w:eastAsia="Calibri"/>
          <w:i/>
        </w:rPr>
        <w:t xml:space="preserve"> Population List</w:t>
      </w:r>
      <w:r w:rsidRPr="001166E9">
        <w:rPr>
          <w:rFonts w:eastAsia="Calibri"/>
        </w:rPr>
        <w:t>.</w:t>
      </w:r>
      <w:r w:rsidR="003A38B0">
        <w:rPr>
          <w:rFonts w:eastAsia="Calibri"/>
        </w:rPr>
        <w:t xml:space="preserve"> 3</w:t>
      </w:r>
      <w:r w:rsidR="003A38B0" w:rsidRPr="003A38B0">
        <w:rPr>
          <w:rFonts w:eastAsia="Calibri"/>
          <w:vertAlign w:val="superscript"/>
        </w:rPr>
        <w:t>rd</w:t>
      </w:r>
      <w:r w:rsidR="003A38B0">
        <w:rPr>
          <w:rFonts w:eastAsia="Calibri"/>
        </w:rPr>
        <w:t xml:space="preserve"> ed.</w:t>
      </w:r>
      <w:r w:rsidRPr="001166E9">
        <w:rPr>
          <w:rFonts w:eastAsia="Calibri"/>
        </w:rPr>
        <w:t xml:space="preserve"> </w:t>
      </w:r>
      <w:r w:rsidRPr="00747F5D">
        <w:rPr>
          <w:rFonts w:eastAsia="Calibri"/>
          <w:noProof/>
        </w:rPr>
        <w:t>Home Office Research, Development and Statistics Directorate Findings</w:t>
      </w:r>
      <w:r w:rsidRPr="001166E9">
        <w:rPr>
          <w:rFonts w:eastAsia="Calibri"/>
        </w:rPr>
        <w:t xml:space="preserve"> 166. London, UK: Home Office. Retrieved June 5, 2012 (</w:t>
      </w:r>
      <w:r w:rsidRPr="003E4401">
        <w:t>http://www.prisonpolicy.org/scans/rds/r166.pdf</w:t>
      </w:r>
      <w:r w:rsidRPr="001166E9">
        <w:rPr>
          <w:rFonts w:eastAsia="Calibri"/>
        </w:rPr>
        <w:t>).</w:t>
      </w:r>
    </w:p>
    <w:p w:rsidR="000B44F9" w:rsidRDefault="000B44F9"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sidRPr="001166E9">
        <w:rPr>
          <w:rFonts w:eastAsia="Calibri"/>
        </w:rPr>
        <w:lastRenderedPageBreak/>
        <w:t>Walmsley, Roy. 2003</w:t>
      </w:r>
      <w:r w:rsidR="003A38B0">
        <w:rPr>
          <w:rFonts w:eastAsia="Calibri"/>
        </w:rPr>
        <w:t>a</w:t>
      </w:r>
      <w:r w:rsidRPr="001166E9">
        <w:rPr>
          <w:rFonts w:eastAsia="Calibri"/>
        </w:rPr>
        <w:t xml:space="preserve">. </w:t>
      </w:r>
      <w:r w:rsidRPr="001166E9">
        <w:rPr>
          <w:rFonts w:eastAsia="Calibri"/>
          <w:i/>
        </w:rPr>
        <w:t xml:space="preserve">World Prison </w:t>
      </w:r>
      <w:r w:rsidR="003A38B0">
        <w:rPr>
          <w:rFonts w:eastAsia="Calibri"/>
          <w:i/>
        </w:rPr>
        <w:t>Population List</w:t>
      </w:r>
      <w:r w:rsidRPr="001166E9">
        <w:rPr>
          <w:rFonts w:eastAsia="Calibri"/>
          <w:i/>
        </w:rPr>
        <w:t>.</w:t>
      </w:r>
      <w:r w:rsidRPr="001166E9">
        <w:rPr>
          <w:rFonts w:eastAsia="Calibri"/>
        </w:rPr>
        <w:t xml:space="preserve"> </w:t>
      </w:r>
      <w:r w:rsidR="003A38B0">
        <w:rPr>
          <w:rFonts w:eastAsia="Calibri"/>
        </w:rPr>
        <w:t>4</w:t>
      </w:r>
      <w:r w:rsidR="003A38B0" w:rsidRPr="003A38B0">
        <w:rPr>
          <w:rFonts w:eastAsia="Calibri"/>
          <w:vertAlign w:val="superscript"/>
        </w:rPr>
        <w:t>th</w:t>
      </w:r>
      <w:r w:rsidR="003A38B0">
        <w:rPr>
          <w:rFonts w:eastAsia="Calibri"/>
        </w:rPr>
        <w:t xml:space="preserve"> ed. </w:t>
      </w:r>
      <w:r w:rsidRPr="00747F5D">
        <w:rPr>
          <w:rFonts w:eastAsia="Calibri"/>
          <w:noProof/>
        </w:rPr>
        <w:t>Home Office Research, Development and Statistics Directorate Findings</w:t>
      </w:r>
      <w:r w:rsidRPr="001166E9">
        <w:rPr>
          <w:rFonts w:eastAsia="Calibri"/>
        </w:rPr>
        <w:t xml:space="preserve"> 188. London, UK: Home Office. Retrieved March 7, 2012 (</w:t>
      </w:r>
      <w:r w:rsidRPr="003E4401">
        <w:t>http://www.prisonpolicy.org/scans/rds/r188.pdf</w:t>
      </w:r>
      <w:r w:rsidRPr="001166E9">
        <w:rPr>
          <w:rFonts w:eastAsia="Calibri"/>
        </w:rPr>
        <w:t>).</w:t>
      </w:r>
    </w:p>
    <w:p w:rsidR="000B44F9" w:rsidRDefault="000B44F9"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sidRPr="001166E9">
        <w:rPr>
          <w:rFonts w:eastAsia="Calibri"/>
        </w:rPr>
        <w:t>Walmsley, Roy. 2003</w:t>
      </w:r>
      <w:r w:rsidR="003A38B0">
        <w:rPr>
          <w:rFonts w:eastAsia="Calibri"/>
        </w:rPr>
        <w:t>b</w:t>
      </w:r>
      <w:r w:rsidRPr="001166E9">
        <w:rPr>
          <w:rFonts w:eastAsia="Calibri"/>
        </w:rPr>
        <w:t xml:space="preserve">. </w:t>
      </w:r>
      <w:r w:rsidRPr="001166E9">
        <w:rPr>
          <w:rFonts w:eastAsia="Calibri"/>
          <w:i/>
        </w:rPr>
        <w:t>World Prison</w:t>
      </w:r>
      <w:r w:rsidR="003A38B0">
        <w:rPr>
          <w:rFonts w:eastAsia="Calibri"/>
          <w:i/>
        </w:rPr>
        <w:t xml:space="preserve"> Population List</w:t>
      </w:r>
      <w:r w:rsidRPr="001166E9">
        <w:rPr>
          <w:rFonts w:eastAsia="Calibri"/>
        </w:rPr>
        <w:t>.</w:t>
      </w:r>
      <w:r w:rsidR="003A38B0">
        <w:rPr>
          <w:rFonts w:eastAsia="Calibri"/>
        </w:rPr>
        <w:t xml:space="preserve"> 5</w:t>
      </w:r>
      <w:r w:rsidR="003A38B0" w:rsidRPr="003A38B0">
        <w:rPr>
          <w:rFonts w:eastAsia="Calibri"/>
          <w:vertAlign w:val="superscript"/>
        </w:rPr>
        <w:t>th</w:t>
      </w:r>
      <w:r w:rsidR="003A38B0">
        <w:rPr>
          <w:rFonts w:eastAsia="Calibri"/>
        </w:rPr>
        <w:t xml:space="preserve"> ed.</w:t>
      </w:r>
      <w:r w:rsidRPr="001166E9">
        <w:rPr>
          <w:rFonts w:eastAsia="Calibri"/>
        </w:rPr>
        <w:t xml:space="preserve"> Home Office Research, </w:t>
      </w:r>
      <w:r w:rsidRPr="006F0D5D">
        <w:rPr>
          <w:rFonts w:eastAsia="Calibri"/>
          <w:noProof/>
        </w:rPr>
        <w:t>Development</w:t>
      </w:r>
      <w:r w:rsidRPr="001166E9">
        <w:rPr>
          <w:rFonts w:eastAsia="Calibri"/>
        </w:rPr>
        <w:t xml:space="preserve"> and Statistics Directorate Finding 234. London, UK: Home Office. Retrieved June 5, 2012 (</w:t>
      </w:r>
      <w:r w:rsidRPr="003E4401">
        <w:t>http://www.prisonpolicy.org/scans/rds/r234.pdf</w:t>
      </w:r>
      <w:r w:rsidRPr="001166E9">
        <w:rPr>
          <w:rFonts w:eastAsia="Calibri"/>
        </w:rPr>
        <w:t xml:space="preserve">). </w:t>
      </w:r>
    </w:p>
    <w:p w:rsidR="00611A9D" w:rsidRDefault="00611A9D"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sidRPr="001166E9">
        <w:rPr>
          <w:rFonts w:eastAsia="Calibri"/>
        </w:rPr>
        <w:t xml:space="preserve">Walmsley, Roy. 2005. </w:t>
      </w:r>
      <w:r w:rsidRPr="001166E9">
        <w:rPr>
          <w:rFonts w:eastAsia="Calibri"/>
          <w:i/>
        </w:rPr>
        <w:t>World Prison</w:t>
      </w:r>
      <w:r w:rsidR="003A38B0">
        <w:rPr>
          <w:rFonts w:eastAsia="Calibri"/>
          <w:i/>
        </w:rPr>
        <w:t xml:space="preserve"> Population List</w:t>
      </w:r>
      <w:r w:rsidRPr="001166E9">
        <w:rPr>
          <w:rFonts w:eastAsia="Calibri"/>
        </w:rPr>
        <w:t>.</w:t>
      </w:r>
      <w:r w:rsidR="003A38B0">
        <w:rPr>
          <w:rFonts w:eastAsia="Calibri"/>
        </w:rPr>
        <w:t xml:space="preserve"> 6</w:t>
      </w:r>
      <w:r w:rsidR="003A38B0" w:rsidRPr="003A38B0">
        <w:rPr>
          <w:rFonts w:eastAsia="Calibri"/>
          <w:vertAlign w:val="superscript"/>
        </w:rPr>
        <w:t>th</w:t>
      </w:r>
      <w:r w:rsidR="003A38B0">
        <w:rPr>
          <w:rFonts w:eastAsia="Calibri"/>
        </w:rPr>
        <w:t xml:space="preserve"> ed.</w:t>
      </w:r>
      <w:r w:rsidRPr="001166E9">
        <w:rPr>
          <w:rFonts w:eastAsia="Calibri"/>
        </w:rPr>
        <w:t xml:space="preserve"> International Centre for Prison Studies, King’s College London. London, UK: King’s College London. Retrieved June 5, 2014 (</w:t>
      </w:r>
      <w:r w:rsidRPr="003E4401">
        <w:t>http://www.prisonstudies.org/sites/prisonstudies.org/files/resources/downloads/world-prison-population-list-2005.pdf</w:t>
      </w:r>
      <w:r w:rsidRPr="001166E9">
        <w:rPr>
          <w:rFonts w:eastAsia="Calibri"/>
        </w:rPr>
        <w:t>)</w:t>
      </w:r>
    </w:p>
    <w:p w:rsidR="000B44F9" w:rsidRDefault="000B44F9"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sidRPr="001166E9">
        <w:rPr>
          <w:rFonts w:eastAsia="Calibri"/>
        </w:rPr>
        <w:t xml:space="preserve">Walmsley, Roy. 2007. </w:t>
      </w:r>
      <w:r w:rsidRPr="001166E9">
        <w:rPr>
          <w:rFonts w:eastAsia="Calibri"/>
          <w:i/>
        </w:rPr>
        <w:t>World Prison P</w:t>
      </w:r>
      <w:r w:rsidR="003A38B0">
        <w:rPr>
          <w:rFonts w:eastAsia="Calibri"/>
          <w:i/>
        </w:rPr>
        <w:t>opulation List</w:t>
      </w:r>
      <w:r w:rsidRPr="001166E9">
        <w:rPr>
          <w:rFonts w:eastAsia="Calibri"/>
        </w:rPr>
        <w:t>.</w:t>
      </w:r>
      <w:r w:rsidR="003A38B0">
        <w:rPr>
          <w:rFonts w:eastAsia="Calibri"/>
        </w:rPr>
        <w:t xml:space="preserve"> 7</w:t>
      </w:r>
      <w:r w:rsidR="003A38B0" w:rsidRPr="003A38B0">
        <w:rPr>
          <w:rFonts w:eastAsia="Calibri"/>
          <w:vertAlign w:val="superscript"/>
        </w:rPr>
        <w:t>th</w:t>
      </w:r>
      <w:r w:rsidR="003A38B0">
        <w:rPr>
          <w:rFonts w:eastAsia="Calibri"/>
        </w:rPr>
        <w:t xml:space="preserve"> ed.</w:t>
      </w:r>
      <w:r w:rsidRPr="001166E9">
        <w:rPr>
          <w:rFonts w:eastAsia="Calibri"/>
        </w:rPr>
        <w:t xml:space="preserve"> International Centre for Prison Studies, King’s College London. London, </w:t>
      </w:r>
      <w:r w:rsidRPr="006F0D5D">
        <w:rPr>
          <w:rFonts w:eastAsia="Calibri"/>
          <w:noProof/>
        </w:rPr>
        <w:t>UK: King’s College London. Retrieved April 24, 2012</w:t>
      </w:r>
      <w:r w:rsidRPr="001166E9">
        <w:rPr>
          <w:rFonts w:eastAsia="Calibri"/>
        </w:rPr>
        <w:t xml:space="preserve"> (</w:t>
      </w:r>
      <w:r w:rsidRPr="003E4401">
        <w:t>http://www.prisonstudies.org/sites/prisonstudies.org/files/resources/downloads/world-prison-pop-seventh.pdf</w:t>
      </w:r>
      <w:r w:rsidRPr="001166E9">
        <w:rPr>
          <w:rFonts w:eastAsia="Calibri"/>
        </w:rPr>
        <w:t xml:space="preserve">). </w:t>
      </w:r>
    </w:p>
    <w:p w:rsidR="000B44F9" w:rsidRDefault="000B44F9"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sidRPr="001166E9">
        <w:rPr>
          <w:rFonts w:eastAsia="Calibri"/>
        </w:rPr>
        <w:t xml:space="preserve">Walmsley, Roy. 2009. </w:t>
      </w:r>
      <w:r w:rsidRPr="001166E9">
        <w:rPr>
          <w:rFonts w:eastAsia="Calibri"/>
          <w:i/>
        </w:rPr>
        <w:t>World Prison Po</w:t>
      </w:r>
      <w:r w:rsidR="003A38B0">
        <w:rPr>
          <w:rFonts w:eastAsia="Calibri"/>
          <w:i/>
        </w:rPr>
        <w:t>pulation List.</w:t>
      </w:r>
      <w:r w:rsidR="003A38B0">
        <w:rPr>
          <w:rFonts w:eastAsia="Calibri"/>
        </w:rPr>
        <w:t xml:space="preserve"> 8</w:t>
      </w:r>
      <w:r w:rsidR="003A38B0" w:rsidRPr="003A38B0">
        <w:rPr>
          <w:rFonts w:eastAsia="Calibri"/>
          <w:vertAlign w:val="superscript"/>
        </w:rPr>
        <w:t>th</w:t>
      </w:r>
      <w:r w:rsidR="003A38B0">
        <w:rPr>
          <w:rFonts w:eastAsia="Calibri"/>
        </w:rPr>
        <w:t xml:space="preserve"> ed.</w:t>
      </w:r>
      <w:r w:rsidRPr="001166E9">
        <w:rPr>
          <w:rFonts w:eastAsia="Calibri"/>
          <w:i/>
        </w:rPr>
        <w:t xml:space="preserve"> </w:t>
      </w:r>
      <w:r w:rsidRPr="001166E9">
        <w:rPr>
          <w:rFonts w:eastAsia="Calibri"/>
        </w:rPr>
        <w:t xml:space="preserve">International Centre for Prison Studies, </w:t>
      </w:r>
      <w:r w:rsidRPr="006F0D5D">
        <w:rPr>
          <w:rFonts w:eastAsia="Calibri"/>
          <w:noProof/>
        </w:rPr>
        <w:t>King’s College London. London, UK: King’s College London.</w:t>
      </w:r>
      <w:r w:rsidRPr="001166E9">
        <w:rPr>
          <w:rFonts w:eastAsia="Calibri"/>
        </w:rPr>
        <w:t xml:space="preserve"> Retrieved April 24, 2012 (</w:t>
      </w:r>
      <w:r w:rsidRPr="003E4401">
        <w:t>http://www.prisonstudies.org/sites/prisonstudies.org/files/resources/downloads/wppl-8th_41.pdf</w:t>
      </w:r>
      <w:r w:rsidRPr="001166E9">
        <w:rPr>
          <w:rFonts w:eastAsia="Calibri"/>
        </w:rPr>
        <w:t xml:space="preserve">). </w:t>
      </w:r>
    </w:p>
    <w:p w:rsidR="000B44F9" w:rsidRDefault="000B44F9"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sidRPr="001166E9">
        <w:rPr>
          <w:rFonts w:eastAsia="Calibri"/>
        </w:rPr>
        <w:t xml:space="preserve">Walmsley, Roy. 2011. </w:t>
      </w:r>
      <w:r w:rsidRPr="006F0D5D">
        <w:rPr>
          <w:rFonts w:eastAsia="Calibri"/>
          <w:i/>
          <w:noProof/>
        </w:rPr>
        <w:t>World</w:t>
      </w:r>
      <w:r w:rsidRPr="001166E9">
        <w:rPr>
          <w:rFonts w:eastAsia="Calibri"/>
          <w:i/>
        </w:rPr>
        <w:t xml:space="preserve"> Prison </w:t>
      </w:r>
      <w:r w:rsidRPr="006F0D5D">
        <w:rPr>
          <w:rFonts w:eastAsia="Calibri"/>
          <w:i/>
          <w:noProof/>
        </w:rPr>
        <w:t>Populati</w:t>
      </w:r>
      <w:r w:rsidRPr="001166E9">
        <w:rPr>
          <w:rFonts w:eastAsia="Calibri"/>
          <w:i/>
        </w:rPr>
        <w:t>on List</w:t>
      </w:r>
      <w:r w:rsidRPr="001166E9">
        <w:rPr>
          <w:rFonts w:eastAsia="Calibri"/>
        </w:rPr>
        <w:t>.</w:t>
      </w:r>
      <w:r w:rsidR="003A38B0">
        <w:rPr>
          <w:rFonts w:eastAsia="Calibri"/>
        </w:rPr>
        <w:t xml:space="preserve"> 9</w:t>
      </w:r>
      <w:r w:rsidR="003A38B0" w:rsidRPr="003A38B0">
        <w:rPr>
          <w:rFonts w:eastAsia="Calibri"/>
          <w:vertAlign w:val="superscript"/>
        </w:rPr>
        <w:t>th</w:t>
      </w:r>
      <w:r w:rsidR="003A38B0">
        <w:rPr>
          <w:rFonts w:eastAsia="Calibri"/>
        </w:rPr>
        <w:t xml:space="preserve"> ed.</w:t>
      </w:r>
      <w:r w:rsidRPr="001166E9">
        <w:rPr>
          <w:rFonts w:eastAsia="Calibri"/>
        </w:rPr>
        <w:t xml:space="preserve"> International Centre for Prison Studies, University of Essex. London, UK: International Centre for Prison Studies. Retrieved June 6, 2014 (</w:t>
      </w:r>
      <w:r w:rsidRPr="003E4401">
        <w:t>http://www.prisonstudies.org/sites/prisonstudies.org/files/resources/downloads/wppl_9.pdf</w:t>
      </w:r>
      <w:r w:rsidRPr="001166E9">
        <w:rPr>
          <w:rFonts w:eastAsia="Calibri"/>
        </w:rPr>
        <w:t xml:space="preserve">). </w:t>
      </w:r>
    </w:p>
    <w:p w:rsidR="000B44F9" w:rsidRDefault="000B44F9" w:rsidP="00D41425">
      <w:pPr>
        <w:spacing w:after="200" w:line="240" w:lineRule="auto"/>
        <w:contextualSpacing/>
        <w:rPr>
          <w:rFonts w:eastAsia="Calibri"/>
        </w:rPr>
      </w:pPr>
    </w:p>
    <w:p w:rsidR="000B44F9" w:rsidRDefault="000B44F9" w:rsidP="00D41425">
      <w:pPr>
        <w:spacing w:after="200" w:line="240" w:lineRule="auto"/>
        <w:contextualSpacing/>
        <w:rPr>
          <w:rFonts w:eastAsia="Calibri"/>
        </w:rPr>
      </w:pPr>
      <w:r w:rsidRPr="001166E9">
        <w:rPr>
          <w:rFonts w:eastAsia="Calibri"/>
        </w:rPr>
        <w:t xml:space="preserve">Walmsley, Roy. 2013. </w:t>
      </w:r>
      <w:r w:rsidRPr="001166E9">
        <w:rPr>
          <w:rFonts w:eastAsia="Calibri"/>
          <w:i/>
        </w:rPr>
        <w:t>World Prison</w:t>
      </w:r>
      <w:r w:rsidR="003A38B0">
        <w:rPr>
          <w:rFonts w:eastAsia="Calibri"/>
          <w:i/>
        </w:rPr>
        <w:t xml:space="preserve"> Population List</w:t>
      </w:r>
      <w:r w:rsidRPr="001166E9">
        <w:rPr>
          <w:rFonts w:eastAsia="Calibri"/>
        </w:rPr>
        <w:t>.</w:t>
      </w:r>
      <w:r w:rsidR="003A38B0">
        <w:rPr>
          <w:rFonts w:eastAsia="Calibri"/>
        </w:rPr>
        <w:t xml:space="preserve"> 10</w:t>
      </w:r>
      <w:r w:rsidR="003A38B0" w:rsidRPr="003A38B0">
        <w:rPr>
          <w:rFonts w:eastAsia="Calibri"/>
          <w:vertAlign w:val="superscript"/>
        </w:rPr>
        <w:t>th</w:t>
      </w:r>
      <w:r w:rsidR="003A38B0">
        <w:rPr>
          <w:rFonts w:eastAsia="Calibri"/>
        </w:rPr>
        <w:t xml:space="preserve"> ed.</w:t>
      </w:r>
      <w:r w:rsidRPr="001166E9">
        <w:rPr>
          <w:rFonts w:eastAsia="Calibri"/>
        </w:rPr>
        <w:t xml:space="preserve"> International Centre for Prison Studies, University of Essex. London, UK: International Centre for Prison Studies. Retrieved March 9, 2014 (</w:t>
      </w:r>
      <w:r w:rsidRPr="003E4401">
        <w:t>http://www.prisonstudies.org/sites/prisonstudies.org/files/resources/downloads/wppl_10.pdf</w:t>
      </w:r>
      <w:r w:rsidRPr="001166E9">
        <w:rPr>
          <w:rFonts w:eastAsia="Calibri"/>
        </w:rPr>
        <w:t xml:space="preserve">). </w:t>
      </w:r>
    </w:p>
    <w:p w:rsidR="000B44F9" w:rsidRDefault="000B44F9" w:rsidP="00D41425">
      <w:pPr>
        <w:spacing w:line="240" w:lineRule="auto"/>
        <w:contextualSpacing/>
      </w:pPr>
    </w:p>
    <w:p w:rsidR="000B44F9" w:rsidRPr="00DE31C9" w:rsidRDefault="000B44F9" w:rsidP="00D41425">
      <w:pPr>
        <w:spacing w:line="240" w:lineRule="auto"/>
        <w:contextualSpacing/>
        <w:rPr>
          <w:noProof/>
        </w:rPr>
      </w:pPr>
      <w:r>
        <w:t>Wallerstein, Immanuel.1974. “</w:t>
      </w:r>
      <w:r w:rsidRPr="00F652E7">
        <w:rPr>
          <w:noProof/>
        </w:rPr>
        <w:t xml:space="preserve">The Rise and Future Demise of the World Capitalist System: Concepts for Comparative Analysis.” </w:t>
      </w:r>
      <w:r w:rsidRPr="00F652E7">
        <w:rPr>
          <w:i/>
          <w:noProof/>
        </w:rPr>
        <w:t>Comparative Studies in Society and History</w:t>
      </w:r>
      <w:r w:rsidRPr="00F652E7">
        <w:rPr>
          <w:noProof/>
        </w:rPr>
        <w:t xml:space="preserve"> </w:t>
      </w:r>
      <w:r w:rsidRPr="00DE31C9">
        <w:rPr>
          <w:noProof/>
        </w:rPr>
        <w:t>16(4):387-415.</w:t>
      </w:r>
    </w:p>
    <w:p w:rsidR="000B44F9" w:rsidRDefault="000B44F9" w:rsidP="00D41425">
      <w:pPr>
        <w:spacing w:line="240" w:lineRule="auto"/>
        <w:contextualSpacing/>
        <w:rPr>
          <w:noProof/>
        </w:rPr>
      </w:pPr>
    </w:p>
    <w:p w:rsidR="000B44F9" w:rsidRDefault="000B44F9" w:rsidP="00D41425">
      <w:pPr>
        <w:spacing w:line="240" w:lineRule="auto"/>
        <w:contextualSpacing/>
      </w:pPr>
      <w:r>
        <w:t>Wallerstein, Immanuel</w:t>
      </w:r>
      <w:r w:rsidRPr="00DE31C9">
        <w:rPr>
          <w:noProof/>
        </w:rPr>
        <w:t xml:space="preserve">.1976. </w:t>
      </w:r>
      <w:r w:rsidRPr="00DE31C9">
        <w:rPr>
          <w:i/>
          <w:noProof/>
        </w:rPr>
        <w:t>The Modern World-System: Capitalist</w:t>
      </w:r>
      <w:r>
        <w:rPr>
          <w:i/>
        </w:rPr>
        <w:t xml:space="preserve"> Agriculture and the Origins of the European World-Economy in the Sixteenth Century</w:t>
      </w:r>
      <w:r>
        <w:t>. New York: Academic Press.</w:t>
      </w:r>
    </w:p>
    <w:p w:rsidR="000B44F9" w:rsidRDefault="000B44F9" w:rsidP="00D41425">
      <w:pPr>
        <w:spacing w:line="240" w:lineRule="auto"/>
        <w:contextualSpacing/>
        <w:rPr>
          <w:noProof/>
        </w:rPr>
      </w:pPr>
    </w:p>
    <w:p w:rsidR="000B44F9" w:rsidRDefault="000B44F9" w:rsidP="00D41425">
      <w:pPr>
        <w:spacing w:line="240" w:lineRule="auto"/>
        <w:contextualSpacing/>
      </w:pPr>
      <w:r w:rsidRPr="005369C5">
        <w:rPr>
          <w:noProof/>
        </w:rPr>
        <w:lastRenderedPageBreak/>
        <w:t>Wilkins, Leslie T. and Ken Pease.</w:t>
      </w:r>
      <w:r w:rsidRPr="009017B6">
        <w:t xml:space="preserve"> 1987. “Public Demand for Punishment.” </w:t>
      </w:r>
      <w:r w:rsidRPr="00543F01">
        <w:rPr>
          <w:i/>
          <w:noProof/>
        </w:rPr>
        <w:t>International Journal of Sociology and Social Policy</w:t>
      </w:r>
      <w:r w:rsidRPr="00543F01">
        <w:rPr>
          <w:noProof/>
        </w:rPr>
        <w:t xml:space="preserve"> 7</w:t>
      </w:r>
      <w:r w:rsidRPr="009017B6">
        <w:t xml:space="preserve">(3):16-29. Retrieved March 19, </w:t>
      </w:r>
      <w:r w:rsidRPr="006F0D5D">
        <w:rPr>
          <w:noProof/>
        </w:rPr>
        <w:t>2012</w:t>
      </w:r>
      <w:r w:rsidRPr="009017B6">
        <w:t xml:space="preserve"> from (</w:t>
      </w:r>
      <w:r w:rsidRPr="000B44F9">
        <w:t>http://dx.doi.org/10.1108/eb014252</w:t>
      </w:r>
      <w:r w:rsidRPr="009017B6">
        <w:t xml:space="preserve">). </w:t>
      </w:r>
    </w:p>
    <w:p w:rsidR="000B44F9" w:rsidRDefault="000B44F9" w:rsidP="00D41425">
      <w:pPr>
        <w:spacing w:line="240" w:lineRule="auto"/>
        <w:contextualSpacing/>
      </w:pPr>
    </w:p>
    <w:p w:rsidR="000B44F9" w:rsidRDefault="000B44F9" w:rsidP="00D41425">
      <w:pPr>
        <w:spacing w:line="240" w:lineRule="auto"/>
        <w:contextualSpacing/>
      </w:pPr>
      <w:r>
        <w:t>Wilkinson, Richard G. and Kate E. Pickett. 2007. “</w:t>
      </w:r>
      <w:r w:rsidRPr="00543F01">
        <w:rPr>
          <w:noProof/>
        </w:rPr>
        <w:t>The Problems of Relative Deprivation: Why Some Societies Do Better</w:t>
      </w:r>
      <w:r>
        <w:t xml:space="preserve"> than Others.” </w:t>
      </w:r>
      <w:r>
        <w:rPr>
          <w:i/>
        </w:rPr>
        <w:t xml:space="preserve">Social Science &amp; Medicine </w:t>
      </w:r>
      <w:r>
        <w:t>65:1965-78.</w:t>
      </w:r>
    </w:p>
    <w:p w:rsidR="000B44F9" w:rsidRDefault="000B44F9" w:rsidP="00D41425">
      <w:pPr>
        <w:spacing w:line="240" w:lineRule="auto"/>
        <w:contextualSpacing/>
      </w:pPr>
    </w:p>
    <w:p w:rsidR="000B44F9" w:rsidRPr="00184ECE" w:rsidRDefault="000B44F9" w:rsidP="00D41425">
      <w:pPr>
        <w:spacing w:after="200" w:line="240" w:lineRule="auto"/>
        <w:contextualSpacing/>
        <w:rPr>
          <w:rFonts w:eastAsia="Calibri"/>
        </w:rPr>
      </w:pPr>
      <w:r>
        <w:rPr>
          <w:rFonts w:eastAsia="Calibri"/>
        </w:rPr>
        <w:t xml:space="preserve">Wooldridge, Jeffrey M. 2009. </w:t>
      </w:r>
      <w:r>
        <w:rPr>
          <w:rFonts w:eastAsia="Calibri"/>
          <w:i/>
        </w:rPr>
        <w:t>Introductory Econometrics, 4</w:t>
      </w:r>
      <w:r w:rsidRPr="00184ECE">
        <w:rPr>
          <w:rFonts w:eastAsia="Calibri"/>
          <w:i/>
          <w:vertAlign w:val="superscript"/>
        </w:rPr>
        <w:t>th</w:t>
      </w:r>
      <w:r>
        <w:rPr>
          <w:rFonts w:eastAsia="Calibri"/>
          <w:i/>
        </w:rPr>
        <w:t xml:space="preserve"> ed.</w:t>
      </w:r>
      <w:r>
        <w:rPr>
          <w:rFonts w:eastAsia="Calibri"/>
        </w:rPr>
        <w:t xml:space="preserve"> Mason, OH: South-Western Cengage Learning.</w:t>
      </w:r>
    </w:p>
    <w:p w:rsidR="000B44F9" w:rsidRDefault="000B44F9" w:rsidP="00D41425">
      <w:pPr>
        <w:spacing w:after="200" w:line="240" w:lineRule="auto"/>
        <w:contextualSpacing/>
        <w:rPr>
          <w:rFonts w:eastAsia="Calibri"/>
        </w:rPr>
      </w:pPr>
    </w:p>
    <w:p w:rsidR="00104A3E" w:rsidRPr="00104A3E" w:rsidRDefault="00104A3E" w:rsidP="00104A3E">
      <w:pPr>
        <w:spacing w:after="200" w:line="240" w:lineRule="auto"/>
        <w:contextualSpacing/>
        <w:rPr>
          <w:rFonts w:eastAsia="Calibri"/>
        </w:rPr>
      </w:pPr>
      <w:r w:rsidRPr="00104A3E">
        <w:rPr>
          <w:rFonts w:eastAsia="Calibri"/>
        </w:rPr>
        <w:t xml:space="preserve">World Bank. 2015. “Urban population (% of total)” </w:t>
      </w:r>
      <w:r w:rsidRPr="00104A3E">
        <w:rPr>
          <w:rFonts w:eastAsia="Calibri"/>
          <w:i/>
        </w:rPr>
        <w:t xml:space="preserve">World Development Indicators. </w:t>
      </w:r>
      <w:r w:rsidRPr="00104A3E">
        <w:rPr>
          <w:rFonts w:eastAsia="Calibri"/>
        </w:rPr>
        <w:t>World Bank. Retrieved December 7, 2015 (http://data.worldbank.org/indicator/SP.URB.TOTL.IN.Zs?page5).</w:t>
      </w:r>
    </w:p>
    <w:p w:rsidR="00104A3E" w:rsidRDefault="00104A3E" w:rsidP="00D41425">
      <w:pPr>
        <w:spacing w:after="200" w:line="240" w:lineRule="auto"/>
        <w:contextualSpacing/>
        <w:rPr>
          <w:rFonts w:eastAsia="Calibri"/>
        </w:rPr>
      </w:pPr>
    </w:p>
    <w:p w:rsidR="000B44F9" w:rsidRPr="001166E9" w:rsidRDefault="000B44F9" w:rsidP="00D41425">
      <w:pPr>
        <w:spacing w:after="200" w:line="240" w:lineRule="auto"/>
        <w:contextualSpacing/>
        <w:rPr>
          <w:rFonts w:eastAsia="Calibri"/>
        </w:rPr>
      </w:pPr>
      <w:r>
        <w:rPr>
          <w:rFonts w:eastAsia="Calibri"/>
        </w:rPr>
        <w:t>World Bank. N.d</w:t>
      </w:r>
      <w:r w:rsidRPr="001166E9">
        <w:rPr>
          <w:rFonts w:eastAsia="Calibri"/>
        </w:rPr>
        <w:t>.</w:t>
      </w:r>
      <w:r w:rsidR="003A38B0">
        <w:rPr>
          <w:rFonts w:eastAsia="Calibri"/>
        </w:rPr>
        <w:t>a.</w:t>
      </w:r>
      <w:r w:rsidRPr="001166E9">
        <w:rPr>
          <w:rFonts w:eastAsia="Calibri"/>
        </w:rPr>
        <w:t xml:space="preserve"> </w:t>
      </w:r>
      <w:r w:rsidR="001945AD">
        <w:rPr>
          <w:rFonts w:eastAsia="Calibri"/>
        </w:rPr>
        <w:t>“GDP Per Capita (Constant 2011 International</w:t>
      </w:r>
      <w:r w:rsidR="003A38B0">
        <w:rPr>
          <w:rFonts w:eastAsia="Calibri"/>
        </w:rPr>
        <w:t xml:space="preserve"> </w:t>
      </w:r>
      <w:r>
        <w:rPr>
          <w:rFonts w:eastAsia="Calibri"/>
        </w:rPr>
        <w:t xml:space="preserve">$).” </w:t>
      </w:r>
      <w:r>
        <w:rPr>
          <w:rFonts w:eastAsia="Calibri"/>
          <w:i/>
        </w:rPr>
        <w:t>World Development I</w:t>
      </w:r>
      <w:r w:rsidRPr="001166E9">
        <w:rPr>
          <w:rFonts w:eastAsia="Calibri"/>
          <w:i/>
        </w:rPr>
        <w:t>ndicators</w:t>
      </w:r>
      <w:r w:rsidRPr="001166E9">
        <w:rPr>
          <w:rFonts w:eastAsia="Calibri"/>
        </w:rPr>
        <w:t xml:space="preserve">. World Bank. Retrieved </w:t>
      </w:r>
      <w:r w:rsidR="001945AD">
        <w:rPr>
          <w:rFonts w:eastAsia="Calibri"/>
        </w:rPr>
        <w:t>July 5, 2015</w:t>
      </w:r>
      <w:r w:rsidRPr="001166E9">
        <w:rPr>
          <w:rFonts w:eastAsia="Calibri"/>
        </w:rPr>
        <w:t xml:space="preserve"> </w:t>
      </w:r>
      <w:r w:rsidR="001945AD" w:rsidRPr="001945AD">
        <w:rPr>
          <w:rFonts w:eastAsia="Calibri"/>
        </w:rPr>
        <w:t>(http://databank.worldbank.org/data/reports.aspx?source=World-Development-Indicators#)</w:t>
      </w:r>
      <w:r w:rsidRPr="001166E9">
        <w:rPr>
          <w:rFonts w:eastAsia="Calibri"/>
        </w:rPr>
        <w:t xml:space="preserve">. </w:t>
      </w:r>
    </w:p>
    <w:p w:rsidR="000B44F9" w:rsidRDefault="000B44F9" w:rsidP="00D41425">
      <w:pPr>
        <w:spacing w:line="240" w:lineRule="auto"/>
        <w:contextualSpacing/>
        <w:rPr>
          <w:rFonts w:eastAsia="Calibri"/>
        </w:rPr>
      </w:pPr>
    </w:p>
    <w:p w:rsidR="000B44F9" w:rsidRDefault="000B44F9" w:rsidP="00D41425">
      <w:pPr>
        <w:spacing w:line="240" w:lineRule="auto"/>
        <w:contextualSpacing/>
        <w:rPr>
          <w:rFonts w:eastAsia="Calibri"/>
        </w:rPr>
      </w:pPr>
      <w:r>
        <w:rPr>
          <w:rFonts w:eastAsia="Calibri"/>
        </w:rPr>
        <w:t>World Bank. N.d.</w:t>
      </w:r>
      <w:r w:rsidR="003A38B0">
        <w:rPr>
          <w:rFonts w:eastAsia="Calibri"/>
        </w:rPr>
        <w:t>b.</w:t>
      </w:r>
      <w:r>
        <w:rPr>
          <w:rFonts w:eastAsia="Calibri"/>
        </w:rPr>
        <w:t xml:space="preserve"> “Population ages 15-64 (% of total).” </w:t>
      </w:r>
      <w:r>
        <w:rPr>
          <w:rFonts w:eastAsia="Calibri"/>
          <w:i/>
        </w:rPr>
        <w:t>World Development Indicators</w:t>
      </w:r>
      <w:r>
        <w:rPr>
          <w:rFonts w:eastAsia="Calibri"/>
        </w:rPr>
        <w:t>. World Bank. Retrieved May 18, 2014 (</w:t>
      </w:r>
      <w:r w:rsidR="00D41425" w:rsidRPr="00D41425">
        <w:rPr>
          <w:rFonts w:eastAsia="Calibri"/>
        </w:rPr>
        <w:t>http://databank.worldbank.org/data/views/reports/tableview.aspx</w:t>
      </w:r>
      <w:r>
        <w:rPr>
          <w:rFonts w:eastAsia="Calibri"/>
        </w:rPr>
        <w:t xml:space="preserve">). </w:t>
      </w:r>
    </w:p>
    <w:p w:rsidR="00D41425" w:rsidRDefault="00D41425" w:rsidP="00D41425">
      <w:pPr>
        <w:spacing w:line="240" w:lineRule="auto"/>
        <w:contextualSpacing/>
        <w:rPr>
          <w:rFonts w:eastAsia="Calibri"/>
        </w:rPr>
      </w:pPr>
    </w:p>
    <w:p w:rsidR="00D41425" w:rsidRPr="000F1EB0" w:rsidRDefault="00D41425" w:rsidP="00D41425">
      <w:pPr>
        <w:spacing w:line="240" w:lineRule="auto"/>
        <w:contextualSpacing/>
      </w:pPr>
      <w:r>
        <w:t>World Bank. N.d.</w:t>
      </w:r>
      <w:r w:rsidR="003A38B0">
        <w:t>c.</w:t>
      </w:r>
      <w:r>
        <w:t xml:space="preserve"> “Population, female (% of total).” </w:t>
      </w:r>
      <w:r>
        <w:rPr>
          <w:i/>
        </w:rPr>
        <w:t xml:space="preserve">World Development Indicators.  </w:t>
      </w:r>
      <w:r>
        <w:t>Retrieved July 14, 2015 (</w:t>
      </w:r>
      <w:r w:rsidRPr="00D41425">
        <w:t>http://databank.worldbank.org/data/reports.aspx?source=world-development-indicators&amp;Type=TABLE#</w:t>
      </w:r>
      <w:r>
        <w:t xml:space="preserve">). </w:t>
      </w:r>
    </w:p>
    <w:p w:rsidR="000B44F9" w:rsidRPr="00314143" w:rsidRDefault="000B44F9" w:rsidP="00D41425">
      <w:pPr>
        <w:spacing w:line="240" w:lineRule="auto"/>
        <w:contextualSpacing/>
      </w:pPr>
    </w:p>
    <w:p w:rsidR="000B44F9" w:rsidRPr="00F77480" w:rsidRDefault="000B44F9" w:rsidP="00D41425">
      <w:pPr>
        <w:spacing w:line="240" w:lineRule="auto"/>
        <w:contextualSpacing/>
      </w:pPr>
      <w:r>
        <w:t>York, Richard and Christina Ergas. 2011. “</w:t>
      </w:r>
      <w:r w:rsidRPr="00F652E7">
        <w:rPr>
          <w:noProof/>
        </w:rPr>
        <w:t xml:space="preserve">Women’s Status and World-System Position: An </w:t>
      </w:r>
      <w:r w:rsidRPr="00DE31C9">
        <w:rPr>
          <w:noProof/>
        </w:rPr>
        <w:t xml:space="preserve">Exploratory Analysis.” </w:t>
      </w:r>
      <w:r w:rsidRPr="00DE31C9">
        <w:rPr>
          <w:i/>
          <w:noProof/>
        </w:rPr>
        <w:t>Journal of World-Systems Research</w:t>
      </w:r>
      <w:r w:rsidRPr="00DE31C9">
        <w:rPr>
          <w:noProof/>
        </w:rPr>
        <w:t xml:space="preserve"> 17(1</w:t>
      </w:r>
      <w:r>
        <w:t>):147-64.</w:t>
      </w:r>
    </w:p>
    <w:p w:rsidR="000B44F9" w:rsidRDefault="000B44F9" w:rsidP="00D41425">
      <w:pPr>
        <w:spacing w:line="240" w:lineRule="auto"/>
        <w:contextualSpacing/>
      </w:pPr>
    </w:p>
    <w:p w:rsidR="00D41425" w:rsidRPr="000F1EB0" w:rsidRDefault="00D41425">
      <w:pPr>
        <w:spacing w:line="240" w:lineRule="auto"/>
        <w:contextualSpacing/>
      </w:pPr>
    </w:p>
    <w:sectPr w:rsidR="00D41425" w:rsidRPr="000F1EB0" w:rsidSect="004B38FC">
      <w:footerReference w:type="default" r:id="rId5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BD1" w:rsidRDefault="00144BD1">
      <w:pPr>
        <w:spacing w:after="0" w:line="240" w:lineRule="auto"/>
      </w:pPr>
      <w:r>
        <w:separator/>
      </w:r>
    </w:p>
  </w:endnote>
  <w:endnote w:type="continuationSeparator" w:id="0">
    <w:p w:rsidR="00144BD1" w:rsidRDefault="00144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EC" w:rsidRDefault="00C22C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EC" w:rsidRDefault="00C22C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EC" w:rsidRDefault="00C22CE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5325603"/>
      <w:docPartObj>
        <w:docPartGallery w:val="Page Numbers (Bottom of Page)"/>
        <w:docPartUnique/>
      </w:docPartObj>
    </w:sdtPr>
    <w:sdtEndPr>
      <w:rPr>
        <w:rFonts w:ascii="Times New Roman" w:hAnsi="Times New Roman" w:cs="Times New Roman"/>
        <w:noProof/>
        <w:sz w:val="24"/>
        <w:szCs w:val="24"/>
      </w:rPr>
    </w:sdtEndPr>
    <w:sdtContent>
      <w:p w:rsidR="00C22CEC" w:rsidRPr="00152132" w:rsidRDefault="00C22CEC">
        <w:pPr>
          <w:pStyle w:val="Footer"/>
          <w:jc w:val="center"/>
          <w:rPr>
            <w:rFonts w:ascii="Times New Roman" w:hAnsi="Times New Roman" w:cs="Times New Roman"/>
            <w:sz w:val="24"/>
            <w:szCs w:val="24"/>
          </w:rPr>
        </w:pPr>
        <w:r w:rsidRPr="00152132">
          <w:rPr>
            <w:rFonts w:ascii="Times New Roman" w:hAnsi="Times New Roman" w:cs="Times New Roman"/>
            <w:sz w:val="24"/>
            <w:szCs w:val="24"/>
          </w:rPr>
          <w:fldChar w:fldCharType="begin"/>
        </w:r>
        <w:r w:rsidRPr="00152132">
          <w:rPr>
            <w:rFonts w:ascii="Times New Roman" w:hAnsi="Times New Roman" w:cs="Times New Roman"/>
            <w:sz w:val="24"/>
            <w:szCs w:val="24"/>
          </w:rPr>
          <w:instrText xml:space="preserve"> PAGE   \* MERGEFORMAT </w:instrText>
        </w:r>
        <w:r w:rsidRPr="00152132">
          <w:rPr>
            <w:rFonts w:ascii="Times New Roman" w:hAnsi="Times New Roman" w:cs="Times New Roman"/>
            <w:sz w:val="24"/>
            <w:szCs w:val="24"/>
          </w:rPr>
          <w:fldChar w:fldCharType="separate"/>
        </w:r>
        <w:r w:rsidR="00D04082">
          <w:rPr>
            <w:rFonts w:ascii="Times New Roman" w:hAnsi="Times New Roman" w:cs="Times New Roman"/>
            <w:noProof/>
            <w:sz w:val="24"/>
            <w:szCs w:val="24"/>
          </w:rPr>
          <w:t>viii</w:t>
        </w:r>
        <w:r w:rsidRPr="00152132">
          <w:rPr>
            <w:rFonts w:ascii="Times New Roman" w:hAnsi="Times New Roman" w:cs="Times New Roman"/>
            <w:noProof/>
            <w:sz w:val="24"/>
            <w:szCs w:val="24"/>
          </w:rPr>
          <w:fldChar w:fldCharType="end"/>
        </w:r>
      </w:p>
    </w:sdtContent>
  </w:sdt>
  <w:p w:rsidR="00C22CEC" w:rsidRDefault="00C22CE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6377866"/>
      <w:docPartObj>
        <w:docPartGallery w:val="Page Numbers (Bottom of Page)"/>
        <w:docPartUnique/>
      </w:docPartObj>
    </w:sdtPr>
    <w:sdtEndPr>
      <w:rPr>
        <w:rFonts w:ascii="Times New Roman" w:hAnsi="Times New Roman" w:cs="Times New Roman"/>
        <w:noProof/>
        <w:sz w:val="24"/>
        <w:szCs w:val="24"/>
      </w:rPr>
    </w:sdtEndPr>
    <w:sdtContent>
      <w:p w:rsidR="00C22CEC" w:rsidRPr="00152132" w:rsidRDefault="00C22CEC">
        <w:pPr>
          <w:pStyle w:val="Footer"/>
          <w:jc w:val="center"/>
          <w:rPr>
            <w:rFonts w:ascii="Times New Roman" w:hAnsi="Times New Roman" w:cs="Times New Roman"/>
            <w:sz w:val="24"/>
            <w:szCs w:val="24"/>
          </w:rPr>
        </w:pPr>
        <w:r w:rsidRPr="00152132">
          <w:rPr>
            <w:rFonts w:ascii="Times New Roman" w:hAnsi="Times New Roman" w:cs="Times New Roman"/>
            <w:sz w:val="24"/>
            <w:szCs w:val="24"/>
          </w:rPr>
          <w:fldChar w:fldCharType="begin"/>
        </w:r>
        <w:r w:rsidRPr="00152132">
          <w:rPr>
            <w:rFonts w:ascii="Times New Roman" w:hAnsi="Times New Roman" w:cs="Times New Roman"/>
            <w:sz w:val="24"/>
            <w:szCs w:val="24"/>
          </w:rPr>
          <w:instrText xml:space="preserve"> PAGE   \* MERGEFORMAT </w:instrText>
        </w:r>
        <w:r w:rsidRPr="00152132">
          <w:rPr>
            <w:rFonts w:ascii="Times New Roman" w:hAnsi="Times New Roman" w:cs="Times New Roman"/>
            <w:sz w:val="24"/>
            <w:szCs w:val="24"/>
          </w:rPr>
          <w:fldChar w:fldCharType="separate"/>
        </w:r>
        <w:r w:rsidR="00D04082">
          <w:rPr>
            <w:rFonts w:ascii="Times New Roman" w:hAnsi="Times New Roman" w:cs="Times New Roman"/>
            <w:noProof/>
            <w:sz w:val="24"/>
            <w:szCs w:val="24"/>
          </w:rPr>
          <w:t>99</w:t>
        </w:r>
        <w:r w:rsidRPr="00152132">
          <w:rPr>
            <w:rFonts w:ascii="Times New Roman" w:hAnsi="Times New Roman" w:cs="Times New Roman"/>
            <w:noProof/>
            <w:sz w:val="24"/>
            <w:szCs w:val="24"/>
          </w:rPr>
          <w:fldChar w:fldCharType="end"/>
        </w:r>
      </w:p>
    </w:sdtContent>
  </w:sdt>
  <w:p w:rsidR="00C22CEC" w:rsidRDefault="00C22C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BD1" w:rsidRDefault="00144BD1">
      <w:pPr>
        <w:spacing w:after="0" w:line="240" w:lineRule="auto"/>
      </w:pPr>
      <w:r>
        <w:separator/>
      </w:r>
    </w:p>
  </w:footnote>
  <w:footnote w:type="continuationSeparator" w:id="0">
    <w:p w:rsidR="00144BD1" w:rsidRDefault="00144B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EC" w:rsidRDefault="00C22C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EC" w:rsidRDefault="00C22C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EC" w:rsidRDefault="00C22C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MDAyNjW0NDMxNTI3MzJR0lEKTi0uzszPAykwNDSsBQBE2MCqLgAAAA=="/>
  </w:docVars>
  <w:rsids>
    <w:rsidRoot w:val="007F2FCC"/>
    <w:rsid w:val="00014BD1"/>
    <w:rsid w:val="00030D0A"/>
    <w:rsid w:val="00057B53"/>
    <w:rsid w:val="00063018"/>
    <w:rsid w:val="00064942"/>
    <w:rsid w:val="00067ABA"/>
    <w:rsid w:val="000A355B"/>
    <w:rsid w:val="000A5C05"/>
    <w:rsid w:val="000B0FD5"/>
    <w:rsid w:val="000B44F9"/>
    <w:rsid w:val="000B78A4"/>
    <w:rsid w:val="000B7DA4"/>
    <w:rsid w:val="000C1BD6"/>
    <w:rsid w:val="000D3930"/>
    <w:rsid w:val="000D55D2"/>
    <w:rsid w:val="000D6F90"/>
    <w:rsid w:val="000E30A1"/>
    <w:rsid w:val="000F1EB0"/>
    <w:rsid w:val="00104A3E"/>
    <w:rsid w:val="00113646"/>
    <w:rsid w:val="0011582A"/>
    <w:rsid w:val="00134C75"/>
    <w:rsid w:val="00136EF0"/>
    <w:rsid w:val="00141162"/>
    <w:rsid w:val="00144BD1"/>
    <w:rsid w:val="0014541C"/>
    <w:rsid w:val="0014564D"/>
    <w:rsid w:val="00152132"/>
    <w:rsid w:val="00152DB4"/>
    <w:rsid w:val="0015606D"/>
    <w:rsid w:val="00156E96"/>
    <w:rsid w:val="00161379"/>
    <w:rsid w:val="00161C88"/>
    <w:rsid w:val="00162215"/>
    <w:rsid w:val="00191D89"/>
    <w:rsid w:val="001923C8"/>
    <w:rsid w:val="00192876"/>
    <w:rsid w:val="001945AD"/>
    <w:rsid w:val="001A2FC5"/>
    <w:rsid w:val="001B0FF1"/>
    <w:rsid w:val="001B5152"/>
    <w:rsid w:val="001B77FC"/>
    <w:rsid w:val="001C0318"/>
    <w:rsid w:val="001C0815"/>
    <w:rsid w:val="001C16CF"/>
    <w:rsid w:val="001C1CE8"/>
    <w:rsid w:val="001D533E"/>
    <w:rsid w:val="001E402E"/>
    <w:rsid w:val="002068EF"/>
    <w:rsid w:val="002075FD"/>
    <w:rsid w:val="00215B8A"/>
    <w:rsid w:val="00225341"/>
    <w:rsid w:val="00226B08"/>
    <w:rsid w:val="00227106"/>
    <w:rsid w:val="00233FCF"/>
    <w:rsid w:val="00243A2C"/>
    <w:rsid w:val="00250DA5"/>
    <w:rsid w:val="0026092B"/>
    <w:rsid w:val="002633CD"/>
    <w:rsid w:val="00264315"/>
    <w:rsid w:val="00275D82"/>
    <w:rsid w:val="00281A86"/>
    <w:rsid w:val="00291EC6"/>
    <w:rsid w:val="00295E9C"/>
    <w:rsid w:val="002C06F6"/>
    <w:rsid w:val="002C0D8A"/>
    <w:rsid w:val="002C22A6"/>
    <w:rsid w:val="002D24A1"/>
    <w:rsid w:val="002D4DDF"/>
    <w:rsid w:val="002F70C3"/>
    <w:rsid w:val="002F7870"/>
    <w:rsid w:val="00307097"/>
    <w:rsid w:val="0032543F"/>
    <w:rsid w:val="0032636E"/>
    <w:rsid w:val="00340AE0"/>
    <w:rsid w:val="00341AD5"/>
    <w:rsid w:val="00346791"/>
    <w:rsid w:val="00346D98"/>
    <w:rsid w:val="00347EA8"/>
    <w:rsid w:val="0035365A"/>
    <w:rsid w:val="003662DC"/>
    <w:rsid w:val="00372E97"/>
    <w:rsid w:val="0037420D"/>
    <w:rsid w:val="00375A43"/>
    <w:rsid w:val="003945E7"/>
    <w:rsid w:val="003948BE"/>
    <w:rsid w:val="00394DBD"/>
    <w:rsid w:val="003A38B0"/>
    <w:rsid w:val="003B454F"/>
    <w:rsid w:val="003B6046"/>
    <w:rsid w:val="003B7C61"/>
    <w:rsid w:val="003C3322"/>
    <w:rsid w:val="003D46C7"/>
    <w:rsid w:val="003D7298"/>
    <w:rsid w:val="003E4401"/>
    <w:rsid w:val="003F3808"/>
    <w:rsid w:val="00404DE3"/>
    <w:rsid w:val="00412AD2"/>
    <w:rsid w:val="004137BD"/>
    <w:rsid w:val="004272CC"/>
    <w:rsid w:val="004369A7"/>
    <w:rsid w:val="0046672F"/>
    <w:rsid w:val="00483510"/>
    <w:rsid w:val="00492EDB"/>
    <w:rsid w:val="004A3A32"/>
    <w:rsid w:val="004B3543"/>
    <w:rsid w:val="004B38FC"/>
    <w:rsid w:val="004B797E"/>
    <w:rsid w:val="004C2962"/>
    <w:rsid w:val="004D2CB7"/>
    <w:rsid w:val="004D538C"/>
    <w:rsid w:val="004E0359"/>
    <w:rsid w:val="004E5749"/>
    <w:rsid w:val="0050593B"/>
    <w:rsid w:val="00516631"/>
    <w:rsid w:val="00525FCF"/>
    <w:rsid w:val="00527D4F"/>
    <w:rsid w:val="0053363F"/>
    <w:rsid w:val="0053487E"/>
    <w:rsid w:val="005448EB"/>
    <w:rsid w:val="00551DE8"/>
    <w:rsid w:val="00563480"/>
    <w:rsid w:val="00565A41"/>
    <w:rsid w:val="00566527"/>
    <w:rsid w:val="00570F0D"/>
    <w:rsid w:val="00572D83"/>
    <w:rsid w:val="0057732D"/>
    <w:rsid w:val="00580773"/>
    <w:rsid w:val="0058206A"/>
    <w:rsid w:val="005831F5"/>
    <w:rsid w:val="005E35DA"/>
    <w:rsid w:val="00611A6B"/>
    <w:rsid w:val="00611A9D"/>
    <w:rsid w:val="00635108"/>
    <w:rsid w:val="0065102D"/>
    <w:rsid w:val="00654527"/>
    <w:rsid w:val="00672021"/>
    <w:rsid w:val="0067345B"/>
    <w:rsid w:val="00673A3F"/>
    <w:rsid w:val="00681110"/>
    <w:rsid w:val="00683399"/>
    <w:rsid w:val="006878E2"/>
    <w:rsid w:val="00690138"/>
    <w:rsid w:val="006971AC"/>
    <w:rsid w:val="006B625F"/>
    <w:rsid w:val="006B7444"/>
    <w:rsid w:val="006C381A"/>
    <w:rsid w:val="006E4CFA"/>
    <w:rsid w:val="006F0D5D"/>
    <w:rsid w:val="006F0F94"/>
    <w:rsid w:val="00715377"/>
    <w:rsid w:val="0072025D"/>
    <w:rsid w:val="00735AF9"/>
    <w:rsid w:val="00741ED8"/>
    <w:rsid w:val="0074405C"/>
    <w:rsid w:val="00783AFF"/>
    <w:rsid w:val="00784E25"/>
    <w:rsid w:val="00790BD2"/>
    <w:rsid w:val="007936D8"/>
    <w:rsid w:val="007A3A45"/>
    <w:rsid w:val="007B1CBA"/>
    <w:rsid w:val="007B712C"/>
    <w:rsid w:val="007B7DA8"/>
    <w:rsid w:val="007C3936"/>
    <w:rsid w:val="007D103E"/>
    <w:rsid w:val="007D3AF1"/>
    <w:rsid w:val="007F154D"/>
    <w:rsid w:val="007F1704"/>
    <w:rsid w:val="007F2FCC"/>
    <w:rsid w:val="007F6EE5"/>
    <w:rsid w:val="00816F80"/>
    <w:rsid w:val="00831AF6"/>
    <w:rsid w:val="00831F69"/>
    <w:rsid w:val="00832D1C"/>
    <w:rsid w:val="00834858"/>
    <w:rsid w:val="008352A3"/>
    <w:rsid w:val="00840B0A"/>
    <w:rsid w:val="00841227"/>
    <w:rsid w:val="00844679"/>
    <w:rsid w:val="008609F9"/>
    <w:rsid w:val="008662DF"/>
    <w:rsid w:val="00866505"/>
    <w:rsid w:val="0088755A"/>
    <w:rsid w:val="00892310"/>
    <w:rsid w:val="00893ACF"/>
    <w:rsid w:val="008A3E2F"/>
    <w:rsid w:val="008C0868"/>
    <w:rsid w:val="008C30A2"/>
    <w:rsid w:val="008D4130"/>
    <w:rsid w:val="008D65FB"/>
    <w:rsid w:val="008D6BD4"/>
    <w:rsid w:val="008F2029"/>
    <w:rsid w:val="00903B6F"/>
    <w:rsid w:val="009043F9"/>
    <w:rsid w:val="00910635"/>
    <w:rsid w:val="0091523D"/>
    <w:rsid w:val="00932671"/>
    <w:rsid w:val="00941E62"/>
    <w:rsid w:val="00951ABC"/>
    <w:rsid w:val="009632BA"/>
    <w:rsid w:val="0097543B"/>
    <w:rsid w:val="0098368E"/>
    <w:rsid w:val="009A0BC3"/>
    <w:rsid w:val="009A1860"/>
    <w:rsid w:val="009A305E"/>
    <w:rsid w:val="009A77CE"/>
    <w:rsid w:val="009B42A6"/>
    <w:rsid w:val="009C0891"/>
    <w:rsid w:val="009C28D5"/>
    <w:rsid w:val="009C2DC7"/>
    <w:rsid w:val="009C3DE7"/>
    <w:rsid w:val="009C6B9B"/>
    <w:rsid w:val="009E242C"/>
    <w:rsid w:val="009E5F29"/>
    <w:rsid w:val="009F1970"/>
    <w:rsid w:val="009F1B97"/>
    <w:rsid w:val="009F5D8B"/>
    <w:rsid w:val="00A110A1"/>
    <w:rsid w:val="00A1270A"/>
    <w:rsid w:val="00A23987"/>
    <w:rsid w:val="00A24723"/>
    <w:rsid w:val="00A30B00"/>
    <w:rsid w:val="00A36566"/>
    <w:rsid w:val="00A473F3"/>
    <w:rsid w:val="00A47A45"/>
    <w:rsid w:val="00A54F9A"/>
    <w:rsid w:val="00A618EE"/>
    <w:rsid w:val="00A61BE5"/>
    <w:rsid w:val="00A63DE0"/>
    <w:rsid w:val="00A7443E"/>
    <w:rsid w:val="00A80378"/>
    <w:rsid w:val="00A8086D"/>
    <w:rsid w:val="00A822F3"/>
    <w:rsid w:val="00A85999"/>
    <w:rsid w:val="00A86532"/>
    <w:rsid w:val="00AA2F9A"/>
    <w:rsid w:val="00AA78D7"/>
    <w:rsid w:val="00AB1C5C"/>
    <w:rsid w:val="00AB2F17"/>
    <w:rsid w:val="00AB5D3E"/>
    <w:rsid w:val="00AD5C82"/>
    <w:rsid w:val="00AE0D2E"/>
    <w:rsid w:val="00AF51D1"/>
    <w:rsid w:val="00AF5C7B"/>
    <w:rsid w:val="00B31137"/>
    <w:rsid w:val="00B42D62"/>
    <w:rsid w:val="00B50716"/>
    <w:rsid w:val="00B62848"/>
    <w:rsid w:val="00B646B7"/>
    <w:rsid w:val="00B67EB0"/>
    <w:rsid w:val="00B73567"/>
    <w:rsid w:val="00B8055E"/>
    <w:rsid w:val="00B81816"/>
    <w:rsid w:val="00B86E31"/>
    <w:rsid w:val="00BA0473"/>
    <w:rsid w:val="00BA1F88"/>
    <w:rsid w:val="00BB04E8"/>
    <w:rsid w:val="00BB07B1"/>
    <w:rsid w:val="00BB5750"/>
    <w:rsid w:val="00BC59A1"/>
    <w:rsid w:val="00BD131B"/>
    <w:rsid w:val="00BE2779"/>
    <w:rsid w:val="00C1222C"/>
    <w:rsid w:val="00C15F8A"/>
    <w:rsid w:val="00C226AF"/>
    <w:rsid w:val="00C22CEC"/>
    <w:rsid w:val="00C3184B"/>
    <w:rsid w:val="00C31895"/>
    <w:rsid w:val="00C321C9"/>
    <w:rsid w:val="00C34BAF"/>
    <w:rsid w:val="00C375CC"/>
    <w:rsid w:val="00C41EDE"/>
    <w:rsid w:val="00C6162B"/>
    <w:rsid w:val="00C70BEA"/>
    <w:rsid w:val="00C86B22"/>
    <w:rsid w:val="00CA2241"/>
    <w:rsid w:val="00CA4320"/>
    <w:rsid w:val="00CA505A"/>
    <w:rsid w:val="00CE1779"/>
    <w:rsid w:val="00D01BC9"/>
    <w:rsid w:val="00D01E9B"/>
    <w:rsid w:val="00D04082"/>
    <w:rsid w:val="00D11D0D"/>
    <w:rsid w:val="00D24B64"/>
    <w:rsid w:val="00D326B1"/>
    <w:rsid w:val="00D35789"/>
    <w:rsid w:val="00D35EA4"/>
    <w:rsid w:val="00D41425"/>
    <w:rsid w:val="00D42DAB"/>
    <w:rsid w:val="00D43EA6"/>
    <w:rsid w:val="00D52BC6"/>
    <w:rsid w:val="00D770F2"/>
    <w:rsid w:val="00D904D0"/>
    <w:rsid w:val="00DC4FFA"/>
    <w:rsid w:val="00DE177D"/>
    <w:rsid w:val="00E00414"/>
    <w:rsid w:val="00E122AA"/>
    <w:rsid w:val="00E13EC7"/>
    <w:rsid w:val="00E17D43"/>
    <w:rsid w:val="00E228EB"/>
    <w:rsid w:val="00E30E81"/>
    <w:rsid w:val="00E31254"/>
    <w:rsid w:val="00E50734"/>
    <w:rsid w:val="00E561BF"/>
    <w:rsid w:val="00E722B2"/>
    <w:rsid w:val="00E72506"/>
    <w:rsid w:val="00E90606"/>
    <w:rsid w:val="00E90B96"/>
    <w:rsid w:val="00E92D6D"/>
    <w:rsid w:val="00E92FD2"/>
    <w:rsid w:val="00EA2D8F"/>
    <w:rsid w:val="00EA3315"/>
    <w:rsid w:val="00EA5D0B"/>
    <w:rsid w:val="00EC1235"/>
    <w:rsid w:val="00EC1467"/>
    <w:rsid w:val="00EC60DE"/>
    <w:rsid w:val="00EC7876"/>
    <w:rsid w:val="00EF60BE"/>
    <w:rsid w:val="00F06ADE"/>
    <w:rsid w:val="00F12A36"/>
    <w:rsid w:val="00F12A40"/>
    <w:rsid w:val="00F524B3"/>
    <w:rsid w:val="00F55818"/>
    <w:rsid w:val="00F579FF"/>
    <w:rsid w:val="00F72142"/>
    <w:rsid w:val="00F821E6"/>
    <w:rsid w:val="00F83555"/>
    <w:rsid w:val="00F851A0"/>
    <w:rsid w:val="00FA5E13"/>
    <w:rsid w:val="00FA777F"/>
    <w:rsid w:val="00FB0EDF"/>
    <w:rsid w:val="00FC09B3"/>
    <w:rsid w:val="00FC3174"/>
    <w:rsid w:val="00FC3D4C"/>
    <w:rsid w:val="00FC52F9"/>
    <w:rsid w:val="00FC7922"/>
    <w:rsid w:val="00FD7C5F"/>
    <w:rsid w:val="00FF670B"/>
    <w:rsid w:val="00FF6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E73E18-7595-4216-BA17-1315EF6E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F2FCC"/>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7F2FCC"/>
    <w:rPr>
      <w:rFonts w:asciiTheme="minorHAnsi" w:hAnsiTheme="minorHAnsi" w:cstheme="minorBidi"/>
      <w:sz w:val="22"/>
      <w:szCs w:val="22"/>
    </w:rPr>
  </w:style>
  <w:style w:type="character" w:styleId="Hyperlink">
    <w:name w:val="Hyperlink"/>
    <w:basedOn w:val="DefaultParagraphFont"/>
    <w:uiPriority w:val="99"/>
    <w:unhideWhenUsed/>
    <w:rsid w:val="007F2FCC"/>
    <w:rPr>
      <w:color w:val="0563C1" w:themeColor="hyperlink"/>
      <w:u w:val="single"/>
    </w:rPr>
  </w:style>
  <w:style w:type="table" w:styleId="TableGrid">
    <w:name w:val="Table Grid"/>
    <w:basedOn w:val="TableNormal"/>
    <w:uiPriority w:val="39"/>
    <w:rsid w:val="007F2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2FCC"/>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7F2FCC"/>
    <w:rPr>
      <w:rFonts w:asciiTheme="minorHAnsi" w:hAnsiTheme="minorHAnsi" w:cstheme="minorBidi"/>
      <w:sz w:val="22"/>
      <w:szCs w:val="22"/>
    </w:rPr>
  </w:style>
  <w:style w:type="table" w:customStyle="1" w:styleId="TableGrid1">
    <w:name w:val="Table Grid1"/>
    <w:basedOn w:val="TableNormal"/>
    <w:next w:val="TableGrid"/>
    <w:uiPriority w:val="39"/>
    <w:rsid w:val="007F2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2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FCC"/>
    <w:rPr>
      <w:rFonts w:ascii="Segoe UI" w:hAnsi="Segoe UI" w:cs="Segoe UI"/>
      <w:sz w:val="18"/>
      <w:szCs w:val="18"/>
    </w:rPr>
  </w:style>
  <w:style w:type="table" w:customStyle="1" w:styleId="TableGrid2">
    <w:name w:val="Table Grid2"/>
    <w:basedOn w:val="TableNormal"/>
    <w:next w:val="TableGrid"/>
    <w:uiPriority w:val="39"/>
    <w:rsid w:val="007F2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F2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F2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F2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F2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F2FCC"/>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F2FCC"/>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70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72D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64477">
      <w:bodyDiv w:val="1"/>
      <w:marLeft w:val="0"/>
      <w:marRight w:val="0"/>
      <w:marTop w:val="0"/>
      <w:marBottom w:val="0"/>
      <w:divBdr>
        <w:top w:val="none" w:sz="0" w:space="0" w:color="auto"/>
        <w:left w:val="none" w:sz="0" w:space="0" w:color="auto"/>
        <w:bottom w:val="none" w:sz="0" w:space="0" w:color="auto"/>
        <w:right w:val="none" w:sz="0" w:space="0" w:color="auto"/>
      </w:divBdr>
    </w:div>
    <w:div w:id="1226910812">
      <w:bodyDiv w:val="1"/>
      <w:marLeft w:val="0"/>
      <w:marRight w:val="0"/>
      <w:marTop w:val="0"/>
      <w:marBottom w:val="0"/>
      <w:divBdr>
        <w:top w:val="none" w:sz="0" w:space="0" w:color="auto"/>
        <w:left w:val="none" w:sz="0" w:space="0" w:color="auto"/>
        <w:bottom w:val="none" w:sz="0" w:space="0" w:color="auto"/>
        <w:right w:val="none" w:sz="0" w:space="0" w:color="auto"/>
      </w:divBdr>
    </w:div>
    <w:div w:id="201175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image" Target="media/image26.png"/><Relationship Id="rId21" Type="http://schemas.openxmlformats.org/officeDocument/2006/relationships/image" Target="media/image8.emf"/><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1.emf"/><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emf"/><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image" Target="media/image38.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59373-13E4-4BDD-8F75-70542E38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6024</TotalTime>
  <Pages>115</Pages>
  <Words>22471</Words>
  <Characters>128087</Characters>
  <Application>Microsoft Office Word</Application>
  <DocSecurity>0</DocSecurity>
  <Lines>1067</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Burle Steelman</dc:creator>
  <cp:keywords/>
  <dc:description/>
  <cp:lastModifiedBy>Burle Steelman</cp:lastModifiedBy>
  <cp:revision>48</cp:revision>
  <cp:lastPrinted>2016-06-04T14:27:00Z</cp:lastPrinted>
  <dcterms:created xsi:type="dcterms:W3CDTF">2016-04-26T23:54:00Z</dcterms:created>
  <dcterms:modified xsi:type="dcterms:W3CDTF">2016-06-14T14:44:00Z</dcterms:modified>
</cp:coreProperties>
</file>